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charts/chart5.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6.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7.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8.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9.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10.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1.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2.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3.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4.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5.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6.xml" ContentType="application/vnd.openxmlformats-officedocument.drawingml.chart+xml"/>
  <Override PartName="/word/charts/style12.xml" ContentType="application/vnd.ms-office.chartstyle+xml"/>
  <Override PartName="/word/charts/colors12.xml" ContentType="application/vnd.ms-office.chartcolorstyle+xml"/>
  <Override PartName="/word/footer11.xml" ContentType="application/vnd.openxmlformats-officedocument.wordprocessingml.footer+xml"/>
  <Override PartName="/word/header10.xml" ContentType="application/vnd.openxmlformats-officedocument.wordprocessingml.header+xml"/>
  <Override PartName="/word/footer12.xml" ContentType="application/vnd.openxmlformats-officedocument.wordprocessingml.footer+xml"/>
  <Override PartName="/word/charts/chart17.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8.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9.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20.xml" ContentType="application/vnd.openxmlformats-officedocument.drawingml.chart+xml"/>
  <Override PartName="/word/charts/style16.xml" ContentType="application/vnd.ms-office.chartstyle+xml"/>
  <Override PartName="/word/charts/colors16.xml" ContentType="application/vnd.ms-office.chartcolorstyle+xml"/>
  <Override PartName="/word/drawings/drawing1.xml" ContentType="application/vnd.openxmlformats-officedocument.drawingml.chartshapes+xml"/>
  <Override PartName="/word/charts/chart21.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22.xml" ContentType="application/vnd.openxmlformats-officedocument.drawingml.chart+xml"/>
  <Override PartName="/word/charts/style18.xml" ContentType="application/vnd.ms-office.chartstyle+xml"/>
  <Override PartName="/word/charts/colors18.xml" ContentType="application/vnd.ms-office.chartcolorstyle+xml"/>
  <Override PartName="/word/footer13.xml" ContentType="application/vnd.openxmlformats-officedocument.wordprocessingml.footer+xml"/>
  <Override PartName="/word/header11.xml" ContentType="application/vnd.openxmlformats-officedocument.wordprocessingml.header+xml"/>
  <Override PartName="/word/footer14.xml" ContentType="application/vnd.openxmlformats-officedocument.wordprocessingml.footer+xml"/>
  <Override PartName="/word/charts/chart23.xml" ContentType="application/vnd.openxmlformats-officedocument.drawingml.chart+xml"/>
  <Override PartName="/word/header12.xml" ContentType="application/vnd.openxmlformats-officedocument.wordprocessingml.header+xml"/>
  <Override PartName="/word/footer15.xml" ContentType="application/vnd.openxmlformats-officedocument.wordprocessingml.footer+xml"/>
  <Override PartName="/word/header13.xml" ContentType="application/vnd.openxmlformats-officedocument.wordprocessingml.header+xml"/>
  <Override PartName="/word/footer16.xml" ContentType="application/vnd.openxmlformats-officedocument.wordprocessingml.footer+xml"/>
  <Override PartName="/word/header14.xml" ContentType="application/vnd.openxmlformats-officedocument.wordprocessingml.header+xml"/>
  <Override PartName="/word/footer17.xml" ContentType="application/vnd.openxmlformats-officedocument.wordprocessingml.footer+xml"/>
  <Override PartName="/word/header15.xml" ContentType="application/vnd.openxmlformats-officedocument.wordprocessingml.header+xml"/>
  <Override PartName="/word/footer18.xml" ContentType="application/vnd.openxmlformats-officedocument.wordprocessingml.footer+xml"/>
  <Override PartName="/word/charts/chart24.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5.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6.xml" ContentType="application/vnd.openxmlformats-officedocument.drawingml.chart+xml"/>
  <Override PartName="/word/charts/chart27.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8.xml" ContentType="application/vnd.openxmlformats-officedocument.drawingml.chart+xml"/>
  <Override PartName="/word/charts/style22.xml" ContentType="application/vnd.ms-office.chartstyle+xml"/>
  <Override PartName="/word/charts/colors22.xml" ContentType="application/vnd.ms-office.chartcolorstyle+xml"/>
  <Override PartName="/word/footer19.xml" ContentType="application/vnd.openxmlformats-officedocument.wordprocessingml.footer+xml"/>
  <Override PartName="/word/charts/chart29.xml" ContentType="application/vnd.openxmlformats-officedocument.drawingml.chart+xml"/>
  <Override PartName="/word/theme/themeOverride5.xml" ContentType="application/vnd.openxmlformats-officedocument.themeOverride+xml"/>
  <Override PartName="/word/charts/chart30.xml" ContentType="application/vnd.openxmlformats-officedocument.drawingml.chart+xml"/>
  <Override PartName="/word/theme/themeOverride6.xml" ContentType="application/vnd.openxmlformats-officedocument.themeOverride+xml"/>
  <Override PartName="/word/charts/chart31.xml" ContentType="application/vnd.openxmlformats-officedocument.drawingml.chart+xml"/>
  <Override PartName="/word/theme/themeOverride7.xml" ContentType="application/vnd.openxmlformats-officedocument.themeOverride+xml"/>
  <Override PartName="/word/charts/chart32.xml" ContentType="application/vnd.openxmlformats-officedocument.drawingml.chart+xml"/>
  <Override PartName="/word/theme/themeOverride8.xml" ContentType="application/vnd.openxmlformats-officedocument.themeOverride+xml"/>
  <Override PartName="/word/charts/chart3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3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35.xml" ContentType="application/vnd.openxmlformats-officedocument.drawingml.chart+xml"/>
  <Override PartName="/word/charts/style25.xml" ContentType="application/vnd.ms-office.chartstyle+xml"/>
  <Override PartName="/word/charts/colors25.xml" ContentType="application/vnd.ms-office.chartcolorstyle+xml"/>
  <Override PartName="/word/drawings/drawing2.xml" ContentType="application/vnd.openxmlformats-officedocument.drawingml.chartshapes+xml"/>
  <Override PartName="/word/charts/chart3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37.xml" ContentType="application/vnd.openxmlformats-officedocument.drawingml.chart+xml"/>
  <Override PartName="/word/theme/themeOverride9.xml" ContentType="application/vnd.openxmlformats-officedocument.themeOverride+xml"/>
  <Override PartName="/word/charts/chart38.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39.xml" ContentType="application/vnd.openxmlformats-officedocument.drawingml.chart+xml"/>
  <Override PartName="/word/charts/style28.xml" ContentType="application/vnd.ms-office.chartstyle+xml"/>
  <Override PartName="/word/charts/colors28.xml" ContentType="application/vnd.ms-office.chartcolorstyle+xml"/>
  <Override PartName="/word/header16.xml" ContentType="application/vnd.openxmlformats-officedocument.wordprocessingml.header+xml"/>
  <Override PartName="/word/footer2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6C7C4D" w14:textId="77777777" w:rsidR="00CA2783" w:rsidRPr="00D95127" w:rsidRDefault="00CA2783" w:rsidP="00CA2783">
      <w:pPr>
        <w:pStyle w:val="logo"/>
        <w:spacing w:line="360" w:lineRule="auto"/>
        <w:rPr>
          <w:rFonts w:ascii="Times New Roman" w:hAnsi="Times New Roman"/>
          <w:sz w:val="20"/>
          <w:lang w:val="cs-CZ"/>
        </w:rPr>
      </w:pPr>
      <w:bookmarkStart w:id="0" w:name="_Hlk15019393"/>
      <w:bookmarkEnd w:id="0"/>
      <w:r w:rsidRPr="00D95127">
        <w:rPr>
          <w:rFonts w:ascii="Times New Roman" w:hAnsi="Times New Roman"/>
          <w:noProof/>
          <w:lang w:val="cs-CZ" w:eastAsia="cs-CZ"/>
        </w:rPr>
        <w:drawing>
          <wp:inline distT="0" distB="0" distL="0" distR="0" wp14:anchorId="2AA8C7D9" wp14:editId="28079A63">
            <wp:extent cx="3618865" cy="600075"/>
            <wp:effectExtent l="0" t="0" r="635" b="9525"/>
            <wp:docPr id="2071352425" name="Obrázek 46"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352425" name="Obrázek 46" descr="Obsah obrázku text&#10;&#10;Popis byl vytvořen automaticky"/>
                    <pic:cNvPicPr/>
                  </pic:nvPicPr>
                  <pic:blipFill>
                    <a:blip r:embed="rId8">
                      <a:extLst>
                        <a:ext uri="{28A0092B-C50C-407E-A947-70E740481C1C}">
                          <a14:useLocalDpi xmlns:a14="http://schemas.microsoft.com/office/drawing/2010/main" val="0"/>
                        </a:ext>
                      </a:extLst>
                    </a:blip>
                    <a:stretch>
                      <a:fillRect/>
                    </a:stretch>
                  </pic:blipFill>
                  <pic:spPr>
                    <a:xfrm>
                      <a:off x="0" y="0"/>
                      <a:ext cx="3618865" cy="600075"/>
                    </a:xfrm>
                    <a:prstGeom prst="rect">
                      <a:avLst/>
                    </a:prstGeom>
                  </pic:spPr>
                </pic:pic>
              </a:graphicData>
            </a:graphic>
          </wp:inline>
        </w:drawing>
      </w:r>
    </w:p>
    <w:p w14:paraId="74D41655" w14:textId="77777777" w:rsidR="00CA2783" w:rsidRPr="00D95127" w:rsidRDefault="00CA2783" w:rsidP="00CA2783">
      <w:pPr>
        <w:pStyle w:val="logo"/>
        <w:spacing w:line="360" w:lineRule="auto"/>
        <w:rPr>
          <w:rFonts w:ascii="Times New Roman" w:hAnsi="Times New Roman"/>
          <w:sz w:val="24"/>
          <w:szCs w:val="24"/>
          <w:lang w:val="cs-CZ"/>
        </w:rPr>
      </w:pPr>
      <w:r w:rsidRPr="00D95127">
        <w:rPr>
          <w:rFonts w:ascii="Times New Roman" w:hAnsi="Times New Roman"/>
          <w:sz w:val="24"/>
          <w:szCs w:val="24"/>
          <w:lang w:val="cs-CZ"/>
        </w:rPr>
        <w:t>ústav zemědělské ekonomiky a informaCÍ</w:t>
      </w:r>
    </w:p>
    <w:p w14:paraId="7B30006C" w14:textId="77777777" w:rsidR="00CA2783" w:rsidRPr="00D95127" w:rsidRDefault="00CA2783" w:rsidP="00CA2783">
      <w:pPr>
        <w:pStyle w:val="logo"/>
        <w:spacing w:line="360" w:lineRule="auto"/>
        <w:rPr>
          <w:rFonts w:ascii="Times New Roman" w:hAnsi="Times New Roman"/>
          <w:sz w:val="24"/>
          <w:szCs w:val="24"/>
          <w:lang w:val="cs-CZ"/>
        </w:rPr>
      </w:pPr>
    </w:p>
    <w:p w14:paraId="72A3CA88" w14:textId="77777777" w:rsidR="00CA2783" w:rsidRPr="00D95127" w:rsidRDefault="00CA2783" w:rsidP="00CA2783">
      <w:pPr>
        <w:pStyle w:val="logo"/>
        <w:spacing w:line="360" w:lineRule="auto"/>
        <w:rPr>
          <w:rFonts w:ascii="Times New Roman" w:hAnsi="Times New Roman"/>
          <w:sz w:val="24"/>
          <w:szCs w:val="24"/>
          <w:lang w:val="cs-CZ"/>
        </w:rPr>
      </w:pPr>
    </w:p>
    <w:p w14:paraId="0EB9912E" w14:textId="77777777" w:rsidR="00CA2783" w:rsidRPr="00D95127" w:rsidRDefault="00CA2783" w:rsidP="00CA2783">
      <w:pPr>
        <w:pStyle w:val="logo"/>
        <w:spacing w:line="360" w:lineRule="auto"/>
        <w:rPr>
          <w:rFonts w:ascii="Times New Roman" w:hAnsi="Times New Roman"/>
          <w:sz w:val="24"/>
          <w:szCs w:val="24"/>
          <w:lang w:val="cs-CZ"/>
        </w:rPr>
      </w:pPr>
    </w:p>
    <w:p w14:paraId="1C0B8B60" w14:textId="77777777" w:rsidR="00CA2783" w:rsidRPr="00D95127" w:rsidRDefault="00CA2783" w:rsidP="00CA2783">
      <w:pPr>
        <w:pStyle w:val="logo"/>
        <w:spacing w:line="360" w:lineRule="auto"/>
        <w:rPr>
          <w:rFonts w:ascii="Times New Roman" w:hAnsi="Times New Roman"/>
          <w:sz w:val="24"/>
          <w:szCs w:val="24"/>
          <w:lang w:val="cs-CZ"/>
        </w:rPr>
      </w:pPr>
    </w:p>
    <w:p w14:paraId="55E4193B" w14:textId="00035CCB" w:rsidR="00CA2783" w:rsidRPr="00D95127" w:rsidRDefault="00CA2783" w:rsidP="00CA2783">
      <w:pPr>
        <w:pStyle w:val="logo"/>
        <w:spacing w:line="360" w:lineRule="auto"/>
        <w:rPr>
          <w:rFonts w:ascii="Times New Roman" w:hAnsi="Times New Roman"/>
          <w:sz w:val="24"/>
          <w:szCs w:val="24"/>
          <w:lang w:val="cs-CZ"/>
        </w:rPr>
      </w:pPr>
      <w:r w:rsidRPr="00D95127">
        <w:rPr>
          <w:rFonts w:ascii="Times New Roman" w:hAnsi="Times New Roman"/>
          <w:szCs w:val="28"/>
          <w:lang w:val="cs-CZ"/>
        </w:rPr>
        <w:t>PODKLADOVÉ ANALÝZY PRO PŘÍPRAVU SZP V PROGRAMOVÉM OBDOBÍ 2021+</w:t>
      </w:r>
    </w:p>
    <w:p w14:paraId="751A49BA" w14:textId="77777777" w:rsidR="00A16DDB" w:rsidRPr="00D95127" w:rsidRDefault="00A16DDB" w:rsidP="00A16DDB">
      <w:pPr>
        <w:jc w:val="center"/>
        <w:rPr>
          <w:rFonts w:cs="Times New Roman"/>
          <w:b/>
          <w:szCs w:val="24"/>
          <w:lang w:val="cs-CZ"/>
        </w:rPr>
      </w:pPr>
    </w:p>
    <w:p w14:paraId="0C8B5232" w14:textId="77777777" w:rsidR="00A16DDB" w:rsidRPr="00D95127" w:rsidRDefault="00A16DDB" w:rsidP="00A16DDB">
      <w:pPr>
        <w:jc w:val="center"/>
        <w:rPr>
          <w:rFonts w:cs="Times New Roman"/>
          <w:b/>
          <w:szCs w:val="24"/>
          <w:lang w:val="cs-CZ"/>
        </w:rPr>
      </w:pPr>
    </w:p>
    <w:p w14:paraId="57DCF1C0" w14:textId="77777777" w:rsidR="00A16DDB" w:rsidRPr="00D95127" w:rsidRDefault="00A16DDB" w:rsidP="00A16DDB">
      <w:pPr>
        <w:jc w:val="center"/>
        <w:rPr>
          <w:rFonts w:cs="Times New Roman"/>
          <w:b/>
          <w:szCs w:val="24"/>
          <w:lang w:val="cs-CZ"/>
        </w:rPr>
      </w:pPr>
    </w:p>
    <w:p w14:paraId="52332552" w14:textId="77777777" w:rsidR="00A16DDB" w:rsidRPr="00D95127" w:rsidRDefault="00A16DDB" w:rsidP="00A16DDB">
      <w:pPr>
        <w:jc w:val="center"/>
        <w:rPr>
          <w:rFonts w:cs="Times New Roman"/>
          <w:b/>
          <w:szCs w:val="24"/>
          <w:lang w:val="cs-CZ"/>
        </w:rPr>
      </w:pPr>
    </w:p>
    <w:p w14:paraId="0F2B9B13" w14:textId="77777777" w:rsidR="00A16DDB" w:rsidRPr="00D95127" w:rsidRDefault="00A16DDB" w:rsidP="007A2BA4">
      <w:pPr>
        <w:rPr>
          <w:rFonts w:cs="Times New Roman"/>
          <w:b/>
          <w:szCs w:val="24"/>
          <w:lang w:val="cs-CZ"/>
        </w:rPr>
      </w:pPr>
    </w:p>
    <w:p w14:paraId="567ADC2E" w14:textId="77777777" w:rsidR="00A16DDB" w:rsidRPr="00D95127" w:rsidRDefault="00A16DDB" w:rsidP="00A16DDB">
      <w:pPr>
        <w:jc w:val="center"/>
        <w:rPr>
          <w:rFonts w:cs="Times New Roman"/>
          <w:b/>
          <w:szCs w:val="24"/>
          <w:lang w:val="cs-CZ"/>
        </w:rPr>
      </w:pPr>
    </w:p>
    <w:p w14:paraId="425DC6E0" w14:textId="6BBEE254" w:rsidR="00A16DDB" w:rsidRPr="00D95127" w:rsidRDefault="00A16DDB" w:rsidP="00A16DDB">
      <w:pPr>
        <w:jc w:val="center"/>
        <w:rPr>
          <w:rFonts w:cs="Times New Roman"/>
          <w:b/>
          <w:szCs w:val="24"/>
          <w:lang w:val="cs-CZ"/>
        </w:rPr>
      </w:pPr>
      <w:r w:rsidRPr="00D95127">
        <w:rPr>
          <w:rFonts w:cs="Times New Roman"/>
          <w:b/>
          <w:szCs w:val="24"/>
          <w:lang w:val="cs-CZ"/>
        </w:rPr>
        <w:t>Specifický cíl B: Zlepšovat tržní orientaci a zvyšovat konkurenceschopnost, včetně většího zaměření na výzkum, technologie a digitalizaci</w:t>
      </w:r>
    </w:p>
    <w:p w14:paraId="22A34F7A" w14:textId="77777777" w:rsidR="00A16DDB" w:rsidRPr="00D95127" w:rsidRDefault="00A16DDB" w:rsidP="00A16DDB">
      <w:pPr>
        <w:jc w:val="center"/>
        <w:rPr>
          <w:rFonts w:cs="Times New Roman"/>
          <w:b/>
          <w:szCs w:val="24"/>
          <w:lang w:val="cs-CZ"/>
        </w:rPr>
      </w:pPr>
    </w:p>
    <w:p w14:paraId="6E2CB576" w14:textId="14FDA39C" w:rsidR="00A16DDB" w:rsidRPr="00D95127" w:rsidRDefault="00A16DDB" w:rsidP="00A16DDB">
      <w:pPr>
        <w:jc w:val="center"/>
        <w:rPr>
          <w:rFonts w:cs="Times New Roman"/>
          <w:b/>
          <w:szCs w:val="24"/>
          <w:lang w:val="cs-CZ"/>
        </w:rPr>
      </w:pPr>
      <w:r w:rsidRPr="00D95127">
        <w:rPr>
          <w:rFonts w:cs="Times New Roman"/>
          <w:b/>
          <w:szCs w:val="24"/>
          <w:lang w:val="cs-CZ"/>
        </w:rPr>
        <w:t xml:space="preserve"> Analýza problémů, jejich příčin, závažnost problémů a SWOT analýzy za jednotlivé skupiny zemědělských komodit</w:t>
      </w:r>
    </w:p>
    <w:p w14:paraId="617A4B25" w14:textId="77777777" w:rsidR="007A2BA4" w:rsidRPr="00D95127" w:rsidRDefault="007A2BA4" w:rsidP="00A16DDB">
      <w:pPr>
        <w:jc w:val="center"/>
        <w:rPr>
          <w:rFonts w:cs="Times New Roman"/>
          <w:b/>
          <w:szCs w:val="24"/>
          <w:lang w:val="cs-CZ"/>
        </w:rPr>
      </w:pPr>
    </w:p>
    <w:p w14:paraId="443A6E45" w14:textId="77777777" w:rsidR="00A16DDB" w:rsidRPr="00D95127" w:rsidRDefault="00A16DDB" w:rsidP="00A16DDB">
      <w:pPr>
        <w:jc w:val="center"/>
        <w:rPr>
          <w:rFonts w:cs="Times New Roman"/>
          <w:b/>
          <w:szCs w:val="24"/>
          <w:lang w:val="cs-CZ"/>
        </w:rPr>
      </w:pPr>
      <w:r w:rsidRPr="00D95127">
        <w:rPr>
          <w:rFonts w:cs="Times New Roman"/>
          <w:b/>
          <w:szCs w:val="24"/>
          <w:lang w:val="cs-CZ"/>
        </w:rPr>
        <w:t>Zpracoval: kolektiv pracovníků z pracovní skupiny „Konkurenceschopnost“</w:t>
      </w:r>
    </w:p>
    <w:p w14:paraId="10A53765" w14:textId="77777777" w:rsidR="00A16DDB" w:rsidRPr="00D95127" w:rsidRDefault="00A16DDB" w:rsidP="00A16DDB">
      <w:pPr>
        <w:rPr>
          <w:rFonts w:cs="Times New Roman"/>
          <w:b/>
          <w:szCs w:val="24"/>
          <w:lang w:val="cs-CZ"/>
        </w:rPr>
      </w:pPr>
    </w:p>
    <w:p w14:paraId="2D4AC781" w14:textId="77777777" w:rsidR="00A16DDB" w:rsidRPr="00D95127" w:rsidRDefault="00A16DDB" w:rsidP="00A16DDB">
      <w:pPr>
        <w:rPr>
          <w:rFonts w:cs="Times New Roman"/>
          <w:b/>
          <w:szCs w:val="24"/>
          <w:lang w:val="cs-CZ"/>
        </w:rPr>
      </w:pPr>
    </w:p>
    <w:p w14:paraId="28D460FA" w14:textId="77777777" w:rsidR="00A16DDB" w:rsidRPr="00D95127" w:rsidRDefault="00A16DDB" w:rsidP="00A16DDB">
      <w:pPr>
        <w:rPr>
          <w:rFonts w:cs="Times New Roman"/>
          <w:b/>
          <w:szCs w:val="24"/>
          <w:lang w:val="cs-CZ"/>
        </w:rPr>
      </w:pPr>
    </w:p>
    <w:p w14:paraId="76992ABD" w14:textId="77777777" w:rsidR="00A16DDB" w:rsidRPr="00D95127" w:rsidRDefault="00A16DDB" w:rsidP="00A16DDB">
      <w:pPr>
        <w:rPr>
          <w:rFonts w:cs="Times New Roman"/>
          <w:b/>
          <w:szCs w:val="24"/>
          <w:lang w:val="cs-CZ"/>
        </w:rPr>
      </w:pPr>
    </w:p>
    <w:p w14:paraId="6D097F48" w14:textId="77777777" w:rsidR="00A16DDB" w:rsidRPr="00D95127" w:rsidRDefault="00A16DDB" w:rsidP="00A16DDB">
      <w:pPr>
        <w:rPr>
          <w:rFonts w:cs="Times New Roman"/>
          <w:b/>
          <w:szCs w:val="24"/>
          <w:lang w:val="cs-CZ"/>
        </w:rPr>
      </w:pPr>
    </w:p>
    <w:p w14:paraId="2064D948" w14:textId="77777777" w:rsidR="00A16DDB" w:rsidRPr="00D95127" w:rsidRDefault="00A16DDB" w:rsidP="00A16DDB">
      <w:pPr>
        <w:rPr>
          <w:rFonts w:cs="Times New Roman"/>
          <w:b/>
          <w:szCs w:val="24"/>
          <w:lang w:val="cs-CZ"/>
        </w:rPr>
      </w:pPr>
    </w:p>
    <w:p w14:paraId="57F056D4" w14:textId="77777777" w:rsidR="00A16DDB" w:rsidRPr="00D95127" w:rsidRDefault="00A16DDB" w:rsidP="00A16DDB">
      <w:pPr>
        <w:rPr>
          <w:rFonts w:cs="Times New Roman"/>
          <w:b/>
          <w:szCs w:val="24"/>
          <w:lang w:val="cs-CZ"/>
        </w:rPr>
      </w:pPr>
    </w:p>
    <w:p w14:paraId="3A3FDB48" w14:textId="77777777" w:rsidR="00A16DDB" w:rsidRPr="00D95127" w:rsidRDefault="00A16DDB" w:rsidP="00A16DDB">
      <w:pPr>
        <w:rPr>
          <w:rFonts w:cs="Times New Roman"/>
          <w:b/>
          <w:szCs w:val="24"/>
          <w:lang w:val="cs-CZ"/>
        </w:rPr>
      </w:pPr>
    </w:p>
    <w:p w14:paraId="3ECC31F2" w14:textId="77777777" w:rsidR="00A16DDB" w:rsidRPr="00D95127" w:rsidRDefault="00A16DDB" w:rsidP="00A16DDB">
      <w:pPr>
        <w:rPr>
          <w:rFonts w:cs="Times New Roman"/>
          <w:b/>
          <w:szCs w:val="24"/>
          <w:lang w:val="cs-CZ"/>
        </w:rPr>
      </w:pPr>
    </w:p>
    <w:p w14:paraId="4A796C52" w14:textId="77777777" w:rsidR="007A2BA4" w:rsidRPr="00D95127" w:rsidRDefault="007A2BA4" w:rsidP="007A2BA4">
      <w:pPr>
        <w:pStyle w:val="UZEINormaln"/>
        <w:jc w:val="center"/>
        <w:rPr>
          <w:rFonts w:cs="Times New Roman"/>
        </w:rPr>
      </w:pPr>
    </w:p>
    <w:p w14:paraId="617BEA4C" w14:textId="77777777" w:rsidR="007A2BA4" w:rsidRPr="00D95127" w:rsidRDefault="007A2BA4" w:rsidP="007A2BA4">
      <w:pPr>
        <w:pStyle w:val="UZEINormaln"/>
        <w:jc w:val="center"/>
        <w:rPr>
          <w:rFonts w:cs="Times New Roman"/>
        </w:rPr>
      </w:pPr>
    </w:p>
    <w:p w14:paraId="27D332C7" w14:textId="77777777" w:rsidR="007A2BA4" w:rsidRPr="00D95127" w:rsidRDefault="007A2BA4" w:rsidP="007A2BA4">
      <w:pPr>
        <w:pStyle w:val="UZEINormaln"/>
        <w:jc w:val="center"/>
        <w:rPr>
          <w:rFonts w:cs="Times New Roman"/>
        </w:rPr>
      </w:pPr>
    </w:p>
    <w:p w14:paraId="4D63AD32" w14:textId="77777777" w:rsidR="007A2BA4" w:rsidRPr="00D95127" w:rsidRDefault="007A2BA4" w:rsidP="007A2BA4">
      <w:pPr>
        <w:pStyle w:val="UZEINormaln"/>
        <w:jc w:val="center"/>
        <w:rPr>
          <w:rFonts w:cs="Times New Roman"/>
        </w:rPr>
      </w:pPr>
    </w:p>
    <w:p w14:paraId="65360F9E" w14:textId="0A8738B7" w:rsidR="00A16DDB" w:rsidRPr="00D95127" w:rsidRDefault="007A2BA4" w:rsidP="00E07272">
      <w:pPr>
        <w:pStyle w:val="UZEINormaln"/>
        <w:jc w:val="center"/>
        <w:rPr>
          <w:rFonts w:cs="Times New Roman"/>
        </w:rPr>
      </w:pPr>
      <w:r w:rsidRPr="00D95127">
        <w:rPr>
          <w:rFonts w:cs="Times New Roman"/>
        </w:rPr>
        <w:t xml:space="preserve">Praha, </w:t>
      </w:r>
      <w:r w:rsidR="00E07272">
        <w:rPr>
          <w:rFonts w:cs="Times New Roman"/>
        </w:rPr>
        <w:t>leden 2022</w:t>
      </w:r>
    </w:p>
    <w:p w14:paraId="66020FBD" w14:textId="77777777" w:rsidR="00A16DDB" w:rsidRPr="00D95127" w:rsidRDefault="00A16DDB" w:rsidP="00A16DDB">
      <w:pPr>
        <w:rPr>
          <w:rFonts w:cs="Times New Roman"/>
          <w:b/>
          <w:szCs w:val="24"/>
          <w:lang w:val="cs-CZ"/>
        </w:rPr>
      </w:pPr>
      <w:r w:rsidRPr="00D95127">
        <w:rPr>
          <w:rFonts w:cs="Times New Roman"/>
          <w:b/>
          <w:szCs w:val="24"/>
          <w:lang w:val="cs-CZ"/>
        </w:rPr>
        <w:br w:type="page"/>
      </w:r>
    </w:p>
    <w:p w14:paraId="19F0C17F" w14:textId="5B44E2E6" w:rsidR="00A16DDB" w:rsidRPr="00D95127" w:rsidRDefault="00A16DDB" w:rsidP="007C40A1">
      <w:pPr>
        <w:pStyle w:val="UZEINadpis1stbezsla"/>
        <w:rPr>
          <w:rFonts w:cs="Times New Roman"/>
        </w:rPr>
      </w:pPr>
      <w:bookmarkStart w:id="1" w:name="_Toc23509818"/>
      <w:bookmarkStart w:id="2" w:name="_Toc76137337"/>
      <w:bookmarkStart w:id="3" w:name="_Toc76637536"/>
      <w:bookmarkStart w:id="4" w:name="_Toc80953215"/>
      <w:bookmarkStart w:id="5" w:name="_Toc81739169"/>
      <w:bookmarkStart w:id="6" w:name="_Toc526113881"/>
      <w:bookmarkStart w:id="7" w:name="_Toc526114037"/>
      <w:bookmarkStart w:id="8" w:name="_Toc12449692"/>
      <w:bookmarkStart w:id="9" w:name="_Toc15304026"/>
      <w:r w:rsidRPr="00D95127">
        <w:rPr>
          <w:rFonts w:cs="Times New Roman"/>
        </w:rPr>
        <w:lastRenderedPageBreak/>
        <w:t>Seznam zkratek</w:t>
      </w:r>
      <w:bookmarkEnd w:id="1"/>
      <w:bookmarkEnd w:id="2"/>
      <w:bookmarkEnd w:id="3"/>
      <w:bookmarkEnd w:id="4"/>
      <w:bookmarkEnd w:id="5"/>
    </w:p>
    <w:tbl>
      <w:tblPr>
        <w:tblStyle w:val="Mkatabulky"/>
        <w:tblW w:w="10201" w:type="dxa"/>
        <w:tblLook w:val="04A0" w:firstRow="1" w:lastRow="0" w:firstColumn="1" w:lastColumn="0" w:noHBand="0" w:noVBand="1"/>
      </w:tblPr>
      <w:tblGrid>
        <w:gridCol w:w="1555"/>
        <w:gridCol w:w="8646"/>
      </w:tblGrid>
      <w:tr w:rsidR="00A16DDB" w:rsidRPr="00D95127" w14:paraId="35EEB9FE" w14:textId="77777777" w:rsidTr="007A627A">
        <w:tc>
          <w:tcPr>
            <w:tcW w:w="1555" w:type="dxa"/>
          </w:tcPr>
          <w:p w14:paraId="443BE041" w14:textId="77777777" w:rsidR="00A16DDB" w:rsidRPr="00D95127" w:rsidRDefault="00A16DDB" w:rsidP="007A627A">
            <w:pPr>
              <w:rPr>
                <w:szCs w:val="24"/>
              </w:rPr>
            </w:pPr>
            <w:r w:rsidRPr="00D95127">
              <w:rPr>
                <w:szCs w:val="24"/>
              </w:rPr>
              <w:t>AEKO</w:t>
            </w:r>
          </w:p>
        </w:tc>
        <w:tc>
          <w:tcPr>
            <w:tcW w:w="8646" w:type="dxa"/>
          </w:tcPr>
          <w:p w14:paraId="48170384" w14:textId="77777777" w:rsidR="00A16DDB" w:rsidRPr="00D95127" w:rsidRDefault="00A16DDB" w:rsidP="007A627A">
            <w:pPr>
              <w:rPr>
                <w:bCs/>
                <w:szCs w:val="24"/>
              </w:rPr>
            </w:pPr>
            <w:r w:rsidRPr="00D95127">
              <w:rPr>
                <w:bCs/>
                <w:szCs w:val="24"/>
              </w:rPr>
              <w:t>Agroenvironmentálně-klimatické opatření</w:t>
            </w:r>
          </w:p>
        </w:tc>
      </w:tr>
      <w:tr w:rsidR="00A16DDB" w:rsidRPr="00D95127" w14:paraId="6C4B72CF" w14:textId="77777777" w:rsidTr="007A627A">
        <w:tc>
          <w:tcPr>
            <w:tcW w:w="1555" w:type="dxa"/>
          </w:tcPr>
          <w:p w14:paraId="2262135A" w14:textId="77777777" w:rsidR="00A16DDB" w:rsidRPr="00D95127" w:rsidRDefault="00A16DDB" w:rsidP="007A627A">
            <w:pPr>
              <w:rPr>
                <w:szCs w:val="24"/>
              </w:rPr>
            </w:pPr>
            <w:r w:rsidRPr="00D95127">
              <w:rPr>
                <w:szCs w:val="24"/>
              </w:rPr>
              <w:t>AMA</w:t>
            </w:r>
          </w:p>
        </w:tc>
        <w:tc>
          <w:tcPr>
            <w:tcW w:w="8646" w:type="dxa"/>
          </w:tcPr>
          <w:p w14:paraId="278D2183" w14:textId="77777777" w:rsidR="00A16DDB" w:rsidRPr="00D95127" w:rsidRDefault="00A16DDB" w:rsidP="007A627A">
            <w:pPr>
              <w:rPr>
                <w:bCs/>
                <w:szCs w:val="24"/>
              </w:rPr>
            </w:pPr>
            <w:r w:rsidRPr="00D95127">
              <w:rPr>
                <w:bCs/>
                <w:szCs w:val="24"/>
              </w:rPr>
              <w:t>Agrarmarkt Austria – Zemědělský trh Rakouska</w:t>
            </w:r>
          </w:p>
        </w:tc>
      </w:tr>
      <w:tr w:rsidR="00A16DDB" w:rsidRPr="00D95127" w14:paraId="5D0DE669" w14:textId="77777777" w:rsidTr="007A627A">
        <w:tc>
          <w:tcPr>
            <w:tcW w:w="1555" w:type="dxa"/>
          </w:tcPr>
          <w:p w14:paraId="25804F56" w14:textId="77777777" w:rsidR="00A16DDB" w:rsidRPr="00D95127" w:rsidRDefault="00A16DDB" w:rsidP="007A627A">
            <w:pPr>
              <w:rPr>
                <w:szCs w:val="24"/>
              </w:rPr>
            </w:pPr>
            <w:r w:rsidRPr="00D95127">
              <w:rPr>
                <w:szCs w:val="24"/>
              </w:rPr>
              <w:t>ANC</w:t>
            </w:r>
          </w:p>
        </w:tc>
        <w:tc>
          <w:tcPr>
            <w:tcW w:w="8646" w:type="dxa"/>
          </w:tcPr>
          <w:p w14:paraId="46704B84" w14:textId="77777777" w:rsidR="00A16DDB" w:rsidRPr="00D95127" w:rsidRDefault="00A16DDB" w:rsidP="007A627A">
            <w:pPr>
              <w:rPr>
                <w:bCs/>
                <w:szCs w:val="24"/>
              </w:rPr>
            </w:pPr>
            <w:r w:rsidRPr="00D95127">
              <w:rPr>
                <w:bCs/>
                <w:szCs w:val="24"/>
              </w:rPr>
              <w:t>Oblasti s přírodními znevýhodněními</w:t>
            </w:r>
          </w:p>
        </w:tc>
      </w:tr>
      <w:tr w:rsidR="00A16DDB" w:rsidRPr="00D95127" w14:paraId="41BDB6C6" w14:textId="77777777" w:rsidTr="007A627A">
        <w:tc>
          <w:tcPr>
            <w:tcW w:w="1555" w:type="dxa"/>
          </w:tcPr>
          <w:p w14:paraId="794D33B7" w14:textId="77777777" w:rsidR="00A16DDB" w:rsidRPr="00D95127" w:rsidRDefault="00A16DDB" w:rsidP="007A627A">
            <w:pPr>
              <w:rPr>
                <w:szCs w:val="24"/>
              </w:rPr>
            </w:pPr>
            <w:r w:rsidRPr="00D95127">
              <w:rPr>
                <w:szCs w:val="24"/>
              </w:rPr>
              <w:t>AZO</w:t>
            </w:r>
          </w:p>
        </w:tc>
        <w:tc>
          <w:tcPr>
            <w:tcW w:w="8646" w:type="dxa"/>
          </w:tcPr>
          <w:p w14:paraId="21C5F110" w14:textId="77777777" w:rsidR="00A16DDB" w:rsidRPr="00D95127" w:rsidRDefault="00A16DDB" w:rsidP="007A627A">
            <w:pPr>
              <w:rPr>
                <w:bCs/>
                <w:szCs w:val="24"/>
              </w:rPr>
            </w:pPr>
            <w:r w:rsidRPr="00D95127">
              <w:rPr>
                <w:bCs/>
                <w:szCs w:val="24"/>
              </w:rPr>
              <w:t>Agrární zahraniční obchod</w:t>
            </w:r>
          </w:p>
        </w:tc>
      </w:tr>
      <w:tr w:rsidR="00A16DDB" w:rsidRPr="00D95127" w14:paraId="255E37A8" w14:textId="77777777" w:rsidTr="007A627A">
        <w:tc>
          <w:tcPr>
            <w:tcW w:w="1555" w:type="dxa"/>
          </w:tcPr>
          <w:p w14:paraId="26199A1B" w14:textId="77777777" w:rsidR="00A16DDB" w:rsidRPr="00D95127" w:rsidRDefault="00A16DDB" w:rsidP="007A627A">
            <w:pPr>
              <w:rPr>
                <w:szCs w:val="24"/>
              </w:rPr>
            </w:pPr>
            <w:r w:rsidRPr="00D95127">
              <w:rPr>
                <w:szCs w:val="24"/>
              </w:rPr>
              <w:t>CIS</w:t>
            </w:r>
          </w:p>
        </w:tc>
        <w:tc>
          <w:tcPr>
            <w:tcW w:w="8646" w:type="dxa"/>
          </w:tcPr>
          <w:p w14:paraId="3F39BEEC" w14:textId="77777777" w:rsidR="00A16DDB" w:rsidRPr="00D95127" w:rsidRDefault="00A16DDB" w:rsidP="007A627A">
            <w:pPr>
              <w:rPr>
                <w:bCs/>
                <w:szCs w:val="24"/>
              </w:rPr>
            </w:pPr>
            <w:r w:rsidRPr="00D95127">
              <w:rPr>
                <w:szCs w:val="24"/>
              </w:rPr>
              <w:t>Coupled income support  - Vázaná příjmová podpora, dříve VCS</w:t>
            </w:r>
          </w:p>
        </w:tc>
      </w:tr>
      <w:tr w:rsidR="00A16DDB" w:rsidRPr="00D95127" w14:paraId="50BB8774" w14:textId="77777777" w:rsidTr="007A627A">
        <w:tc>
          <w:tcPr>
            <w:tcW w:w="1555" w:type="dxa"/>
          </w:tcPr>
          <w:p w14:paraId="2A89EC4B" w14:textId="77777777" w:rsidR="00A16DDB" w:rsidRPr="00D95127" w:rsidRDefault="00A16DDB" w:rsidP="007A627A">
            <w:pPr>
              <w:rPr>
                <w:szCs w:val="24"/>
              </w:rPr>
            </w:pPr>
            <w:r w:rsidRPr="00D95127">
              <w:rPr>
                <w:szCs w:val="24"/>
              </w:rPr>
              <w:t>ČBS</w:t>
            </w:r>
          </w:p>
        </w:tc>
        <w:tc>
          <w:tcPr>
            <w:tcW w:w="8646" w:type="dxa"/>
          </w:tcPr>
          <w:p w14:paraId="083ABEEF" w14:textId="77777777" w:rsidR="00A16DDB" w:rsidRPr="00D95127" w:rsidRDefault="00A16DDB" w:rsidP="007A627A">
            <w:pPr>
              <w:rPr>
                <w:bCs/>
                <w:szCs w:val="24"/>
              </w:rPr>
            </w:pPr>
            <w:r w:rsidRPr="00D95127">
              <w:rPr>
                <w:bCs/>
                <w:szCs w:val="24"/>
              </w:rPr>
              <w:t>Český bramborářský svaz</w:t>
            </w:r>
          </w:p>
        </w:tc>
      </w:tr>
      <w:tr w:rsidR="00A16DDB" w:rsidRPr="00D95127" w14:paraId="0A062F67" w14:textId="77777777" w:rsidTr="007A627A">
        <w:tc>
          <w:tcPr>
            <w:tcW w:w="1555" w:type="dxa"/>
          </w:tcPr>
          <w:p w14:paraId="4548428F" w14:textId="77777777" w:rsidR="00A16DDB" w:rsidRPr="00D95127" w:rsidRDefault="00A16DDB" w:rsidP="007A627A">
            <w:pPr>
              <w:rPr>
                <w:szCs w:val="24"/>
              </w:rPr>
            </w:pPr>
            <w:r w:rsidRPr="00D95127">
              <w:rPr>
                <w:szCs w:val="24"/>
              </w:rPr>
              <w:t>ČPH/AWU</w:t>
            </w:r>
          </w:p>
        </w:tc>
        <w:tc>
          <w:tcPr>
            <w:tcW w:w="8646" w:type="dxa"/>
          </w:tcPr>
          <w:p w14:paraId="002E447D" w14:textId="77777777" w:rsidR="00A16DDB" w:rsidRPr="00D95127" w:rsidRDefault="00A16DDB" w:rsidP="007A627A">
            <w:pPr>
              <w:rPr>
                <w:bCs/>
                <w:szCs w:val="24"/>
              </w:rPr>
            </w:pPr>
            <w:r w:rsidRPr="00D95127">
              <w:rPr>
                <w:bCs/>
                <w:szCs w:val="24"/>
              </w:rPr>
              <w:t>Čistá přidaná hodnota na přepočteného pracovníka</w:t>
            </w:r>
          </w:p>
        </w:tc>
      </w:tr>
      <w:tr w:rsidR="00A16DDB" w:rsidRPr="00D95127" w14:paraId="61961F17" w14:textId="77777777" w:rsidTr="007A627A">
        <w:tc>
          <w:tcPr>
            <w:tcW w:w="1555" w:type="dxa"/>
          </w:tcPr>
          <w:p w14:paraId="2A553A8B" w14:textId="77777777" w:rsidR="00A16DDB" w:rsidRPr="00D95127" w:rsidRDefault="00A16DDB" w:rsidP="007A627A">
            <w:pPr>
              <w:rPr>
                <w:szCs w:val="24"/>
              </w:rPr>
            </w:pPr>
            <w:r w:rsidRPr="00D95127">
              <w:rPr>
                <w:szCs w:val="24"/>
              </w:rPr>
              <w:t>ČR</w:t>
            </w:r>
          </w:p>
        </w:tc>
        <w:tc>
          <w:tcPr>
            <w:tcW w:w="8646" w:type="dxa"/>
          </w:tcPr>
          <w:p w14:paraId="22B3AA39" w14:textId="77777777" w:rsidR="00A16DDB" w:rsidRPr="00D95127" w:rsidRDefault="00A16DDB" w:rsidP="007A627A">
            <w:pPr>
              <w:rPr>
                <w:bCs/>
                <w:szCs w:val="24"/>
              </w:rPr>
            </w:pPr>
            <w:r w:rsidRPr="00D95127">
              <w:rPr>
                <w:bCs/>
                <w:szCs w:val="24"/>
              </w:rPr>
              <w:t>Česká republika</w:t>
            </w:r>
          </w:p>
        </w:tc>
      </w:tr>
      <w:tr w:rsidR="00A16DDB" w:rsidRPr="00D95127" w14:paraId="5975A018" w14:textId="77777777" w:rsidTr="007A627A">
        <w:tc>
          <w:tcPr>
            <w:tcW w:w="1555" w:type="dxa"/>
          </w:tcPr>
          <w:p w14:paraId="57339766" w14:textId="77777777" w:rsidR="00A16DDB" w:rsidRPr="00D95127" w:rsidRDefault="00A16DDB" w:rsidP="007A627A">
            <w:pPr>
              <w:rPr>
                <w:szCs w:val="24"/>
              </w:rPr>
            </w:pPr>
            <w:r w:rsidRPr="00D95127">
              <w:rPr>
                <w:szCs w:val="24"/>
              </w:rPr>
              <w:t>ČSÚ</w:t>
            </w:r>
          </w:p>
        </w:tc>
        <w:tc>
          <w:tcPr>
            <w:tcW w:w="8646" w:type="dxa"/>
          </w:tcPr>
          <w:p w14:paraId="714404B6" w14:textId="77777777" w:rsidR="00A16DDB" w:rsidRPr="00D95127" w:rsidRDefault="00A16DDB" w:rsidP="007A627A">
            <w:pPr>
              <w:rPr>
                <w:bCs/>
                <w:szCs w:val="24"/>
              </w:rPr>
            </w:pPr>
            <w:r w:rsidRPr="00D95127">
              <w:rPr>
                <w:bCs/>
                <w:szCs w:val="24"/>
              </w:rPr>
              <w:t>Český statistický úřad</w:t>
            </w:r>
          </w:p>
        </w:tc>
      </w:tr>
      <w:tr w:rsidR="00A16DDB" w:rsidRPr="00D95127" w14:paraId="6490B21F" w14:textId="77777777" w:rsidTr="007A627A">
        <w:tc>
          <w:tcPr>
            <w:tcW w:w="1555" w:type="dxa"/>
          </w:tcPr>
          <w:p w14:paraId="108B9ACE" w14:textId="77777777" w:rsidR="00A16DDB" w:rsidRPr="00D95127" w:rsidRDefault="00A16DDB" w:rsidP="007A627A">
            <w:pPr>
              <w:rPr>
                <w:szCs w:val="24"/>
              </w:rPr>
            </w:pPr>
            <w:r w:rsidRPr="00D95127">
              <w:rPr>
                <w:szCs w:val="24"/>
              </w:rPr>
              <w:t>DJ</w:t>
            </w:r>
          </w:p>
        </w:tc>
        <w:tc>
          <w:tcPr>
            <w:tcW w:w="8646" w:type="dxa"/>
          </w:tcPr>
          <w:p w14:paraId="56BE7B65" w14:textId="77777777" w:rsidR="00A16DDB" w:rsidRPr="00D95127" w:rsidRDefault="00A16DDB" w:rsidP="007A627A">
            <w:pPr>
              <w:rPr>
                <w:bCs/>
                <w:szCs w:val="24"/>
              </w:rPr>
            </w:pPr>
            <w:r w:rsidRPr="00D95127">
              <w:rPr>
                <w:bCs/>
                <w:szCs w:val="24"/>
              </w:rPr>
              <w:t>Dobytčí jednotka</w:t>
            </w:r>
          </w:p>
        </w:tc>
      </w:tr>
      <w:tr w:rsidR="00A16DDB" w:rsidRPr="00D95127" w14:paraId="3656671A" w14:textId="77777777" w:rsidTr="007A627A">
        <w:tc>
          <w:tcPr>
            <w:tcW w:w="1555" w:type="dxa"/>
          </w:tcPr>
          <w:p w14:paraId="1E0E46B3" w14:textId="77777777" w:rsidR="00A16DDB" w:rsidRPr="00D95127" w:rsidRDefault="00A16DDB" w:rsidP="007A627A">
            <w:pPr>
              <w:rPr>
                <w:szCs w:val="24"/>
              </w:rPr>
            </w:pPr>
            <w:r w:rsidRPr="00D95127">
              <w:rPr>
                <w:szCs w:val="24"/>
              </w:rPr>
              <w:t>DPB</w:t>
            </w:r>
          </w:p>
        </w:tc>
        <w:tc>
          <w:tcPr>
            <w:tcW w:w="8646" w:type="dxa"/>
          </w:tcPr>
          <w:p w14:paraId="24BB0909" w14:textId="77777777" w:rsidR="00A16DDB" w:rsidRPr="00D95127" w:rsidRDefault="00A16DDB" w:rsidP="007A627A">
            <w:pPr>
              <w:rPr>
                <w:bCs/>
                <w:szCs w:val="24"/>
              </w:rPr>
            </w:pPr>
            <w:r w:rsidRPr="00D95127">
              <w:rPr>
                <w:bCs/>
                <w:szCs w:val="24"/>
              </w:rPr>
              <w:t>Díl půdního bloku</w:t>
            </w:r>
          </w:p>
        </w:tc>
      </w:tr>
      <w:tr w:rsidR="00A16DDB" w:rsidRPr="00D95127" w14:paraId="561C561E" w14:textId="77777777" w:rsidTr="007A627A">
        <w:tc>
          <w:tcPr>
            <w:tcW w:w="1555" w:type="dxa"/>
          </w:tcPr>
          <w:p w14:paraId="2BBE1934" w14:textId="77777777" w:rsidR="00A16DDB" w:rsidRPr="00D95127" w:rsidRDefault="00A16DDB" w:rsidP="007A627A">
            <w:pPr>
              <w:rPr>
                <w:szCs w:val="24"/>
              </w:rPr>
            </w:pPr>
            <w:r w:rsidRPr="00D95127">
              <w:rPr>
                <w:szCs w:val="24"/>
              </w:rPr>
              <w:t>DŽPZ</w:t>
            </w:r>
          </w:p>
        </w:tc>
        <w:tc>
          <w:tcPr>
            <w:tcW w:w="8646" w:type="dxa"/>
          </w:tcPr>
          <w:p w14:paraId="36D9A1AE" w14:textId="77777777" w:rsidR="00A16DDB" w:rsidRPr="00D95127" w:rsidRDefault="00A16DDB" w:rsidP="007A627A">
            <w:pPr>
              <w:rPr>
                <w:bCs/>
                <w:szCs w:val="24"/>
              </w:rPr>
            </w:pPr>
            <w:r w:rsidRPr="00D95127">
              <w:rPr>
                <w:bCs/>
                <w:szCs w:val="24"/>
              </w:rPr>
              <w:t>Dobré životní podmínky zvířat</w:t>
            </w:r>
          </w:p>
        </w:tc>
      </w:tr>
      <w:tr w:rsidR="00A16DDB" w:rsidRPr="00D95127" w14:paraId="4F011FEB" w14:textId="77777777" w:rsidTr="007A627A">
        <w:tc>
          <w:tcPr>
            <w:tcW w:w="1555" w:type="dxa"/>
          </w:tcPr>
          <w:p w14:paraId="1820A8CC" w14:textId="77777777" w:rsidR="00A16DDB" w:rsidRPr="00D95127" w:rsidRDefault="00A16DDB" w:rsidP="007A627A">
            <w:pPr>
              <w:rPr>
                <w:szCs w:val="24"/>
              </w:rPr>
            </w:pPr>
            <w:r w:rsidRPr="00D95127">
              <w:rPr>
                <w:szCs w:val="24"/>
              </w:rPr>
              <w:t>EAFRD</w:t>
            </w:r>
          </w:p>
        </w:tc>
        <w:tc>
          <w:tcPr>
            <w:tcW w:w="8646" w:type="dxa"/>
          </w:tcPr>
          <w:p w14:paraId="37F8632A" w14:textId="77777777" w:rsidR="00A16DDB" w:rsidRPr="00D95127" w:rsidRDefault="00A16DDB" w:rsidP="007A627A">
            <w:pPr>
              <w:rPr>
                <w:bCs/>
                <w:szCs w:val="24"/>
              </w:rPr>
            </w:pPr>
            <w:r w:rsidRPr="00D95127">
              <w:rPr>
                <w:bCs/>
                <w:szCs w:val="24"/>
              </w:rPr>
              <w:t>Evropský zemědělský fond pro rozvoj venkova</w:t>
            </w:r>
          </w:p>
        </w:tc>
      </w:tr>
      <w:tr w:rsidR="00A16DDB" w:rsidRPr="00D95127" w14:paraId="3BF54A6E" w14:textId="77777777" w:rsidTr="007A627A">
        <w:tc>
          <w:tcPr>
            <w:tcW w:w="1555" w:type="dxa"/>
          </w:tcPr>
          <w:p w14:paraId="79325628" w14:textId="77777777" w:rsidR="00A16DDB" w:rsidRPr="00D95127" w:rsidRDefault="00A16DDB" w:rsidP="007A627A">
            <w:pPr>
              <w:rPr>
                <w:szCs w:val="24"/>
              </w:rPr>
            </w:pPr>
            <w:r w:rsidRPr="00D95127">
              <w:rPr>
                <w:szCs w:val="24"/>
              </w:rPr>
              <w:t>ECM</w:t>
            </w:r>
          </w:p>
        </w:tc>
        <w:tc>
          <w:tcPr>
            <w:tcW w:w="8646" w:type="dxa"/>
          </w:tcPr>
          <w:p w14:paraId="1B2029EE" w14:textId="77777777" w:rsidR="00A16DDB" w:rsidRPr="00D95127" w:rsidRDefault="00A16DDB" w:rsidP="007A627A">
            <w:pPr>
              <w:rPr>
                <w:bCs/>
                <w:szCs w:val="24"/>
              </w:rPr>
            </w:pPr>
            <w:r w:rsidRPr="00D95127">
              <w:rPr>
                <w:bCs/>
                <w:szCs w:val="24"/>
              </w:rPr>
              <w:t>Energy Corrected Milk</w:t>
            </w:r>
          </w:p>
        </w:tc>
      </w:tr>
      <w:tr w:rsidR="00A16DDB" w:rsidRPr="00D95127" w14:paraId="53E25E90" w14:textId="77777777" w:rsidTr="007A627A">
        <w:tc>
          <w:tcPr>
            <w:tcW w:w="1555" w:type="dxa"/>
          </w:tcPr>
          <w:p w14:paraId="4C3535ED" w14:textId="77777777" w:rsidR="00A16DDB" w:rsidRPr="00D95127" w:rsidRDefault="00A16DDB" w:rsidP="007A627A">
            <w:pPr>
              <w:rPr>
                <w:szCs w:val="24"/>
              </w:rPr>
            </w:pPr>
            <w:r w:rsidRPr="00D95127">
              <w:rPr>
                <w:szCs w:val="24"/>
              </w:rPr>
              <w:t>EIP</w:t>
            </w:r>
          </w:p>
        </w:tc>
        <w:tc>
          <w:tcPr>
            <w:tcW w:w="8646" w:type="dxa"/>
          </w:tcPr>
          <w:p w14:paraId="3062A861" w14:textId="77777777" w:rsidR="00A16DDB" w:rsidRPr="00D95127" w:rsidRDefault="00A16DDB" w:rsidP="007A627A">
            <w:pPr>
              <w:rPr>
                <w:bCs/>
                <w:szCs w:val="24"/>
              </w:rPr>
            </w:pPr>
            <w:r w:rsidRPr="00D95127">
              <w:rPr>
                <w:bCs/>
                <w:szCs w:val="24"/>
              </w:rPr>
              <w:t>Evropské inovační partnerství</w:t>
            </w:r>
          </w:p>
        </w:tc>
      </w:tr>
      <w:tr w:rsidR="00A16DDB" w:rsidRPr="00D95127" w14:paraId="67F4A120" w14:textId="77777777" w:rsidTr="007A627A">
        <w:tc>
          <w:tcPr>
            <w:tcW w:w="1555" w:type="dxa"/>
          </w:tcPr>
          <w:p w14:paraId="2E52A589" w14:textId="77777777" w:rsidR="00A16DDB" w:rsidRPr="00D95127" w:rsidRDefault="00A16DDB" w:rsidP="007A627A">
            <w:pPr>
              <w:rPr>
                <w:szCs w:val="24"/>
              </w:rPr>
            </w:pPr>
            <w:r w:rsidRPr="00D95127">
              <w:rPr>
                <w:szCs w:val="24"/>
              </w:rPr>
              <w:t>EK</w:t>
            </w:r>
          </w:p>
        </w:tc>
        <w:tc>
          <w:tcPr>
            <w:tcW w:w="8646" w:type="dxa"/>
          </w:tcPr>
          <w:p w14:paraId="33A54FD6" w14:textId="77777777" w:rsidR="00A16DDB" w:rsidRPr="00D95127" w:rsidRDefault="00A16DDB" w:rsidP="007A627A">
            <w:pPr>
              <w:rPr>
                <w:bCs/>
                <w:szCs w:val="24"/>
              </w:rPr>
            </w:pPr>
            <w:r w:rsidRPr="00D95127">
              <w:rPr>
                <w:szCs w:val="24"/>
              </w:rPr>
              <w:t>Evropská Komise</w:t>
            </w:r>
          </w:p>
        </w:tc>
      </w:tr>
      <w:tr w:rsidR="00A16DDB" w:rsidRPr="00D95127" w14:paraId="1ACA6368" w14:textId="77777777" w:rsidTr="007A627A">
        <w:tc>
          <w:tcPr>
            <w:tcW w:w="1555" w:type="dxa"/>
          </w:tcPr>
          <w:p w14:paraId="2ED64768" w14:textId="77777777" w:rsidR="00A16DDB" w:rsidRPr="00D95127" w:rsidRDefault="00A16DDB" w:rsidP="007A627A">
            <w:pPr>
              <w:rPr>
                <w:szCs w:val="24"/>
              </w:rPr>
            </w:pPr>
            <w:r w:rsidRPr="00D95127">
              <w:rPr>
                <w:szCs w:val="24"/>
              </w:rPr>
              <w:t>EU</w:t>
            </w:r>
          </w:p>
        </w:tc>
        <w:tc>
          <w:tcPr>
            <w:tcW w:w="8646" w:type="dxa"/>
          </w:tcPr>
          <w:p w14:paraId="6D7E2124" w14:textId="77777777" w:rsidR="00A16DDB" w:rsidRPr="00D95127" w:rsidRDefault="00A16DDB" w:rsidP="007A627A">
            <w:pPr>
              <w:rPr>
                <w:bCs/>
                <w:szCs w:val="24"/>
              </w:rPr>
            </w:pPr>
            <w:r w:rsidRPr="00D95127">
              <w:rPr>
                <w:szCs w:val="24"/>
              </w:rPr>
              <w:t>Evropská Unie</w:t>
            </w:r>
          </w:p>
        </w:tc>
      </w:tr>
      <w:tr w:rsidR="00A16DDB" w:rsidRPr="00D95127" w14:paraId="6846EDD4" w14:textId="77777777" w:rsidTr="007A627A">
        <w:tc>
          <w:tcPr>
            <w:tcW w:w="1555" w:type="dxa"/>
          </w:tcPr>
          <w:p w14:paraId="61545409" w14:textId="77777777" w:rsidR="00A16DDB" w:rsidRPr="00D95127" w:rsidRDefault="00A16DDB" w:rsidP="007A627A">
            <w:pPr>
              <w:rPr>
                <w:szCs w:val="24"/>
              </w:rPr>
            </w:pPr>
            <w:r w:rsidRPr="00D95127">
              <w:rPr>
                <w:szCs w:val="24"/>
              </w:rPr>
              <w:t>FADN</w:t>
            </w:r>
          </w:p>
        </w:tc>
        <w:tc>
          <w:tcPr>
            <w:tcW w:w="8646" w:type="dxa"/>
          </w:tcPr>
          <w:p w14:paraId="7B28D381" w14:textId="77777777" w:rsidR="00A16DDB" w:rsidRPr="00D95127" w:rsidRDefault="00A16DDB" w:rsidP="007A627A">
            <w:pPr>
              <w:rPr>
                <w:bCs/>
                <w:szCs w:val="24"/>
              </w:rPr>
            </w:pPr>
            <w:r w:rsidRPr="00D95127">
              <w:rPr>
                <w:szCs w:val="24"/>
              </w:rPr>
              <w:t>Zemědělská</w:t>
            </w:r>
            <w:r w:rsidRPr="00D95127">
              <w:rPr>
                <w:bCs/>
                <w:szCs w:val="24"/>
              </w:rPr>
              <w:t xml:space="preserve"> účetní datová síť</w:t>
            </w:r>
          </w:p>
        </w:tc>
      </w:tr>
      <w:tr w:rsidR="00A16DDB" w:rsidRPr="00D95127" w14:paraId="5E23534C" w14:textId="77777777" w:rsidTr="007A627A">
        <w:tc>
          <w:tcPr>
            <w:tcW w:w="1555" w:type="dxa"/>
          </w:tcPr>
          <w:p w14:paraId="041EC280" w14:textId="77777777" w:rsidR="00A16DDB" w:rsidRPr="00D95127" w:rsidRDefault="00A16DDB" w:rsidP="007A627A">
            <w:pPr>
              <w:rPr>
                <w:szCs w:val="24"/>
              </w:rPr>
            </w:pPr>
            <w:r w:rsidRPr="00D95127">
              <w:rPr>
                <w:szCs w:val="24"/>
              </w:rPr>
              <w:t>GMO</w:t>
            </w:r>
          </w:p>
        </w:tc>
        <w:tc>
          <w:tcPr>
            <w:tcW w:w="8646" w:type="dxa"/>
          </w:tcPr>
          <w:p w14:paraId="2B184BDE" w14:textId="77777777" w:rsidR="00A16DDB" w:rsidRPr="00D95127" w:rsidRDefault="00A16DDB" w:rsidP="007A627A">
            <w:pPr>
              <w:rPr>
                <w:bCs/>
                <w:szCs w:val="24"/>
              </w:rPr>
            </w:pPr>
            <w:r w:rsidRPr="00D95127">
              <w:rPr>
                <w:szCs w:val="24"/>
              </w:rPr>
              <w:t>Geneticky modifikované organismy</w:t>
            </w:r>
          </w:p>
        </w:tc>
      </w:tr>
      <w:tr w:rsidR="00A16DDB" w:rsidRPr="00D95127" w14:paraId="77641B76" w14:textId="77777777" w:rsidTr="007A627A">
        <w:tc>
          <w:tcPr>
            <w:tcW w:w="1555" w:type="dxa"/>
          </w:tcPr>
          <w:p w14:paraId="0C3F67AC" w14:textId="77777777" w:rsidR="00A16DDB" w:rsidRPr="00D95127" w:rsidRDefault="00A16DDB" w:rsidP="007A627A">
            <w:pPr>
              <w:rPr>
                <w:szCs w:val="24"/>
              </w:rPr>
            </w:pPr>
            <w:r w:rsidRPr="00D95127">
              <w:rPr>
                <w:szCs w:val="24"/>
              </w:rPr>
              <w:t>IBR</w:t>
            </w:r>
          </w:p>
        </w:tc>
        <w:tc>
          <w:tcPr>
            <w:tcW w:w="8646" w:type="dxa"/>
          </w:tcPr>
          <w:p w14:paraId="7778FBE3" w14:textId="77777777" w:rsidR="00A16DDB" w:rsidRPr="00D95127" w:rsidRDefault="00A16DDB" w:rsidP="007A627A">
            <w:pPr>
              <w:rPr>
                <w:szCs w:val="24"/>
              </w:rPr>
            </w:pPr>
            <w:r w:rsidRPr="00D95127">
              <w:rPr>
                <w:szCs w:val="24"/>
              </w:rPr>
              <w:t>Infekční bovinní rinotracheitida</w:t>
            </w:r>
          </w:p>
        </w:tc>
      </w:tr>
      <w:tr w:rsidR="00A16DDB" w:rsidRPr="00D95127" w14:paraId="642A8451" w14:textId="77777777" w:rsidTr="007A627A">
        <w:tc>
          <w:tcPr>
            <w:tcW w:w="1555" w:type="dxa"/>
          </w:tcPr>
          <w:p w14:paraId="567E8290" w14:textId="77777777" w:rsidR="00A16DDB" w:rsidRPr="00D95127" w:rsidRDefault="00A16DDB" w:rsidP="007A627A">
            <w:pPr>
              <w:rPr>
                <w:szCs w:val="24"/>
              </w:rPr>
            </w:pPr>
            <w:r w:rsidRPr="00D95127">
              <w:rPr>
                <w:szCs w:val="24"/>
              </w:rPr>
              <w:t>IPKB</w:t>
            </w:r>
          </w:p>
        </w:tc>
        <w:tc>
          <w:tcPr>
            <w:tcW w:w="8646" w:type="dxa"/>
          </w:tcPr>
          <w:p w14:paraId="4E63C287" w14:textId="77777777" w:rsidR="00A16DDB" w:rsidRPr="00D95127" w:rsidRDefault="00A16DDB" w:rsidP="007A627A">
            <w:pPr>
              <w:rPr>
                <w:bCs/>
                <w:szCs w:val="24"/>
              </w:rPr>
            </w:pPr>
            <w:r w:rsidRPr="00D95127">
              <w:rPr>
                <w:szCs w:val="24"/>
              </w:rPr>
              <w:t>Integrovaná</w:t>
            </w:r>
            <w:r w:rsidRPr="00D95127">
              <w:rPr>
                <w:bCs/>
                <w:szCs w:val="24"/>
              </w:rPr>
              <w:t xml:space="preserve"> produkce konzumních brambor</w:t>
            </w:r>
          </w:p>
        </w:tc>
      </w:tr>
      <w:tr w:rsidR="00A16DDB" w:rsidRPr="00D95127" w14:paraId="15E0696D" w14:textId="77777777" w:rsidTr="007A627A">
        <w:tc>
          <w:tcPr>
            <w:tcW w:w="1555" w:type="dxa"/>
          </w:tcPr>
          <w:p w14:paraId="4E22F802" w14:textId="77777777" w:rsidR="00A16DDB" w:rsidRPr="00D95127" w:rsidRDefault="00A16DDB" w:rsidP="007A627A">
            <w:pPr>
              <w:rPr>
                <w:szCs w:val="24"/>
              </w:rPr>
            </w:pPr>
            <w:r w:rsidRPr="00D95127">
              <w:rPr>
                <w:szCs w:val="24"/>
              </w:rPr>
              <w:t>KBTPM</w:t>
            </w:r>
          </w:p>
        </w:tc>
        <w:tc>
          <w:tcPr>
            <w:tcW w:w="8646" w:type="dxa"/>
          </w:tcPr>
          <w:p w14:paraId="2E9143BD" w14:textId="77777777" w:rsidR="00A16DDB" w:rsidRPr="00D95127" w:rsidRDefault="00A16DDB" w:rsidP="007A627A">
            <w:pPr>
              <w:rPr>
                <w:bCs/>
                <w:szCs w:val="24"/>
              </w:rPr>
            </w:pPr>
            <w:r w:rsidRPr="00D95127">
              <w:rPr>
                <w:szCs w:val="24"/>
              </w:rPr>
              <w:t>Krávy bez tržní produkce mléka</w:t>
            </w:r>
          </w:p>
        </w:tc>
      </w:tr>
      <w:tr w:rsidR="00A16DDB" w:rsidRPr="00D95127" w14:paraId="110EC68A" w14:textId="77777777" w:rsidTr="007A627A">
        <w:tc>
          <w:tcPr>
            <w:tcW w:w="1555" w:type="dxa"/>
          </w:tcPr>
          <w:p w14:paraId="5D39442D" w14:textId="77777777" w:rsidR="00A16DDB" w:rsidRPr="00D95127" w:rsidRDefault="00A16DDB" w:rsidP="007A627A">
            <w:pPr>
              <w:rPr>
                <w:szCs w:val="24"/>
              </w:rPr>
            </w:pPr>
            <w:r w:rsidRPr="00D95127">
              <w:rPr>
                <w:szCs w:val="24"/>
              </w:rPr>
              <w:t>KDŘ</w:t>
            </w:r>
          </w:p>
        </w:tc>
        <w:tc>
          <w:tcPr>
            <w:tcW w:w="8646" w:type="dxa"/>
          </w:tcPr>
          <w:p w14:paraId="78F95A6B" w14:textId="77777777" w:rsidR="00A16DDB" w:rsidRPr="00D95127" w:rsidRDefault="00A16DDB" w:rsidP="007A627A">
            <w:pPr>
              <w:rPr>
                <w:bCs/>
                <w:szCs w:val="24"/>
              </w:rPr>
            </w:pPr>
            <w:r w:rsidRPr="00D95127">
              <w:rPr>
                <w:szCs w:val="24"/>
              </w:rPr>
              <w:t>K</w:t>
            </w:r>
            <w:r w:rsidRPr="00D95127">
              <w:rPr>
                <w:bCs/>
                <w:szCs w:val="24"/>
              </w:rPr>
              <w:t>rátký dodavatelský řetězec</w:t>
            </w:r>
          </w:p>
        </w:tc>
      </w:tr>
      <w:tr w:rsidR="00A16DDB" w:rsidRPr="00D95127" w14:paraId="3AE2AA25" w14:textId="77777777" w:rsidTr="007A627A">
        <w:tc>
          <w:tcPr>
            <w:tcW w:w="1555" w:type="dxa"/>
          </w:tcPr>
          <w:p w14:paraId="7EE365C9" w14:textId="77777777" w:rsidR="00A16DDB" w:rsidRPr="00D95127" w:rsidRDefault="00A16DDB" w:rsidP="007A627A">
            <w:pPr>
              <w:rPr>
                <w:szCs w:val="24"/>
              </w:rPr>
            </w:pPr>
            <w:r w:rsidRPr="00D95127">
              <w:rPr>
                <w:szCs w:val="24"/>
              </w:rPr>
              <w:t>LFA</w:t>
            </w:r>
          </w:p>
        </w:tc>
        <w:tc>
          <w:tcPr>
            <w:tcW w:w="8646" w:type="dxa"/>
          </w:tcPr>
          <w:p w14:paraId="74C4BF0F" w14:textId="77777777" w:rsidR="00A16DDB" w:rsidRPr="00D95127" w:rsidRDefault="00A16DDB" w:rsidP="007A627A">
            <w:pPr>
              <w:rPr>
                <w:bCs/>
                <w:szCs w:val="24"/>
              </w:rPr>
            </w:pPr>
            <w:r w:rsidRPr="00D95127">
              <w:rPr>
                <w:szCs w:val="24"/>
              </w:rPr>
              <w:t>Méně příznivé oblasti</w:t>
            </w:r>
          </w:p>
        </w:tc>
      </w:tr>
      <w:tr w:rsidR="00A16DDB" w:rsidRPr="00D95127" w14:paraId="27679F08" w14:textId="77777777" w:rsidTr="007A627A">
        <w:tc>
          <w:tcPr>
            <w:tcW w:w="1555" w:type="dxa"/>
          </w:tcPr>
          <w:p w14:paraId="24A6257C" w14:textId="77777777" w:rsidR="00A16DDB" w:rsidRPr="00D95127" w:rsidRDefault="00A16DDB" w:rsidP="007A627A">
            <w:pPr>
              <w:rPr>
                <w:szCs w:val="24"/>
              </w:rPr>
            </w:pPr>
            <w:r w:rsidRPr="00D95127">
              <w:rPr>
                <w:szCs w:val="24"/>
              </w:rPr>
              <w:t>LPIS</w:t>
            </w:r>
          </w:p>
        </w:tc>
        <w:tc>
          <w:tcPr>
            <w:tcW w:w="8646" w:type="dxa"/>
          </w:tcPr>
          <w:p w14:paraId="14F8C9EF" w14:textId="77777777" w:rsidR="00A16DDB" w:rsidRPr="00D95127" w:rsidRDefault="00A16DDB" w:rsidP="007A627A">
            <w:pPr>
              <w:rPr>
                <w:bCs/>
                <w:szCs w:val="24"/>
              </w:rPr>
            </w:pPr>
            <w:r w:rsidRPr="00D95127">
              <w:rPr>
                <w:szCs w:val="24"/>
              </w:rPr>
              <w:t>Veřejný registr půdy</w:t>
            </w:r>
          </w:p>
        </w:tc>
      </w:tr>
      <w:tr w:rsidR="00A16DDB" w:rsidRPr="00D95127" w14:paraId="0160ECE9" w14:textId="77777777" w:rsidTr="007A627A">
        <w:tc>
          <w:tcPr>
            <w:tcW w:w="1555" w:type="dxa"/>
          </w:tcPr>
          <w:p w14:paraId="4D4CBB24" w14:textId="77777777" w:rsidR="00A16DDB" w:rsidRPr="00D95127" w:rsidRDefault="00A16DDB" w:rsidP="007A627A">
            <w:pPr>
              <w:rPr>
                <w:szCs w:val="24"/>
              </w:rPr>
            </w:pPr>
            <w:r w:rsidRPr="00D95127">
              <w:rPr>
                <w:szCs w:val="24"/>
              </w:rPr>
              <w:t>NČZ</w:t>
            </w:r>
          </w:p>
        </w:tc>
        <w:tc>
          <w:tcPr>
            <w:tcW w:w="8646" w:type="dxa"/>
          </w:tcPr>
          <w:p w14:paraId="13B427A0" w14:textId="77777777" w:rsidR="00A16DDB" w:rsidRPr="00D95127" w:rsidRDefault="00A16DDB" w:rsidP="007A627A">
            <w:pPr>
              <w:rPr>
                <w:bCs/>
                <w:szCs w:val="24"/>
              </w:rPr>
            </w:pPr>
            <w:r w:rsidRPr="00D95127">
              <w:rPr>
                <w:bCs/>
                <w:szCs w:val="24"/>
              </w:rPr>
              <w:t>Nové členské země EU</w:t>
            </w:r>
          </w:p>
        </w:tc>
      </w:tr>
      <w:tr w:rsidR="00A16DDB" w:rsidRPr="00D95127" w14:paraId="4300B919" w14:textId="77777777" w:rsidTr="007A627A">
        <w:tc>
          <w:tcPr>
            <w:tcW w:w="1555" w:type="dxa"/>
          </w:tcPr>
          <w:p w14:paraId="7E6D5A91" w14:textId="77777777" w:rsidR="00A16DDB" w:rsidRPr="00D95127" w:rsidRDefault="00A16DDB" w:rsidP="007A627A">
            <w:pPr>
              <w:rPr>
                <w:szCs w:val="24"/>
              </w:rPr>
            </w:pPr>
            <w:r w:rsidRPr="00D95127">
              <w:rPr>
                <w:szCs w:val="24"/>
              </w:rPr>
              <w:t>NOPRM</w:t>
            </w:r>
          </w:p>
        </w:tc>
        <w:tc>
          <w:tcPr>
            <w:tcW w:w="8646" w:type="dxa"/>
          </w:tcPr>
          <w:p w14:paraId="44386829" w14:textId="77777777" w:rsidR="00A16DDB" w:rsidRPr="00D95127" w:rsidRDefault="00A16DDB" w:rsidP="007A627A">
            <w:pPr>
              <w:rPr>
                <w:bCs/>
                <w:szCs w:val="24"/>
              </w:rPr>
            </w:pPr>
            <w:r w:rsidRPr="00D95127">
              <w:rPr>
                <w:szCs w:val="24"/>
              </w:rPr>
              <w:t>Národní ozdravovací program pro ozdravení ovocných rostlin, révy a chmele</w:t>
            </w:r>
          </w:p>
        </w:tc>
      </w:tr>
      <w:tr w:rsidR="00A16DDB" w:rsidRPr="00D95127" w14:paraId="0526F85F" w14:textId="77777777" w:rsidTr="007A627A">
        <w:tc>
          <w:tcPr>
            <w:tcW w:w="1555" w:type="dxa"/>
          </w:tcPr>
          <w:p w14:paraId="0DC9C382" w14:textId="77777777" w:rsidR="00A16DDB" w:rsidRPr="00D95127" w:rsidRDefault="00A16DDB" w:rsidP="007A627A">
            <w:pPr>
              <w:rPr>
                <w:szCs w:val="24"/>
              </w:rPr>
            </w:pPr>
            <w:r w:rsidRPr="00D95127">
              <w:rPr>
                <w:szCs w:val="24"/>
              </w:rPr>
              <w:t>OP</w:t>
            </w:r>
          </w:p>
        </w:tc>
        <w:tc>
          <w:tcPr>
            <w:tcW w:w="8646" w:type="dxa"/>
          </w:tcPr>
          <w:p w14:paraId="105E1A63" w14:textId="77777777" w:rsidR="00A16DDB" w:rsidRPr="00D95127" w:rsidRDefault="00A16DDB" w:rsidP="007A627A">
            <w:pPr>
              <w:rPr>
                <w:bCs/>
                <w:szCs w:val="24"/>
              </w:rPr>
            </w:pPr>
            <w:r w:rsidRPr="00D95127">
              <w:rPr>
                <w:szCs w:val="24"/>
              </w:rPr>
              <w:t>Orná půda</w:t>
            </w:r>
          </w:p>
        </w:tc>
      </w:tr>
      <w:tr w:rsidR="00A16DDB" w:rsidRPr="00D95127" w14:paraId="674A947E" w14:textId="77777777" w:rsidTr="007A627A">
        <w:tc>
          <w:tcPr>
            <w:tcW w:w="1555" w:type="dxa"/>
          </w:tcPr>
          <w:p w14:paraId="43131506" w14:textId="77777777" w:rsidR="00A16DDB" w:rsidRPr="00D95127" w:rsidRDefault="00A16DDB" w:rsidP="007A627A">
            <w:pPr>
              <w:rPr>
                <w:szCs w:val="24"/>
              </w:rPr>
            </w:pPr>
            <w:r w:rsidRPr="00D95127">
              <w:rPr>
                <w:szCs w:val="24"/>
              </w:rPr>
              <w:t>OVEKO, a.s.</w:t>
            </w:r>
          </w:p>
        </w:tc>
        <w:tc>
          <w:tcPr>
            <w:tcW w:w="8646" w:type="dxa"/>
          </w:tcPr>
          <w:p w14:paraId="4E1A7014" w14:textId="77777777" w:rsidR="00A16DDB" w:rsidRPr="00D95127" w:rsidRDefault="00A16DDB" w:rsidP="007A627A">
            <w:pPr>
              <w:rPr>
                <w:szCs w:val="24"/>
              </w:rPr>
            </w:pPr>
            <w:r w:rsidRPr="00D95127">
              <w:rPr>
                <w:szCs w:val="24"/>
              </w:rPr>
              <w:t>Dceřinná společnost Svazu chovatelů ovcí a koz v České republice</w:t>
            </w:r>
          </w:p>
        </w:tc>
      </w:tr>
      <w:tr w:rsidR="00A16DDB" w:rsidRPr="00D95127" w14:paraId="504F9FF3" w14:textId="77777777" w:rsidTr="007A627A">
        <w:tc>
          <w:tcPr>
            <w:tcW w:w="1555" w:type="dxa"/>
          </w:tcPr>
          <w:p w14:paraId="332F8ED3" w14:textId="77777777" w:rsidR="00A16DDB" w:rsidRPr="00D95127" w:rsidRDefault="00A16DDB" w:rsidP="007A627A">
            <w:pPr>
              <w:rPr>
                <w:szCs w:val="24"/>
              </w:rPr>
            </w:pPr>
            <w:r w:rsidRPr="00D95127">
              <w:rPr>
                <w:szCs w:val="24"/>
              </w:rPr>
              <w:t>PDO</w:t>
            </w:r>
          </w:p>
        </w:tc>
        <w:tc>
          <w:tcPr>
            <w:tcW w:w="8646" w:type="dxa"/>
          </w:tcPr>
          <w:p w14:paraId="42870174" w14:textId="77777777" w:rsidR="00A16DDB" w:rsidRPr="00D95127" w:rsidRDefault="00A16DDB" w:rsidP="007A627A">
            <w:pPr>
              <w:rPr>
                <w:szCs w:val="24"/>
              </w:rPr>
            </w:pPr>
            <w:r w:rsidRPr="00D95127">
              <w:rPr>
                <w:szCs w:val="24"/>
              </w:rPr>
              <w:t>Protected Designation of Origin - Chráněné označení původu</w:t>
            </w:r>
          </w:p>
        </w:tc>
      </w:tr>
      <w:tr w:rsidR="00A16DDB" w:rsidRPr="00D95127" w14:paraId="24D9735D" w14:textId="77777777" w:rsidTr="007A627A">
        <w:tc>
          <w:tcPr>
            <w:tcW w:w="1555" w:type="dxa"/>
          </w:tcPr>
          <w:p w14:paraId="19B7FAD5" w14:textId="77777777" w:rsidR="00A16DDB" w:rsidRPr="00D95127" w:rsidRDefault="00A16DDB" w:rsidP="007A627A">
            <w:pPr>
              <w:rPr>
                <w:szCs w:val="24"/>
              </w:rPr>
            </w:pPr>
            <w:r w:rsidRPr="00D95127">
              <w:rPr>
                <w:szCs w:val="24"/>
              </w:rPr>
              <w:t>PGRLF</w:t>
            </w:r>
          </w:p>
        </w:tc>
        <w:tc>
          <w:tcPr>
            <w:tcW w:w="8646" w:type="dxa"/>
          </w:tcPr>
          <w:p w14:paraId="421E70C8" w14:textId="77777777" w:rsidR="00A16DDB" w:rsidRPr="00D95127" w:rsidRDefault="00A16DDB" w:rsidP="007A627A">
            <w:pPr>
              <w:rPr>
                <w:bCs/>
                <w:szCs w:val="24"/>
              </w:rPr>
            </w:pPr>
            <w:r w:rsidRPr="00D95127">
              <w:rPr>
                <w:szCs w:val="24"/>
              </w:rPr>
              <w:t>Podpůrný a garanční rolnický a lesnický</w:t>
            </w:r>
          </w:p>
        </w:tc>
      </w:tr>
      <w:tr w:rsidR="00A16DDB" w:rsidRPr="00D95127" w14:paraId="64D5B71F" w14:textId="77777777" w:rsidTr="007A627A">
        <w:tc>
          <w:tcPr>
            <w:tcW w:w="1555" w:type="dxa"/>
          </w:tcPr>
          <w:p w14:paraId="452B6DEF" w14:textId="77777777" w:rsidR="00A16DDB" w:rsidRPr="00D95127" w:rsidRDefault="00A16DDB" w:rsidP="007A627A">
            <w:pPr>
              <w:rPr>
                <w:szCs w:val="24"/>
              </w:rPr>
            </w:pPr>
            <w:r w:rsidRPr="00D95127">
              <w:rPr>
                <w:szCs w:val="24"/>
              </w:rPr>
              <w:t>PRV</w:t>
            </w:r>
          </w:p>
        </w:tc>
        <w:tc>
          <w:tcPr>
            <w:tcW w:w="8646" w:type="dxa"/>
          </w:tcPr>
          <w:p w14:paraId="2E2537AD" w14:textId="77777777" w:rsidR="00A16DDB" w:rsidRPr="00D95127" w:rsidRDefault="00A16DDB" w:rsidP="007A627A">
            <w:pPr>
              <w:rPr>
                <w:bCs/>
                <w:szCs w:val="24"/>
              </w:rPr>
            </w:pPr>
            <w:r w:rsidRPr="00D95127">
              <w:rPr>
                <w:szCs w:val="24"/>
              </w:rPr>
              <w:t>Program rozvoje venkova</w:t>
            </w:r>
          </w:p>
        </w:tc>
      </w:tr>
      <w:tr w:rsidR="00A16DDB" w:rsidRPr="00D95127" w14:paraId="60B35772" w14:textId="77777777" w:rsidTr="007A627A">
        <w:tc>
          <w:tcPr>
            <w:tcW w:w="1555" w:type="dxa"/>
          </w:tcPr>
          <w:p w14:paraId="75DF00D7" w14:textId="77777777" w:rsidR="00A16DDB" w:rsidRPr="00D95127" w:rsidRDefault="00A16DDB" w:rsidP="007A627A">
            <w:pPr>
              <w:rPr>
                <w:szCs w:val="24"/>
              </w:rPr>
            </w:pPr>
            <w:r w:rsidRPr="00D95127">
              <w:rPr>
                <w:szCs w:val="24"/>
              </w:rPr>
              <w:t>RV</w:t>
            </w:r>
          </w:p>
        </w:tc>
        <w:tc>
          <w:tcPr>
            <w:tcW w:w="8646" w:type="dxa"/>
          </w:tcPr>
          <w:p w14:paraId="07303D7B" w14:textId="77777777" w:rsidR="00A16DDB" w:rsidRPr="00D95127" w:rsidRDefault="00A16DDB" w:rsidP="007A627A">
            <w:pPr>
              <w:rPr>
                <w:bCs/>
                <w:szCs w:val="24"/>
              </w:rPr>
            </w:pPr>
            <w:r w:rsidRPr="00D95127">
              <w:rPr>
                <w:szCs w:val="24"/>
              </w:rPr>
              <w:t>Rostlinná výroba</w:t>
            </w:r>
          </w:p>
        </w:tc>
      </w:tr>
      <w:tr w:rsidR="00A16DDB" w:rsidRPr="00D95127" w14:paraId="48141CA8" w14:textId="77777777" w:rsidTr="007A627A">
        <w:tc>
          <w:tcPr>
            <w:tcW w:w="1555" w:type="dxa"/>
          </w:tcPr>
          <w:p w14:paraId="5B2EA05B" w14:textId="77777777" w:rsidR="00A16DDB" w:rsidRPr="00D95127" w:rsidRDefault="00A16DDB" w:rsidP="007A627A">
            <w:pPr>
              <w:rPr>
                <w:szCs w:val="24"/>
              </w:rPr>
            </w:pPr>
            <w:r w:rsidRPr="00D95127">
              <w:rPr>
                <w:szCs w:val="24"/>
              </w:rPr>
              <w:t>SAPS</w:t>
            </w:r>
          </w:p>
        </w:tc>
        <w:tc>
          <w:tcPr>
            <w:tcW w:w="8646" w:type="dxa"/>
          </w:tcPr>
          <w:p w14:paraId="26CAAB23" w14:textId="77777777" w:rsidR="00A16DDB" w:rsidRPr="00D95127" w:rsidRDefault="00A16DDB" w:rsidP="007A627A">
            <w:pPr>
              <w:rPr>
                <w:bCs/>
                <w:szCs w:val="24"/>
              </w:rPr>
            </w:pPr>
            <w:r w:rsidRPr="00D95127">
              <w:rPr>
                <w:szCs w:val="24"/>
              </w:rPr>
              <w:t>Jednotná platba na plochu</w:t>
            </w:r>
          </w:p>
        </w:tc>
      </w:tr>
      <w:tr w:rsidR="00A16DDB" w:rsidRPr="00D95127" w14:paraId="5BFEC894" w14:textId="77777777" w:rsidTr="007A627A">
        <w:tc>
          <w:tcPr>
            <w:tcW w:w="1555" w:type="dxa"/>
          </w:tcPr>
          <w:p w14:paraId="469C22B0" w14:textId="77777777" w:rsidR="00A16DDB" w:rsidRPr="00D95127" w:rsidRDefault="00A16DDB" w:rsidP="007A627A">
            <w:pPr>
              <w:rPr>
                <w:szCs w:val="24"/>
              </w:rPr>
            </w:pPr>
            <w:r w:rsidRPr="00D95127">
              <w:rPr>
                <w:szCs w:val="24"/>
              </w:rPr>
              <w:t>SCHP</w:t>
            </w:r>
          </w:p>
        </w:tc>
        <w:tc>
          <w:tcPr>
            <w:tcW w:w="8646" w:type="dxa"/>
          </w:tcPr>
          <w:p w14:paraId="6EEB829E" w14:textId="77777777" w:rsidR="00A16DDB" w:rsidRPr="00D95127" w:rsidRDefault="00A16DDB" w:rsidP="007A627A">
            <w:pPr>
              <w:rPr>
                <w:bCs/>
                <w:szCs w:val="24"/>
              </w:rPr>
            </w:pPr>
            <w:r w:rsidRPr="00D95127">
              <w:rPr>
                <w:szCs w:val="24"/>
              </w:rPr>
              <w:t>Svaz chovatelů prasat</w:t>
            </w:r>
          </w:p>
        </w:tc>
      </w:tr>
      <w:tr w:rsidR="00A16DDB" w:rsidRPr="00D95127" w14:paraId="7BE2C78D" w14:textId="77777777" w:rsidTr="007A627A">
        <w:tc>
          <w:tcPr>
            <w:tcW w:w="1555" w:type="dxa"/>
          </w:tcPr>
          <w:p w14:paraId="5861C63B" w14:textId="77777777" w:rsidR="00A16DDB" w:rsidRPr="00D95127" w:rsidRDefault="00A16DDB" w:rsidP="007A627A">
            <w:pPr>
              <w:rPr>
                <w:szCs w:val="24"/>
              </w:rPr>
            </w:pPr>
            <w:r w:rsidRPr="00D95127">
              <w:rPr>
                <w:szCs w:val="24"/>
              </w:rPr>
              <w:t>SOT</w:t>
            </w:r>
          </w:p>
        </w:tc>
        <w:tc>
          <w:tcPr>
            <w:tcW w:w="8646" w:type="dxa"/>
          </w:tcPr>
          <w:p w14:paraId="39FEB7ED" w14:textId="77777777" w:rsidR="00A16DDB" w:rsidRPr="00D95127" w:rsidRDefault="00A16DDB" w:rsidP="007A627A">
            <w:pPr>
              <w:rPr>
                <w:bCs/>
                <w:szCs w:val="24"/>
              </w:rPr>
            </w:pPr>
            <w:r w:rsidRPr="00D95127">
              <w:rPr>
                <w:szCs w:val="24"/>
              </w:rPr>
              <w:t>Společná organizace trhu</w:t>
            </w:r>
          </w:p>
        </w:tc>
      </w:tr>
      <w:tr w:rsidR="00A16DDB" w:rsidRPr="00D95127" w14:paraId="0BC408FE" w14:textId="77777777" w:rsidTr="007A627A">
        <w:tc>
          <w:tcPr>
            <w:tcW w:w="1555" w:type="dxa"/>
          </w:tcPr>
          <w:p w14:paraId="460E5EDD" w14:textId="77777777" w:rsidR="00A16DDB" w:rsidRPr="00D95127" w:rsidRDefault="00A16DDB" w:rsidP="007A627A">
            <w:pPr>
              <w:rPr>
                <w:szCs w:val="24"/>
              </w:rPr>
            </w:pPr>
            <w:r w:rsidRPr="00D95127">
              <w:rPr>
                <w:szCs w:val="24"/>
              </w:rPr>
              <w:t>SPC</w:t>
            </w:r>
          </w:p>
        </w:tc>
        <w:tc>
          <w:tcPr>
            <w:tcW w:w="8646" w:type="dxa"/>
          </w:tcPr>
          <w:p w14:paraId="305A1AD4" w14:textId="77777777" w:rsidR="00A16DDB" w:rsidRPr="00D95127" w:rsidRDefault="00A16DDB" w:rsidP="007A627A">
            <w:pPr>
              <w:rPr>
                <w:bCs/>
                <w:szCs w:val="24"/>
              </w:rPr>
            </w:pPr>
            <w:r w:rsidRPr="00D95127">
              <w:rPr>
                <w:szCs w:val="24"/>
              </w:rPr>
              <w:t>Svaz pěstitelů cukrovky</w:t>
            </w:r>
          </w:p>
        </w:tc>
      </w:tr>
      <w:tr w:rsidR="00A16DDB" w:rsidRPr="00D95127" w14:paraId="0C60C297" w14:textId="77777777" w:rsidTr="007A627A">
        <w:tc>
          <w:tcPr>
            <w:tcW w:w="1555" w:type="dxa"/>
          </w:tcPr>
          <w:p w14:paraId="7A99A0CE" w14:textId="77777777" w:rsidR="00A16DDB" w:rsidRPr="00D95127" w:rsidRDefault="00A16DDB" w:rsidP="007A627A">
            <w:pPr>
              <w:rPr>
                <w:szCs w:val="24"/>
              </w:rPr>
            </w:pPr>
            <w:r w:rsidRPr="00D95127">
              <w:rPr>
                <w:szCs w:val="24"/>
              </w:rPr>
              <w:t>SV ČR</w:t>
            </w:r>
          </w:p>
        </w:tc>
        <w:tc>
          <w:tcPr>
            <w:tcW w:w="8646" w:type="dxa"/>
          </w:tcPr>
          <w:p w14:paraId="72BB094D" w14:textId="77777777" w:rsidR="00A16DDB" w:rsidRPr="00D95127" w:rsidRDefault="00A16DDB" w:rsidP="007A627A">
            <w:pPr>
              <w:rPr>
                <w:bCs/>
                <w:szCs w:val="24"/>
              </w:rPr>
            </w:pPr>
            <w:r w:rsidRPr="00D95127">
              <w:rPr>
                <w:szCs w:val="24"/>
              </w:rPr>
              <w:t>Svaz vinařů ČR</w:t>
            </w:r>
          </w:p>
        </w:tc>
      </w:tr>
      <w:tr w:rsidR="00A16DDB" w:rsidRPr="00D95127" w14:paraId="58353774" w14:textId="77777777" w:rsidTr="007A627A">
        <w:tc>
          <w:tcPr>
            <w:tcW w:w="1555" w:type="dxa"/>
          </w:tcPr>
          <w:p w14:paraId="7715D8D1" w14:textId="77777777" w:rsidR="00A16DDB" w:rsidRPr="00D95127" w:rsidRDefault="00A16DDB" w:rsidP="007A627A">
            <w:pPr>
              <w:rPr>
                <w:szCs w:val="24"/>
              </w:rPr>
            </w:pPr>
            <w:r w:rsidRPr="00D95127">
              <w:rPr>
                <w:szCs w:val="24"/>
              </w:rPr>
              <w:t>SZIF</w:t>
            </w:r>
          </w:p>
        </w:tc>
        <w:tc>
          <w:tcPr>
            <w:tcW w:w="8646" w:type="dxa"/>
          </w:tcPr>
          <w:p w14:paraId="1C2BD273" w14:textId="77777777" w:rsidR="00A16DDB" w:rsidRPr="00D95127" w:rsidRDefault="00A16DDB" w:rsidP="007A627A">
            <w:pPr>
              <w:rPr>
                <w:bCs/>
                <w:szCs w:val="24"/>
              </w:rPr>
            </w:pPr>
            <w:r w:rsidRPr="00D95127">
              <w:rPr>
                <w:bCs/>
                <w:szCs w:val="24"/>
              </w:rPr>
              <w:t>Státní zemědělský intervenční fond</w:t>
            </w:r>
          </w:p>
        </w:tc>
      </w:tr>
      <w:tr w:rsidR="00A16DDB" w:rsidRPr="00D95127" w14:paraId="115D9D02" w14:textId="77777777" w:rsidTr="007A627A">
        <w:tc>
          <w:tcPr>
            <w:tcW w:w="1555" w:type="dxa"/>
          </w:tcPr>
          <w:p w14:paraId="0C9D4764" w14:textId="77777777" w:rsidR="00A16DDB" w:rsidRPr="00D95127" w:rsidRDefault="00A16DDB" w:rsidP="007A627A">
            <w:pPr>
              <w:rPr>
                <w:szCs w:val="24"/>
              </w:rPr>
            </w:pPr>
            <w:r w:rsidRPr="00D95127">
              <w:rPr>
                <w:szCs w:val="24"/>
              </w:rPr>
              <w:t>SZP</w:t>
            </w:r>
          </w:p>
        </w:tc>
        <w:tc>
          <w:tcPr>
            <w:tcW w:w="8646" w:type="dxa"/>
          </w:tcPr>
          <w:p w14:paraId="08C89089" w14:textId="77777777" w:rsidR="00A16DDB" w:rsidRPr="00D95127" w:rsidRDefault="00A16DDB" w:rsidP="007A627A">
            <w:pPr>
              <w:rPr>
                <w:bCs/>
                <w:szCs w:val="24"/>
              </w:rPr>
            </w:pPr>
            <w:r w:rsidRPr="00D95127">
              <w:rPr>
                <w:szCs w:val="24"/>
              </w:rPr>
              <w:t>Společná zemědělská politika</w:t>
            </w:r>
          </w:p>
        </w:tc>
      </w:tr>
      <w:tr w:rsidR="00A16DDB" w:rsidRPr="00D95127" w14:paraId="085D6BE4" w14:textId="77777777" w:rsidTr="007A627A">
        <w:tc>
          <w:tcPr>
            <w:tcW w:w="1555" w:type="dxa"/>
          </w:tcPr>
          <w:p w14:paraId="4F5D02E8" w14:textId="77777777" w:rsidR="00A16DDB" w:rsidRPr="00D95127" w:rsidRDefault="00A16DDB" w:rsidP="007A627A">
            <w:pPr>
              <w:rPr>
                <w:szCs w:val="24"/>
              </w:rPr>
            </w:pPr>
            <w:r w:rsidRPr="00D95127">
              <w:rPr>
                <w:szCs w:val="24"/>
              </w:rPr>
              <w:t>TTP</w:t>
            </w:r>
          </w:p>
        </w:tc>
        <w:tc>
          <w:tcPr>
            <w:tcW w:w="8646" w:type="dxa"/>
          </w:tcPr>
          <w:p w14:paraId="3E456C6D" w14:textId="77777777" w:rsidR="00A16DDB" w:rsidRPr="00D95127" w:rsidRDefault="00A16DDB" w:rsidP="007A627A">
            <w:pPr>
              <w:rPr>
                <w:bCs/>
                <w:szCs w:val="24"/>
              </w:rPr>
            </w:pPr>
            <w:r w:rsidRPr="00D95127">
              <w:rPr>
                <w:szCs w:val="24"/>
              </w:rPr>
              <w:t>Trvaly travní porost</w:t>
            </w:r>
          </w:p>
        </w:tc>
      </w:tr>
      <w:tr w:rsidR="00A16DDB" w:rsidRPr="00D95127" w14:paraId="5D09B601" w14:textId="77777777" w:rsidTr="007A627A">
        <w:tc>
          <w:tcPr>
            <w:tcW w:w="1555" w:type="dxa"/>
          </w:tcPr>
          <w:p w14:paraId="0300B896" w14:textId="77777777" w:rsidR="00A16DDB" w:rsidRPr="00D95127" w:rsidRDefault="00A16DDB" w:rsidP="007A627A">
            <w:pPr>
              <w:rPr>
                <w:szCs w:val="24"/>
              </w:rPr>
            </w:pPr>
            <w:r w:rsidRPr="00D95127">
              <w:rPr>
                <w:szCs w:val="24"/>
              </w:rPr>
              <w:t>UV</w:t>
            </w:r>
          </w:p>
        </w:tc>
        <w:tc>
          <w:tcPr>
            <w:tcW w:w="8646" w:type="dxa"/>
          </w:tcPr>
          <w:p w14:paraId="4DB61328" w14:textId="77777777" w:rsidR="00A16DDB" w:rsidRPr="00D95127" w:rsidRDefault="00A16DDB" w:rsidP="007A627A">
            <w:pPr>
              <w:rPr>
                <w:bCs/>
                <w:szCs w:val="24"/>
              </w:rPr>
            </w:pPr>
            <w:r w:rsidRPr="00D95127">
              <w:rPr>
                <w:szCs w:val="24"/>
              </w:rPr>
              <w:t>Ultrafialové záření</w:t>
            </w:r>
          </w:p>
        </w:tc>
      </w:tr>
      <w:tr w:rsidR="00A16DDB" w:rsidRPr="00D95127" w14:paraId="165B038C" w14:textId="77777777" w:rsidTr="007A627A">
        <w:tc>
          <w:tcPr>
            <w:tcW w:w="1555" w:type="dxa"/>
          </w:tcPr>
          <w:p w14:paraId="5898385A" w14:textId="77777777" w:rsidR="00A16DDB" w:rsidRPr="00D95127" w:rsidRDefault="00A16DDB" w:rsidP="007A627A">
            <w:pPr>
              <w:rPr>
                <w:szCs w:val="24"/>
              </w:rPr>
            </w:pPr>
            <w:r w:rsidRPr="00D95127">
              <w:rPr>
                <w:szCs w:val="24"/>
              </w:rPr>
              <w:t>ÚZEI</w:t>
            </w:r>
          </w:p>
        </w:tc>
        <w:tc>
          <w:tcPr>
            <w:tcW w:w="8646" w:type="dxa"/>
          </w:tcPr>
          <w:p w14:paraId="62B6B56D" w14:textId="77777777" w:rsidR="00A16DDB" w:rsidRPr="00D95127" w:rsidRDefault="00A16DDB" w:rsidP="007A627A">
            <w:pPr>
              <w:rPr>
                <w:bCs/>
                <w:szCs w:val="24"/>
              </w:rPr>
            </w:pPr>
            <w:r w:rsidRPr="00D95127">
              <w:rPr>
                <w:szCs w:val="24"/>
              </w:rPr>
              <w:t>Ústav zemědělské ekonomiky a informací</w:t>
            </w:r>
          </w:p>
        </w:tc>
      </w:tr>
      <w:tr w:rsidR="00A16DDB" w:rsidRPr="00D95127" w14:paraId="071F517F" w14:textId="77777777" w:rsidTr="007A627A">
        <w:tc>
          <w:tcPr>
            <w:tcW w:w="1555" w:type="dxa"/>
          </w:tcPr>
          <w:p w14:paraId="3CA3C962" w14:textId="77777777" w:rsidR="00A16DDB" w:rsidRPr="00D95127" w:rsidRDefault="00A16DDB" w:rsidP="007A627A">
            <w:pPr>
              <w:rPr>
                <w:szCs w:val="24"/>
              </w:rPr>
            </w:pPr>
            <w:r w:rsidRPr="00D95127">
              <w:rPr>
                <w:szCs w:val="24"/>
              </w:rPr>
              <w:t>VCS</w:t>
            </w:r>
          </w:p>
        </w:tc>
        <w:tc>
          <w:tcPr>
            <w:tcW w:w="8646" w:type="dxa"/>
          </w:tcPr>
          <w:p w14:paraId="72717EED" w14:textId="77777777" w:rsidR="00A16DDB" w:rsidRPr="00D95127" w:rsidRDefault="00A16DDB" w:rsidP="007A627A">
            <w:pPr>
              <w:rPr>
                <w:bCs/>
                <w:szCs w:val="24"/>
              </w:rPr>
            </w:pPr>
            <w:r w:rsidRPr="00D95127">
              <w:rPr>
                <w:szCs w:val="24"/>
              </w:rPr>
              <w:t>Dobrovolná</w:t>
            </w:r>
            <w:r w:rsidRPr="00D95127">
              <w:rPr>
                <w:bCs/>
                <w:szCs w:val="24"/>
              </w:rPr>
              <w:t xml:space="preserve"> podpora vázaná na produkci</w:t>
            </w:r>
          </w:p>
        </w:tc>
      </w:tr>
      <w:tr w:rsidR="00A16DDB" w:rsidRPr="00D95127" w14:paraId="70315475" w14:textId="77777777" w:rsidTr="007A627A">
        <w:tc>
          <w:tcPr>
            <w:tcW w:w="1555" w:type="dxa"/>
          </w:tcPr>
          <w:p w14:paraId="5786314E" w14:textId="77777777" w:rsidR="00A16DDB" w:rsidRPr="00D95127" w:rsidRDefault="00A16DDB" w:rsidP="007A627A">
            <w:pPr>
              <w:rPr>
                <w:szCs w:val="24"/>
              </w:rPr>
            </w:pPr>
            <w:r w:rsidRPr="00D95127">
              <w:rPr>
                <w:szCs w:val="24"/>
              </w:rPr>
              <w:t>VÚRV</w:t>
            </w:r>
          </w:p>
        </w:tc>
        <w:tc>
          <w:tcPr>
            <w:tcW w:w="8646" w:type="dxa"/>
          </w:tcPr>
          <w:p w14:paraId="521E51B4" w14:textId="77777777" w:rsidR="00A16DDB" w:rsidRPr="00D95127" w:rsidRDefault="00A16DDB" w:rsidP="007A627A">
            <w:pPr>
              <w:rPr>
                <w:bCs/>
                <w:szCs w:val="24"/>
              </w:rPr>
            </w:pPr>
            <w:r w:rsidRPr="00D95127">
              <w:rPr>
                <w:szCs w:val="24"/>
              </w:rPr>
              <w:t>Výzkumný ústav rostlinné výroby</w:t>
            </w:r>
          </w:p>
        </w:tc>
      </w:tr>
      <w:tr w:rsidR="00A16DDB" w:rsidRPr="00D95127" w14:paraId="306F2B80" w14:textId="77777777" w:rsidTr="007A627A">
        <w:tc>
          <w:tcPr>
            <w:tcW w:w="1555" w:type="dxa"/>
          </w:tcPr>
          <w:p w14:paraId="2F820630" w14:textId="77777777" w:rsidR="00A16DDB" w:rsidRPr="00D95127" w:rsidRDefault="00A16DDB" w:rsidP="007A627A">
            <w:pPr>
              <w:rPr>
                <w:szCs w:val="24"/>
              </w:rPr>
            </w:pPr>
            <w:r w:rsidRPr="00D95127">
              <w:rPr>
                <w:szCs w:val="24"/>
              </w:rPr>
              <w:t>VÚZT</w:t>
            </w:r>
          </w:p>
        </w:tc>
        <w:tc>
          <w:tcPr>
            <w:tcW w:w="8646" w:type="dxa"/>
          </w:tcPr>
          <w:p w14:paraId="2A3438AE" w14:textId="77777777" w:rsidR="00A16DDB" w:rsidRPr="00D95127" w:rsidRDefault="00A16DDB" w:rsidP="007A627A">
            <w:pPr>
              <w:rPr>
                <w:bCs/>
                <w:szCs w:val="24"/>
              </w:rPr>
            </w:pPr>
            <w:r w:rsidRPr="00D95127">
              <w:rPr>
                <w:szCs w:val="24"/>
              </w:rPr>
              <w:t>Výzkumný ústav zemědělské techniky</w:t>
            </w:r>
          </w:p>
        </w:tc>
      </w:tr>
      <w:tr w:rsidR="00A16DDB" w:rsidRPr="00D95127" w14:paraId="575BE7B6" w14:textId="77777777" w:rsidTr="007A627A">
        <w:tc>
          <w:tcPr>
            <w:tcW w:w="1555" w:type="dxa"/>
          </w:tcPr>
          <w:p w14:paraId="33E4A17F" w14:textId="77777777" w:rsidR="00A16DDB" w:rsidRPr="00D95127" w:rsidRDefault="00A16DDB" w:rsidP="007A627A">
            <w:pPr>
              <w:rPr>
                <w:szCs w:val="24"/>
              </w:rPr>
            </w:pPr>
            <w:r w:rsidRPr="00D95127">
              <w:rPr>
                <w:szCs w:val="24"/>
              </w:rPr>
              <w:t>ŽV</w:t>
            </w:r>
          </w:p>
        </w:tc>
        <w:tc>
          <w:tcPr>
            <w:tcW w:w="8646" w:type="dxa"/>
          </w:tcPr>
          <w:p w14:paraId="6514505D" w14:textId="77777777" w:rsidR="00A16DDB" w:rsidRPr="00D95127" w:rsidRDefault="00A16DDB" w:rsidP="007A627A">
            <w:pPr>
              <w:rPr>
                <w:bCs/>
                <w:szCs w:val="24"/>
              </w:rPr>
            </w:pPr>
            <w:r w:rsidRPr="00D95127">
              <w:rPr>
                <w:szCs w:val="24"/>
              </w:rPr>
              <w:t>Živočišná výroba</w:t>
            </w:r>
          </w:p>
        </w:tc>
      </w:tr>
    </w:tbl>
    <w:p w14:paraId="7724DAE1" w14:textId="77777777" w:rsidR="007C40A1" w:rsidRPr="00D95127" w:rsidRDefault="007C40A1" w:rsidP="007C40A1">
      <w:pPr>
        <w:rPr>
          <w:rFonts w:cs="Times New Roman"/>
          <w:lang w:val="cs-CZ"/>
        </w:rPr>
      </w:pPr>
      <w:bookmarkStart w:id="10" w:name="_Toc76137338"/>
      <w:bookmarkStart w:id="11" w:name="_Toc76637537"/>
      <w:bookmarkStart w:id="12" w:name="_Toc80953216"/>
      <w:bookmarkStart w:id="13" w:name="_Toc23509819"/>
    </w:p>
    <w:p w14:paraId="4F34EB51" w14:textId="382D5597" w:rsidR="007C40A1" w:rsidRDefault="007C40A1" w:rsidP="007C40A1">
      <w:pPr>
        <w:pStyle w:val="UZEINadpis1stbezsla"/>
        <w:rPr>
          <w:rFonts w:cs="Times New Roman"/>
        </w:rPr>
      </w:pPr>
      <w:bookmarkStart w:id="14" w:name="_Toc81739170"/>
      <w:r w:rsidRPr="00D95127">
        <w:rPr>
          <w:rFonts w:cs="Times New Roman"/>
        </w:rPr>
        <w:t>Seznam tabulek</w:t>
      </w:r>
      <w:bookmarkEnd w:id="14"/>
    </w:p>
    <w:p w14:paraId="5EB3D7E7" w14:textId="1738D7B5" w:rsidR="007C29A2" w:rsidRDefault="00483879"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r>
        <w:rPr>
          <w:rFonts w:cs="Times New Roman"/>
          <w:b/>
        </w:rPr>
        <w:fldChar w:fldCharType="begin"/>
      </w:r>
      <w:r>
        <w:rPr>
          <w:rFonts w:cs="Times New Roman"/>
          <w:b/>
        </w:rPr>
        <w:instrText xml:space="preserve"> TOC \h \z \t "UZEI TaB;4" </w:instrText>
      </w:r>
      <w:r>
        <w:rPr>
          <w:rFonts w:cs="Times New Roman"/>
          <w:b/>
        </w:rPr>
        <w:fldChar w:fldCharType="separate"/>
      </w:r>
      <w:hyperlink w:anchor="_Toc81738429" w:history="1">
        <w:r w:rsidR="007C29A2" w:rsidRPr="00864071">
          <w:rPr>
            <w:rStyle w:val="Hypertextovodkaz"/>
            <w:rFonts w:cs="Times New Roman"/>
            <w:noProof/>
          </w:rPr>
          <w:t>Tabulka 1</w:t>
        </w:r>
        <w:r w:rsidR="007C29A2">
          <w:rPr>
            <w:rFonts w:asciiTheme="minorHAnsi" w:eastAsiaTheme="minorEastAsia" w:hAnsiTheme="minorHAnsi"/>
            <w:noProof/>
            <w:sz w:val="24"/>
            <w:szCs w:val="24"/>
            <w:lang w:val="cs-CZ" w:eastAsia="cs-CZ"/>
          </w:rPr>
          <w:tab/>
        </w:r>
        <w:r w:rsidR="007C29A2" w:rsidRPr="00864071">
          <w:rPr>
            <w:rStyle w:val="Hypertextovodkaz"/>
            <w:rFonts w:cs="Times New Roman"/>
            <w:noProof/>
          </w:rPr>
          <w:t>Náklady na restrukturalizaci ovocných sadů podle dotazníkového šetření (2017)</w:t>
        </w:r>
        <w:r w:rsidR="007C29A2">
          <w:rPr>
            <w:noProof/>
            <w:webHidden/>
          </w:rPr>
          <w:tab/>
        </w:r>
        <w:r w:rsidR="007C29A2">
          <w:rPr>
            <w:noProof/>
            <w:webHidden/>
          </w:rPr>
          <w:fldChar w:fldCharType="begin"/>
        </w:r>
        <w:r w:rsidR="007C29A2">
          <w:rPr>
            <w:noProof/>
            <w:webHidden/>
          </w:rPr>
          <w:instrText xml:space="preserve"> PAGEREF _Toc81738429 \h </w:instrText>
        </w:r>
        <w:r w:rsidR="007C29A2">
          <w:rPr>
            <w:noProof/>
            <w:webHidden/>
          </w:rPr>
        </w:r>
        <w:r w:rsidR="007C29A2">
          <w:rPr>
            <w:noProof/>
            <w:webHidden/>
          </w:rPr>
          <w:fldChar w:fldCharType="separate"/>
        </w:r>
        <w:r w:rsidR="007C29A2">
          <w:rPr>
            <w:noProof/>
            <w:webHidden/>
          </w:rPr>
          <w:t>10</w:t>
        </w:r>
        <w:r w:rsidR="007C29A2">
          <w:rPr>
            <w:noProof/>
            <w:webHidden/>
          </w:rPr>
          <w:fldChar w:fldCharType="end"/>
        </w:r>
      </w:hyperlink>
    </w:p>
    <w:p w14:paraId="346EAE2F" w14:textId="756A14AF"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30" w:history="1">
        <w:r w:rsidR="007C29A2" w:rsidRPr="00864071">
          <w:rPr>
            <w:rStyle w:val="Hypertextovodkaz"/>
            <w:rFonts w:cs="Times New Roman"/>
            <w:noProof/>
          </w:rPr>
          <w:t>Tabulka 2</w:t>
        </w:r>
        <w:r w:rsidR="007C29A2">
          <w:rPr>
            <w:rFonts w:asciiTheme="minorHAnsi" w:eastAsiaTheme="minorEastAsia" w:hAnsiTheme="minorHAnsi"/>
            <w:noProof/>
            <w:sz w:val="24"/>
            <w:szCs w:val="24"/>
            <w:lang w:val="cs-CZ" w:eastAsia="cs-CZ"/>
          </w:rPr>
          <w:tab/>
        </w:r>
        <w:r w:rsidR="007C29A2" w:rsidRPr="00864071">
          <w:rPr>
            <w:rStyle w:val="Hypertextovodkaz"/>
            <w:rFonts w:cs="Times New Roman"/>
            <w:noProof/>
          </w:rPr>
          <w:t>Ekonomika pěstování ovocných druhů s velmi vysokou pracností v letech 2011-20</w:t>
        </w:r>
        <w:r w:rsidR="007C29A2">
          <w:rPr>
            <w:noProof/>
            <w:webHidden/>
          </w:rPr>
          <w:tab/>
        </w:r>
        <w:r w:rsidR="007C29A2">
          <w:rPr>
            <w:noProof/>
            <w:webHidden/>
          </w:rPr>
          <w:fldChar w:fldCharType="begin"/>
        </w:r>
        <w:r w:rsidR="007C29A2">
          <w:rPr>
            <w:noProof/>
            <w:webHidden/>
          </w:rPr>
          <w:instrText xml:space="preserve"> PAGEREF _Toc81738430 \h </w:instrText>
        </w:r>
        <w:r w:rsidR="007C29A2">
          <w:rPr>
            <w:noProof/>
            <w:webHidden/>
          </w:rPr>
        </w:r>
        <w:r w:rsidR="007C29A2">
          <w:rPr>
            <w:noProof/>
            <w:webHidden/>
          </w:rPr>
          <w:fldChar w:fldCharType="separate"/>
        </w:r>
        <w:r w:rsidR="007C29A2">
          <w:rPr>
            <w:noProof/>
            <w:webHidden/>
          </w:rPr>
          <w:t>12</w:t>
        </w:r>
        <w:r w:rsidR="007C29A2">
          <w:rPr>
            <w:noProof/>
            <w:webHidden/>
          </w:rPr>
          <w:fldChar w:fldCharType="end"/>
        </w:r>
      </w:hyperlink>
    </w:p>
    <w:p w14:paraId="151CFED1" w14:textId="30C40235"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31" w:history="1">
        <w:r w:rsidR="007C29A2" w:rsidRPr="00864071">
          <w:rPr>
            <w:rStyle w:val="Hypertextovodkaz"/>
            <w:rFonts w:cs="Times New Roman"/>
            <w:noProof/>
          </w:rPr>
          <w:t>Tabulka 3</w:t>
        </w:r>
        <w:r w:rsidR="007C29A2">
          <w:rPr>
            <w:rFonts w:asciiTheme="minorHAnsi" w:eastAsiaTheme="minorEastAsia" w:hAnsiTheme="minorHAnsi"/>
            <w:noProof/>
            <w:sz w:val="24"/>
            <w:szCs w:val="24"/>
            <w:lang w:val="cs-CZ" w:eastAsia="cs-CZ"/>
          </w:rPr>
          <w:tab/>
        </w:r>
        <w:r w:rsidR="007C29A2" w:rsidRPr="00864071">
          <w:rPr>
            <w:rStyle w:val="Hypertextovodkaz"/>
            <w:rFonts w:cs="Times New Roman"/>
            <w:noProof/>
          </w:rPr>
          <w:t>Ekonomika pěstování ovocných druhů s vysokou pracností v letech 2011- 20</w:t>
        </w:r>
        <w:r w:rsidR="007C29A2">
          <w:rPr>
            <w:noProof/>
            <w:webHidden/>
          </w:rPr>
          <w:tab/>
        </w:r>
        <w:r w:rsidR="007C29A2">
          <w:rPr>
            <w:noProof/>
            <w:webHidden/>
          </w:rPr>
          <w:fldChar w:fldCharType="begin"/>
        </w:r>
        <w:r w:rsidR="007C29A2">
          <w:rPr>
            <w:noProof/>
            <w:webHidden/>
          </w:rPr>
          <w:instrText xml:space="preserve"> PAGEREF _Toc81738431 \h </w:instrText>
        </w:r>
        <w:r w:rsidR="007C29A2">
          <w:rPr>
            <w:noProof/>
            <w:webHidden/>
          </w:rPr>
        </w:r>
        <w:r w:rsidR="007C29A2">
          <w:rPr>
            <w:noProof/>
            <w:webHidden/>
          </w:rPr>
          <w:fldChar w:fldCharType="separate"/>
        </w:r>
        <w:r w:rsidR="007C29A2">
          <w:rPr>
            <w:noProof/>
            <w:webHidden/>
          </w:rPr>
          <w:t>12</w:t>
        </w:r>
        <w:r w:rsidR="007C29A2">
          <w:rPr>
            <w:noProof/>
            <w:webHidden/>
          </w:rPr>
          <w:fldChar w:fldCharType="end"/>
        </w:r>
      </w:hyperlink>
    </w:p>
    <w:p w14:paraId="1468652E" w14:textId="5ABCA925"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32" w:history="1">
        <w:r w:rsidR="007C29A2" w:rsidRPr="00864071">
          <w:rPr>
            <w:rStyle w:val="Hypertextovodkaz"/>
            <w:rFonts w:cs="Times New Roman"/>
            <w:noProof/>
          </w:rPr>
          <w:t>Tabulka 4</w:t>
        </w:r>
        <w:r w:rsidR="007C29A2">
          <w:rPr>
            <w:rFonts w:asciiTheme="minorHAnsi" w:eastAsiaTheme="minorEastAsia" w:hAnsiTheme="minorHAnsi"/>
            <w:noProof/>
            <w:sz w:val="24"/>
            <w:szCs w:val="24"/>
            <w:lang w:val="cs-CZ" w:eastAsia="cs-CZ"/>
          </w:rPr>
          <w:tab/>
        </w:r>
        <w:r w:rsidR="007C29A2" w:rsidRPr="00864071">
          <w:rPr>
            <w:rStyle w:val="Hypertextovodkaz"/>
            <w:rFonts w:cs="Times New Roman"/>
            <w:noProof/>
          </w:rPr>
          <w:t>Ekonomika pěstování zeleninových druhů s velmi vysokou pracností v letech 2011</w:t>
        </w:r>
        <w:r w:rsidR="007C29A2" w:rsidRPr="00864071">
          <w:rPr>
            <w:rStyle w:val="Hypertextovodkaz"/>
            <w:rFonts w:cs="Times New Roman"/>
            <w:noProof/>
          </w:rPr>
          <w:noBreakHyphen/>
          <w:t>20</w:t>
        </w:r>
        <w:r w:rsidR="007C29A2">
          <w:rPr>
            <w:noProof/>
            <w:webHidden/>
          </w:rPr>
          <w:tab/>
        </w:r>
        <w:r w:rsidR="007C29A2">
          <w:rPr>
            <w:noProof/>
            <w:webHidden/>
          </w:rPr>
          <w:fldChar w:fldCharType="begin"/>
        </w:r>
        <w:r w:rsidR="007C29A2">
          <w:rPr>
            <w:noProof/>
            <w:webHidden/>
          </w:rPr>
          <w:instrText xml:space="preserve"> PAGEREF _Toc81738432 \h </w:instrText>
        </w:r>
        <w:r w:rsidR="007C29A2">
          <w:rPr>
            <w:noProof/>
            <w:webHidden/>
          </w:rPr>
        </w:r>
        <w:r w:rsidR="007C29A2">
          <w:rPr>
            <w:noProof/>
            <w:webHidden/>
          </w:rPr>
          <w:fldChar w:fldCharType="separate"/>
        </w:r>
        <w:r w:rsidR="007C29A2">
          <w:rPr>
            <w:noProof/>
            <w:webHidden/>
          </w:rPr>
          <w:t>12</w:t>
        </w:r>
        <w:r w:rsidR="007C29A2">
          <w:rPr>
            <w:noProof/>
            <w:webHidden/>
          </w:rPr>
          <w:fldChar w:fldCharType="end"/>
        </w:r>
      </w:hyperlink>
    </w:p>
    <w:p w14:paraId="03FE539B" w14:textId="673916CB"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33" w:history="1">
        <w:r w:rsidR="007C29A2" w:rsidRPr="00864071">
          <w:rPr>
            <w:rStyle w:val="Hypertextovodkaz"/>
            <w:rFonts w:cs="Times New Roman"/>
            <w:noProof/>
          </w:rPr>
          <w:t>Tabulka 5</w:t>
        </w:r>
        <w:r w:rsidR="007C29A2">
          <w:rPr>
            <w:rFonts w:asciiTheme="minorHAnsi" w:eastAsiaTheme="minorEastAsia" w:hAnsiTheme="minorHAnsi"/>
            <w:noProof/>
            <w:sz w:val="24"/>
            <w:szCs w:val="24"/>
            <w:lang w:val="cs-CZ" w:eastAsia="cs-CZ"/>
          </w:rPr>
          <w:tab/>
        </w:r>
        <w:r w:rsidR="007C29A2" w:rsidRPr="00864071">
          <w:rPr>
            <w:rStyle w:val="Hypertextovodkaz"/>
            <w:rFonts w:cs="Times New Roman"/>
            <w:noProof/>
          </w:rPr>
          <w:t>Ekonomika pěstování zeleninových druhů s vysokou pracností v letech 2011- 20</w:t>
        </w:r>
        <w:r w:rsidR="007C29A2">
          <w:rPr>
            <w:noProof/>
            <w:webHidden/>
          </w:rPr>
          <w:tab/>
        </w:r>
        <w:r w:rsidR="007C29A2">
          <w:rPr>
            <w:noProof/>
            <w:webHidden/>
          </w:rPr>
          <w:fldChar w:fldCharType="begin"/>
        </w:r>
        <w:r w:rsidR="007C29A2">
          <w:rPr>
            <w:noProof/>
            <w:webHidden/>
          </w:rPr>
          <w:instrText xml:space="preserve"> PAGEREF _Toc81738433 \h </w:instrText>
        </w:r>
        <w:r w:rsidR="007C29A2">
          <w:rPr>
            <w:noProof/>
            <w:webHidden/>
          </w:rPr>
        </w:r>
        <w:r w:rsidR="007C29A2">
          <w:rPr>
            <w:noProof/>
            <w:webHidden/>
          </w:rPr>
          <w:fldChar w:fldCharType="separate"/>
        </w:r>
        <w:r w:rsidR="007C29A2">
          <w:rPr>
            <w:noProof/>
            <w:webHidden/>
          </w:rPr>
          <w:t>12</w:t>
        </w:r>
        <w:r w:rsidR="007C29A2">
          <w:rPr>
            <w:noProof/>
            <w:webHidden/>
          </w:rPr>
          <w:fldChar w:fldCharType="end"/>
        </w:r>
      </w:hyperlink>
    </w:p>
    <w:p w14:paraId="4EDA1622" w14:textId="2DBD86A0"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34" w:history="1">
        <w:r w:rsidR="007C29A2" w:rsidRPr="00864071">
          <w:rPr>
            <w:rStyle w:val="Hypertextovodkaz"/>
            <w:rFonts w:cs="Times New Roman"/>
            <w:noProof/>
          </w:rPr>
          <w:t>Tabulka 6</w:t>
        </w:r>
        <w:r w:rsidR="007C29A2">
          <w:rPr>
            <w:rFonts w:asciiTheme="minorHAnsi" w:eastAsiaTheme="minorEastAsia" w:hAnsiTheme="minorHAnsi"/>
            <w:noProof/>
            <w:sz w:val="24"/>
            <w:szCs w:val="24"/>
            <w:lang w:val="cs-CZ" w:eastAsia="cs-CZ"/>
          </w:rPr>
          <w:tab/>
        </w:r>
        <w:r w:rsidR="007C29A2" w:rsidRPr="00864071">
          <w:rPr>
            <w:rStyle w:val="Hypertextovodkaz"/>
            <w:rFonts w:cs="Times New Roman"/>
            <w:noProof/>
          </w:rPr>
          <w:t>Ekonomická situace podniků podle výrobního zaměření v průměru za období let 2014-16</w:t>
        </w:r>
        <w:r w:rsidR="007C29A2">
          <w:rPr>
            <w:noProof/>
            <w:webHidden/>
          </w:rPr>
          <w:tab/>
        </w:r>
        <w:r w:rsidR="007C29A2">
          <w:rPr>
            <w:noProof/>
            <w:webHidden/>
          </w:rPr>
          <w:fldChar w:fldCharType="begin"/>
        </w:r>
        <w:r w:rsidR="007C29A2">
          <w:rPr>
            <w:noProof/>
            <w:webHidden/>
          </w:rPr>
          <w:instrText xml:space="preserve"> PAGEREF _Toc81738434 \h </w:instrText>
        </w:r>
        <w:r w:rsidR="007C29A2">
          <w:rPr>
            <w:noProof/>
            <w:webHidden/>
          </w:rPr>
        </w:r>
        <w:r w:rsidR="007C29A2">
          <w:rPr>
            <w:noProof/>
            <w:webHidden/>
          </w:rPr>
          <w:fldChar w:fldCharType="separate"/>
        </w:r>
        <w:r w:rsidR="007C29A2">
          <w:rPr>
            <w:noProof/>
            <w:webHidden/>
          </w:rPr>
          <w:t>13</w:t>
        </w:r>
        <w:r w:rsidR="007C29A2">
          <w:rPr>
            <w:noProof/>
            <w:webHidden/>
          </w:rPr>
          <w:fldChar w:fldCharType="end"/>
        </w:r>
      </w:hyperlink>
    </w:p>
    <w:p w14:paraId="1F8FF25E" w14:textId="5B293B86"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35" w:history="1">
        <w:r w:rsidR="007C29A2" w:rsidRPr="00864071">
          <w:rPr>
            <w:rStyle w:val="Hypertextovodkaz"/>
            <w:rFonts w:cs="Times New Roman"/>
            <w:noProof/>
          </w:rPr>
          <w:t>Tabulka 7</w:t>
        </w:r>
        <w:r w:rsidR="007C29A2">
          <w:rPr>
            <w:rFonts w:asciiTheme="minorHAnsi" w:eastAsiaTheme="minorEastAsia" w:hAnsiTheme="minorHAnsi"/>
            <w:noProof/>
            <w:sz w:val="24"/>
            <w:szCs w:val="24"/>
            <w:lang w:val="cs-CZ" w:eastAsia="cs-CZ"/>
          </w:rPr>
          <w:tab/>
        </w:r>
        <w:r w:rsidR="007C29A2" w:rsidRPr="00864071">
          <w:rPr>
            <w:rStyle w:val="Hypertextovodkaz"/>
            <w:rFonts w:cs="Times New Roman"/>
            <w:noProof/>
          </w:rPr>
          <w:t>Přehled čerpání podpor v rámci EAFRD v období 2007 – 2015 v rámci Opatření – Modernizace zemědělských podniků</w:t>
        </w:r>
        <w:r w:rsidR="007C29A2">
          <w:rPr>
            <w:noProof/>
            <w:webHidden/>
          </w:rPr>
          <w:tab/>
        </w:r>
        <w:r w:rsidR="007C29A2">
          <w:rPr>
            <w:noProof/>
            <w:webHidden/>
          </w:rPr>
          <w:fldChar w:fldCharType="begin"/>
        </w:r>
        <w:r w:rsidR="007C29A2">
          <w:rPr>
            <w:noProof/>
            <w:webHidden/>
          </w:rPr>
          <w:instrText xml:space="preserve"> PAGEREF _Toc81738435 \h </w:instrText>
        </w:r>
        <w:r w:rsidR="007C29A2">
          <w:rPr>
            <w:noProof/>
            <w:webHidden/>
          </w:rPr>
        </w:r>
        <w:r w:rsidR="007C29A2">
          <w:rPr>
            <w:noProof/>
            <w:webHidden/>
          </w:rPr>
          <w:fldChar w:fldCharType="separate"/>
        </w:r>
        <w:r w:rsidR="007C29A2">
          <w:rPr>
            <w:noProof/>
            <w:webHidden/>
          </w:rPr>
          <w:t>18</w:t>
        </w:r>
        <w:r w:rsidR="007C29A2">
          <w:rPr>
            <w:noProof/>
            <w:webHidden/>
          </w:rPr>
          <w:fldChar w:fldCharType="end"/>
        </w:r>
      </w:hyperlink>
    </w:p>
    <w:p w14:paraId="7051B5B8" w14:textId="07867112"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36" w:history="1">
        <w:r w:rsidR="007C29A2" w:rsidRPr="00864071">
          <w:rPr>
            <w:rStyle w:val="Hypertextovodkaz"/>
            <w:rFonts w:cs="Times New Roman"/>
            <w:noProof/>
          </w:rPr>
          <w:t>Tabulka 8</w:t>
        </w:r>
        <w:r w:rsidR="007C29A2">
          <w:rPr>
            <w:rFonts w:asciiTheme="minorHAnsi" w:eastAsiaTheme="minorEastAsia" w:hAnsiTheme="minorHAnsi"/>
            <w:noProof/>
            <w:sz w:val="24"/>
            <w:szCs w:val="24"/>
            <w:lang w:val="cs-CZ" w:eastAsia="cs-CZ"/>
          </w:rPr>
          <w:tab/>
        </w:r>
        <w:r w:rsidR="007C29A2" w:rsidRPr="00864071">
          <w:rPr>
            <w:rStyle w:val="Hypertextovodkaz"/>
            <w:rFonts w:cs="Times New Roman"/>
            <w:noProof/>
          </w:rPr>
          <w:t>Přehled čerpání dotace 1.I (Podpora vybudování kapkové závlahy v ovocných sadech, chmelnicích, vinicích a ve školkách) v letech 2011-2019</w:t>
        </w:r>
        <w:r w:rsidR="007C29A2">
          <w:rPr>
            <w:noProof/>
            <w:webHidden/>
          </w:rPr>
          <w:tab/>
        </w:r>
        <w:r w:rsidR="007C29A2">
          <w:rPr>
            <w:noProof/>
            <w:webHidden/>
          </w:rPr>
          <w:fldChar w:fldCharType="begin"/>
        </w:r>
        <w:r w:rsidR="007C29A2">
          <w:rPr>
            <w:noProof/>
            <w:webHidden/>
          </w:rPr>
          <w:instrText xml:space="preserve"> PAGEREF _Toc81738436 \h </w:instrText>
        </w:r>
        <w:r w:rsidR="007C29A2">
          <w:rPr>
            <w:noProof/>
            <w:webHidden/>
          </w:rPr>
        </w:r>
        <w:r w:rsidR="007C29A2">
          <w:rPr>
            <w:noProof/>
            <w:webHidden/>
          </w:rPr>
          <w:fldChar w:fldCharType="separate"/>
        </w:r>
        <w:r w:rsidR="007C29A2">
          <w:rPr>
            <w:noProof/>
            <w:webHidden/>
          </w:rPr>
          <w:t>19</w:t>
        </w:r>
        <w:r w:rsidR="007C29A2">
          <w:rPr>
            <w:noProof/>
            <w:webHidden/>
          </w:rPr>
          <w:fldChar w:fldCharType="end"/>
        </w:r>
      </w:hyperlink>
    </w:p>
    <w:p w14:paraId="09B54F2E" w14:textId="249A88AB"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37" w:history="1">
        <w:r w:rsidR="007C29A2" w:rsidRPr="00864071">
          <w:rPr>
            <w:rStyle w:val="Hypertextovodkaz"/>
            <w:rFonts w:cs="Times New Roman"/>
            <w:noProof/>
          </w:rPr>
          <w:t>Tabulka 9</w:t>
        </w:r>
        <w:r w:rsidR="007C29A2">
          <w:rPr>
            <w:rFonts w:asciiTheme="minorHAnsi" w:eastAsiaTheme="minorEastAsia" w:hAnsiTheme="minorHAnsi"/>
            <w:noProof/>
            <w:sz w:val="24"/>
            <w:szCs w:val="24"/>
            <w:lang w:val="cs-CZ" w:eastAsia="cs-CZ"/>
          </w:rPr>
          <w:tab/>
        </w:r>
        <w:r w:rsidR="007C29A2" w:rsidRPr="00864071">
          <w:rPr>
            <w:rStyle w:val="Hypertextovodkaz"/>
            <w:rFonts w:cs="Times New Roman"/>
            <w:noProof/>
          </w:rPr>
          <w:t>Přehled čerpání dotace 1.R (Podpora restrukturalizace ovocných sadů) v letech 2010-2018</w:t>
        </w:r>
        <w:r w:rsidR="007C29A2">
          <w:rPr>
            <w:noProof/>
            <w:webHidden/>
          </w:rPr>
          <w:tab/>
        </w:r>
        <w:r w:rsidR="007C29A2">
          <w:rPr>
            <w:noProof/>
            <w:webHidden/>
          </w:rPr>
          <w:fldChar w:fldCharType="begin"/>
        </w:r>
        <w:r w:rsidR="007C29A2">
          <w:rPr>
            <w:noProof/>
            <w:webHidden/>
          </w:rPr>
          <w:instrText xml:space="preserve"> PAGEREF _Toc81738437 \h </w:instrText>
        </w:r>
        <w:r w:rsidR="007C29A2">
          <w:rPr>
            <w:noProof/>
            <w:webHidden/>
          </w:rPr>
        </w:r>
        <w:r w:rsidR="007C29A2">
          <w:rPr>
            <w:noProof/>
            <w:webHidden/>
          </w:rPr>
          <w:fldChar w:fldCharType="separate"/>
        </w:r>
        <w:r w:rsidR="007C29A2">
          <w:rPr>
            <w:noProof/>
            <w:webHidden/>
          </w:rPr>
          <w:t>19</w:t>
        </w:r>
        <w:r w:rsidR="007C29A2">
          <w:rPr>
            <w:noProof/>
            <w:webHidden/>
          </w:rPr>
          <w:fldChar w:fldCharType="end"/>
        </w:r>
      </w:hyperlink>
    </w:p>
    <w:p w14:paraId="0BAB4A97" w14:textId="5560FBA5"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38" w:history="1">
        <w:r w:rsidR="007C29A2" w:rsidRPr="00864071">
          <w:rPr>
            <w:rStyle w:val="Hypertextovodkaz"/>
            <w:rFonts w:cs="Times New Roman"/>
            <w:noProof/>
          </w:rPr>
          <w:t>Tabulka 10</w:t>
        </w:r>
        <w:r w:rsidR="007C29A2">
          <w:rPr>
            <w:rFonts w:asciiTheme="minorHAnsi" w:eastAsiaTheme="minorEastAsia" w:hAnsiTheme="minorHAnsi"/>
            <w:noProof/>
            <w:sz w:val="24"/>
            <w:szCs w:val="24"/>
            <w:lang w:val="cs-CZ" w:eastAsia="cs-CZ"/>
          </w:rPr>
          <w:tab/>
        </w:r>
        <w:r w:rsidR="007C29A2" w:rsidRPr="00864071">
          <w:rPr>
            <w:rStyle w:val="Hypertextovodkaz"/>
            <w:rFonts w:cs="Times New Roman"/>
            <w:noProof/>
          </w:rPr>
          <w:t>Národní podpory pro zelináře (mil. Kč)</w:t>
        </w:r>
        <w:r w:rsidR="007C29A2">
          <w:rPr>
            <w:noProof/>
            <w:webHidden/>
          </w:rPr>
          <w:tab/>
        </w:r>
        <w:r w:rsidR="007C29A2">
          <w:rPr>
            <w:noProof/>
            <w:webHidden/>
          </w:rPr>
          <w:fldChar w:fldCharType="begin"/>
        </w:r>
        <w:r w:rsidR="007C29A2">
          <w:rPr>
            <w:noProof/>
            <w:webHidden/>
          </w:rPr>
          <w:instrText xml:space="preserve"> PAGEREF _Toc81738438 \h </w:instrText>
        </w:r>
        <w:r w:rsidR="007C29A2">
          <w:rPr>
            <w:noProof/>
            <w:webHidden/>
          </w:rPr>
        </w:r>
        <w:r w:rsidR="007C29A2">
          <w:rPr>
            <w:noProof/>
            <w:webHidden/>
          </w:rPr>
          <w:fldChar w:fldCharType="separate"/>
        </w:r>
        <w:r w:rsidR="007C29A2">
          <w:rPr>
            <w:noProof/>
            <w:webHidden/>
          </w:rPr>
          <w:t>20</w:t>
        </w:r>
        <w:r w:rsidR="007C29A2">
          <w:rPr>
            <w:noProof/>
            <w:webHidden/>
          </w:rPr>
          <w:fldChar w:fldCharType="end"/>
        </w:r>
      </w:hyperlink>
    </w:p>
    <w:p w14:paraId="45594325" w14:textId="179D66CE"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39" w:history="1">
        <w:r w:rsidR="007C29A2" w:rsidRPr="00864071">
          <w:rPr>
            <w:rStyle w:val="Hypertextovodkaz"/>
            <w:rFonts w:cs="Times New Roman"/>
            <w:noProof/>
          </w:rPr>
          <w:t>Tabulka 11</w:t>
        </w:r>
        <w:r w:rsidR="007C29A2">
          <w:rPr>
            <w:rFonts w:asciiTheme="minorHAnsi" w:eastAsiaTheme="minorEastAsia" w:hAnsiTheme="minorHAnsi"/>
            <w:noProof/>
            <w:sz w:val="24"/>
            <w:szCs w:val="24"/>
            <w:lang w:val="cs-CZ" w:eastAsia="cs-CZ"/>
          </w:rPr>
          <w:tab/>
        </w:r>
        <w:r w:rsidR="007C29A2" w:rsidRPr="00864071">
          <w:rPr>
            <w:rStyle w:val="Hypertextovodkaz"/>
            <w:rFonts w:cs="Times New Roman"/>
            <w:noProof/>
          </w:rPr>
          <w:t>Ekonomika pěstování ovoce s velmi vysokou pracností v 2018 až 2020 s výhledem do 2030</w:t>
        </w:r>
        <w:r w:rsidR="007C29A2">
          <w:rPr>
            <w:noProof/>
            <w:webHidden/>
          </w:rPr>
          <w:tab/>
        </w:r>
        <w:r w:rsidR="007C29A2">
          <w:rPr>
            <w:noProof/>
            <w:webHidden/>
          </w:rPr>
          <w:fldChar w:fldCharType="begin"/>
        </w:r>
        <w:r w:rsidR="007C29A2">
          <w:rPr>
            <w:noProof/>
            <w:webHidden/>
          </w:rPr>
          <w:instrText xml:space="preserve"> PAGEREF _Toc81738439 \h </w:instrText>
        </w:r>
        <w:r w:rsidR="007C29A2">
          <w:rPr>
            <w:noProof/>
            <w:webHidden/>
          </w:rPr>
        </w:r>
        <w:r w:rsidR="007C29A2">
          <w:rPr>
            <w:noProof/>
            <w:webHidden/>
          </w:rPr>
          <w:fldChar w:fldCharType="separate"/>
        </w:r>
        <w:r w:rsidR="007C29A2">
          <w:rPr>
            <w:noProof/>
            <w:webHidden/>
          </w:rPr>
          <w:t>21</w:t>
        </w:r>
        <w:r w:rsidR="007C29A2">
          <w:rPr>
            <w:noProof/>
            <w:webHidden/>
          </w:rPr>
          <w:fldChar w:fldCharType="end"/>
        </w:r>
      </w:hyperlink>
    </w:p>
    <w:p w14:paraId="0C71B671" w14:textId="2BC9544B"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40" w:history="1">
        <w:r w:rsidR="007C29A2" w:rsidRPr="00864071">
          <w:rPr>
            <w:rStyle w:val="Hypertextovodkaz"/>
            <w:rFonts w:cs="Times New Roman"/>
            <w:noProof/>
          </w:rPr>
          <w:t>Tabulka 12</w:t>
        </w:r>
        <w:r w:rsidR="007C29A2">
          <w:rPr>
            <w:rFonts w:asciiTheme="minorHAnsi" w:eastAsiaTheme="minorEastAsia" w:hAnsiTheme="minorHAnsi"/>
            <w:noProof/>
            <w:sz w:val="24"/>
            <w:szCs w:val="24"/>
            <w:lang w:val="cs-CZ" w:eastAsia="cs-CZ"/>
          </w:rPr>
          <w:tab/>
        </w:r>
        <w:r w:rsidR="007C29A2" w:rsidRPr="00864071">
          <w:rPr>
            <w:rStyle w:val="Hypertextovodkaz"/>
            <w:rFonts w:cs="Times New Roman"/>
            <w:noProof/>
          </w:rPr>
          <w:t>Ekonomika pěstování ovoce s vysokou pracností v 2018 až 2020 s výhledem do 2030</w:t>
        </w:r>
        <w:r w:rsidR="007C29A2">
          <w:rPr>
            <w:noProof/>
            <w:webHidden/>
          </w:rPr>
          <w:tab/>
        </w:r>
        <w:r w:rsidR="007C29A2">
          <w:rPr>
            <w:noProof/>
            <w:webHidden/>
          </w:rPr>
          <w:fldChar w:fldCharType="begin"/>
        </w:r>
        <w:r w:rsidR="007C29A2">
          <w:rPr>
            <w:noProof/>
            <w:webHidden/>
          </w:rPr>
          <w:instrText xml:space="preserve"> PAGEREF _Toc81738440 \h </w:instrText>
        </w:r>
        <w:r w:rsidR="007C29A2">
          <w:rPr>
            <w:noProof/>
            <w:webHidden/>
          </w:rPr>
        </w:r>
        <w:r w:rsidR="007C29A2">
          <w:rPr>
            <w:noProof/>
            <w:webHidden/>
          </w:rPr>
          <w:fldChar w:fldCharType="separate"/>
        </w:r>
        <w:r w:rsidR="007C29A2">
          <w:rPr>
            <w:noProof/>
            <w:webHidden/>
          </w:rPr>
          <w:t>21</w:t>
        </w:r>
        <w:r w:rsidR="007C29A2">
          <w:rPr>
            <w:noProof/>
            <w:webHidden/>
          </w:rPr>
          <w:fldChar w:fldCharType="end"/>
        </w:r>
      </w:hyperlink>
    </w:p>
    <w:p w14:paraId="0170B1EB" w14:textId="1D1CF4CA"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41" w:history="1">
        <w:r w:rsidR="007C29A2" w:rsidRPr="00864071">
          <w:rPr>
            <w:rStyle w:val="Hypertextovodkaz"/>
            <w:rFonts w:cs="Times New Roman"/>
            <w:noProof/>
          </w:rPr>
          <w:t>Tabulka 13</w:t>
        </w:r>
        <w:r w:rsidR="007C29A2">
          <w:rPr>
            <w:rFonts w:asciiTheme="minorHAnsi" w:eastAsiaTheme="minorEastAsia" w:hAnsiTheme="minorHAnsi"/>
            <w:noProof/>
            <w:sz w:val="24"/>
            <w:szCs w:val="24"/>
            <w:lang w:val="cs-CZ" w:eastAsia="cs-CZ"/>
          </w:rPr>
          <w:tab/>
        </w:r>
        <w:r w:rsidR="007C29A2" w:rsidRPr="00864071">
          <w:rPr>
            <w:rStyle w:val="Hypertextovodkaz"/>
            <w:rFonts w:cs="Times New Roman"/>
            <w:noProof/>
          </w:rPr>
          <w:t>Ekonomika pěstování zeleniny s velmi vysokou pracností v 2018 až 2020 s výhledem do 2030</w:t>
        </w:r>
        <w:r w:rsidR="007C29A2">
          <w:rPr>
            <w:noProof/>
            <w:webHidden/>
          </w:rPr>
          <w:tab/>
        </w:r>
        <w:r w:rsidR="007C29A2">
          <w:rPr>
            <w:noProof/>
            <w:webHidden/>
          </w:rPr>
          <w:fldChar w:fldCharType="begin"/>
        </w:r>
        <w:r w:rsidR="007C29A2">
          <w:rPr>
            <w:noProof/>
            <w:webHidden/>
          </w:rPr>
          <w:instrText xml:space="preserve"> PAGEREF _Toc81738441 \h </w:instrText>
        </w:r>
        <w:r w:rsidR="007C29A2">
          <w:rPr>
            <w:noProof/>
            <w:webHidden/>
          </w:rPr>
        </w:r>
        <w:r w:rsidR="007C29A2">
          <w:rPr>
            <w:noProof/>
            <w:webHidden/>
          </w:rPr>
          <w:fldChar w:fldCharType="separate"/>
        </w:r>
        <w:r w:rsidR="007C29A2">
          <w:rPr>
            <w:noProof/>
            <w:webHidden/>
          </w:rPr>
          <w:t>21</w:t>
        </w:r>
        <w:r w:rsidR="007C29A2">
          <w:rPr>
            <w:noProof/>
            <w:webHidden/>
          </w:rPr>
          <w:fldChar w:fldCharType="end"/>
        </w:r>
      </w:hyperlink>
    </w:p>
    <w:p w14:paraId="5B6645EF" w14:textId="72500C52"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42" w:history="1">
        <w:r w:rsidR="007C29A2" w:rsidRPr="00864071">
          <w:rPr>
            <w:rStyle w:val="Hypertextovodkaz"/>
            <w:rFonts w:cs="Times New Roman"/>
            <w:noProof/>
          </w:rPr>
          <w:t>Tabulka 14</w:t>
        </w:r>
        <w:r w:rsidR="007C29A2">
          <w:rPr>
            <w:rFonts w:asciiTheme="minorHAnsi" w:eastAsiaTheme="minorEastAsia" w:hAnsiTheme="minorHAnsi"/>
            <w:noProof/>
            <w:sz w:val="24"/>
            <w:szCs w:val="24"/>
            <w:lang w:val="cs-CZ" w:eastAsia="cs-CZ"/>
          </w:rPr>
          <w:tab/>
        </w:r>
        <w:r w:rsidR="007C29A2" w:rsidRPr="00864071">
          <w:rPr>
            <w:rStyle w:val="Hypertextovodkaz"/>
            <w:rFonts w:cs="Times New Roman"/>
            <w:noProof/>
          </w:rPr>
          <w:t>Ekonomika pěstování zeleniny s vysokou pracností v 2018 až 2020 s výhledem do 2030</w:t>
        </w:r>
        <w:r w:rsidR="007C29A2">
          <w:rPr>
            <w:noProof/>
            <w:webHidden/>
          </w:rPr>
          <w:tab/>
        </w:r>
        <w:r w:rsidR="007C29A2">
          <w:rPr>
            <w:noProof/>
            <w:webHidden/>
          </w:rPr>
          <w:fldChar w:fldCharType="begin"/>
        </w:r>
        <w:r w:rsidR="007C29A2">
          <w:rPr>
            <w:noProof/>
            <w:webHidden/>
          </w:rPr>
          <w:instrText xml:space="preserve"> PAGEREF _Toc81738442 \h </w:instrText>
        </w:r>
        <w:r w:rsidR="007C29A2">
          <w:rPr>
            <w:noProof/>
            <w:webHidden/>
          </w:rPr>
        </w:r>
        <w:r w:rsidR="007C29A2">
          <w:rPr>
            <w:noProof/>
            <w:webHidden/>
          </w:rPr>
          <w:fldChar w:fldCharType="separate"/>
        </w:r>
        <w:r w:rsidR="007C29A2">
          <w:rPr>
            <w:noProof/>
            <w:webHidden/>
          </w:rPr>
          <w:t>21</w:t>
        </w:r>
        <w:r w:rsidR="007C29A2">
          <w:rPr>
            <w:noProof/>
            <w:webHidden/>
          </w:rPr>
          <w:fldChar w:fldCharType="end"/>
        </w:r>
      </w:hyperlink>
    </w:p>
    <w:p w14:paraId="7D95B930" w14:textId="27D03F57"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43" w:history="1">
        <w:r w:rsidR="007C29A2" w:rsidRPr="00864071">
          <w:rPr>
            <w:rStyle w:val="Hypertextovodkaz"/>
            <w:rFonts w:cs="Times New Roman"/>
            <w:noProof/>
          </w:rPr>
          <w:t>Tabulka 15</w:t>
        </w:r>
        <w:r w:rsidR="007C29A2">
          <w:rPr>
            <w:rFonts w:asciiTheme="minorHAnsi" w:eastAsiaTheme="minorEastAsia" w:hAnsiTheme="minorHAnsi"/>
            <w:noProof/>
            <w:sz w:val="24"/>
            <w:szCs w:val="24"/>
            <w:lang w:val="cs-CZ" w:eastAsia="cs-CZ"/>
          </w:rPr>
          <w:tab/>
        </w:r>
        <w:r w:rsidR="007C29A2" w:rsidRPr="00864071">
          <w:rPr>
            <w:rStyle w:val="Hypertextovodkaz"/>
            <w:rFonts w:cs="Times New Roman"/>
            <w:noProof/>
          </w:rPr>
          <w:t>Teorie změny – ovoce a zelenina</w:t>
        </w:r>
        <w:r w:rsidR="007C29A2">
          <w:rPr>
            <w:noProof/>
            <w:webHidden/>
          </w:rPr>
          <w:tab/>
        </w:r>
        <w:r w:rsidR="007C29A2">
          <w:rPr>
            <w:noProof/>
            <w:webHidden/>
          </w:rPr>
          <w:fldChar w:fldCharType="begin"/>
        </w:r>
        <w:r w:rsidR="007C29A2">
          <w:rPr>
            <w:noProof/>
            <w:webHidden/>
          </w:rPr>
          <w:instrText xml:space="preserve"> PAGEREF _Toc81738443 \h </w:instrText>
        </w:r>
        <w:r w:rsidR="007C29A2">
          <w:rPr>
            <w:noProof/>
            <w:webHidden/>
          </w:rPr>
        </w:r>
        <w:r w:rsidR="007C29A2">
          <w:rPr>
            <w:noProof/>
            <w:webHidden/>
          </w:rPr>
          <w:fldChar w:fldCharType="separate"/>
        </w:r>
        <w:r w:rsidR="007C29A2">
          <w:rPr>
            <w:noProof/>
            <w:webHidden/>
          </w:rPr>
          <w:t>23</w:t>
        </w:r>
        <w:r w:rsidR="007C29A2">
          <w:rPr>
            <w:noProof/>
            <w:webHidden/>
          </w:rPr>
          <w:fldChar w:fldCharType="end"/>
        </w:r>
      </w:hyperlink>
    </w:p>
    <w:p w14:paraId="73EE6A29" w14:textId="2803834B"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44" w:history="1">
        <w:r w:rsidR="007C29A2" w:rsidRPr="00864071">
          <w:rPr>
            <w:rStyle w:val="Hypertextovodkaz"/>
            <w:rFonts w:cs="Times New Roman"/>
            <w:noProof/>
          </w:rPr>
          <w:t>Tabulka 16</w:t>
        </w:r>
        <w:r w:rsidR="007C29A2">
          <w:rPr>
            <w:rFonts w:asciiTheme="minorHAnsi" w:eastAsiaTheme="minorEastAsia" w:hAnsiTheme="minorHAnsi"/>
            <w:noProof/>
            <w:sz w:val="24"/>
            <w:szCs w:val="24"/>
            <w:lang w:val="cs-CZ" w:eastAsia="cs-CZ"/>
          </w:rPr>
          <w:tab/>
        </w:r>
        <w:r w:rsidR="007C29A2" w:rsidRPr="00864071">
          <w:rPr>
            <w:rStyle w:val="Hypertextovodkaz"/>
            <w:rFonts w:cs="Times New Roman"/>
            <w:noProof/>
          </w:rPr>
          <w:t>Ekonomika pěstování vinných hroznů v letech 2011 až 2020</w:t>
        </w:r>
        <w:r w:rsidR="007C29A2">
          <w:rPr>
            <w:noProof/>
            <w:webHidden/>
          </w:rPr>
          <w:tab/>
        </w:r>
        <w:r w:rsidR="007C29A2">
          <w:rPr>
            <w:noProof/>
            <w:webHidden/>
          </w:rPr>
          <w:fldChar w:fldCharType="begin"/>
        </w:r>
        <w:r w:rsidR="007C29A2">
          <w:rPr>
            <w:noProof/>
            <w:webHidden/>
          </w:rPr>
          <w:instrText xml:space="preserve"> PAGEREF _Toc81738444 \h </w:instrText>
        </w:r>
        <w:r w:rsidR="007C29A2">
          <w:rPr>
            <w:noProof/>
            <w:webHidden/>
          </w:rPr>
        </w:r>
        <w:r w:rsidR="007C29A2">
          <w:rPr>
            <w:noProof/>
            <w:webHidden/>
          </w:rPr>
          <w:fldChar w:fldCharType="separate"/>
        </w:r>
        <w:r w:rsidR="007C29A2">
          <w:rPr>
            <w:noProof/>
            <w:webHidden/>
          </w:rPr>
          <w:t>33</w:t>
        </w:r>
        <w:r w:rsidR="007C29A2">
          <w:rPr>
            <w:noProof/>
            <w:webHidden/>
          </w:rPr>
          <w:fldChar w:fldCharType="end"/>
        </w:r>
      </w:hyperlink>
    </w:p>
    <w:p w14:paraId="1C6B8D53" w14:textId="37BFE6B3"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45" w:history="1">
        <w:r w:rsidR="007C29A2" w:rsidRPr="00864071">
          <w:rPr>
            <w:rStyle w:val="Hypertextovodkaz"/>
            <w:rFonts w:cs="Times New Roman"/>
            <w:noProof/>
          </w:rPr>
          <w:t>Tabulka 17</w:t>
        </w:r>
        <w:r w:rsidR="007C29A2">
          <w:rPr>
            <w:rFonts w:asciiTheme="minorHAnsi" w:eastAsiaTheme="minorEastAsia" w:hAnsiTheme="minorHAnsi"/>
            <w:noProof/>
            <w:sz w:val="24"/>
            <w:szCs w:val="24"/>
            <w:lang w:val="cs-CZ" w:eastAsia="cs-CZ"/>
          </w:rPr>
          <w:tab/>
        </w:r>
        <w:r w:rsidR="007C29A2" w:rsidRPr="00864071">
          <w:rPr>
            <w:rStyle w:val="Hypertextovodkaz"/>
            <w:rFonts w:cs="Times New Roman"/>
            <w:noProof/>
          </w:rPr>
          <w:t>Vyhodnocení intervence „Restrukturalizace“ za období 2013/14 až 2019/20 v ha</w:t>
        </w:r>
        <w:r w:rsidR="007C29A2">
          <w:rPr>
            <w:noProof/>
            <w:webHidden/>
          </w:rPr>
          <w:tab/>
        </w:r>
        <w:r w:rsidR="007C29A2">
          <w:rPr>
            <w:noProof/>
            <w:webHidden/>
          </w:rPr>
          <w:fldChar w:fldCharType="begin"/>
        </w:r>
        <w:r w:rsidR="007C29A2">
          <w:rPr>
            <w:noProof/>
            <w:webHidden/>
          </w:rPr>
          <w:instrText xml:space="preserve"> PAGEREF _Toc81738445 \h </w:instrText>
        </w:r>
        <w:r w:rsidR="007C29A2">
          <w:rPr>
            <w:noProof/>
            <w:webHidden/>
          </w:rPr>
        </w:r>
        <w:r w:rsidR="007C29A2">
          <w:rPr>
            <w:noProof/>
            <w:webHidden/>
          </w:rPr>
          <w:fldChar w:fldCharType="separate"/>
        </w:r>
        <w:r w:rsidR="007C29A2">
          <w:rPr>
            <w:noProof/>
            <w:webHidden/>
          </w:rPr>
          <w:t>36</w:t>
        </w:r>
        <w:r w:rsidR="007C29A2">
          <w:rPr>
            <w:noProof/>
            <w:webHidden/>
          </w:rPr>
          <w:fldChar w:fldCharType="end"/>
        </w:r>
      </w:hyperlink>
    </w:p>
    <w:p w14:paraId="65196851" w14:textId="6584BCA5"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46" w:history="1">
        <w:r w:rsidR="007C29A2" w:rsidRPr="00864071">
          <w:rPr>
            <w:rStyle w:val="Hypertextovodkaz"/>
            <w:rFonts w:cs="Times New Roman"/>
            <w:noProof/>
          </w:rPr>
          <w:t>Tabulka 18</w:t>
        </w:r>
        <w:r w:rsidR="007C29A2">
          <w:rPr>
            <w:rFonts w:asciiTheme="minorHAnsi" w:eastAsiaTheme="minorEastAsia" w:hAnsiTheme="minorHAnsi"/>
            <w:noProof/>
            <w:sz w:val="24"/>
            <w:szCs w:val="24"/>
            <w:lang w:val="cs-CZ" w:eastAsia="cs-CZ"/>
          </w:rPr>
          <w:tab/>
        </w:r>
        <w:r w:rsidR="007C29A2" w:rsidRPr="00864071">
          <w:rPr>
            <w:rStyle w:val="Hypertextovodkaz"/>
            <w:rFonts w:cs="Times New Roman"/>
            <w:noProof/>
          </w:rPr>
          <w:t>Vyplacená podpora na restrukturalizaci a přeměnu vinic (tis. Kč)</w:t>
        </w:r>
        <w:r w:rsidR="007C29A2">
          <w:rPr>
            <w:noProof/>
            <w:webHidden/>
          </w:rPr>
          <w:tab/>
        </w:r>
        <w:r w:rsidR="007C29A2">
          <w:rPr>
            <w:noProof/>
            <w:webHidden/>
          </w:rPr>
          <w:fldChar w:fldCharType="begin"/>
        </w:r>
        <w:r w:rsidR="007C29A2">
          <w:rPr>
            <w:noProof/>
            <w:webHidden/>
          </w:rPr>
          <w:instrText xml:space="preserve"> PAGEREF _Toc81738446 \h </w:instrText>
        </w:r>
        <w:r w:rsidR="007C29A2">
          <w:rPr>
            <w:noProof/>
            <w:webHidden/>
          </w:rPr>
        </w:r>
        <w:r w:rsidR="007C29A2">
          <w:rPr>
            <w:noProof/>
            <w:webHidden/>
          </w:rPr>
          <w:fldChar w:fldCharType="separate"/>
        </w:r>
        <w:r w:rsidR="007C29A2">
          <w:rPr>
            <w:noProof/>
            <w:webHidden/>
          </w:rPr>
          <w:t>37</w:t>
        </w:r>
        <w:r w:rsidR="007C29A2">
          <w:rPr>
            <w:noProof/>
            <w:webHidden/>
          </w:rPr>
          <w:fldChar w:fldCharType="end"/>
        </w:r>
      </w:hyperlink>
    </w:p>
    <w:p w14:paraId="1AC3C9FD" w14:textId="1A292933"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47" w:history="1">
        <w:r w:rsidR="007C29A2" w:rsidRPr="00864071">
          <w:rPr>
            <w:rStyle w:val="Hypertextovodkaz"/>
            <w:rFonts w:cs="Times New Roman"/>
            <w:noProof/>
          </w:rPr>
          <w:t>Tabulka 19</w:t>
        </w:r>
        <w:r w:rsidR="007C29A2">
          <w:rPr>
            <w:rFonts w:asciiTheme="minorHAnsi" w:eastAsiaTheme="minorEastAsia" w:hAnsiTheme="minorHAnsi"/>
            <w:noProof/>
            <w:sz w:val="24"/>
            <w:szCs w:val="24"/>
            <w:lang w:val="cs-CZ" w:eastAsia="cs-CZ"/>
          </w:rPr>
          <w:tab/>
        </w:r>
        <w:r w:rsidR="007C29A2" w:rsidRPr="00864071">
          <w:rPr>
            <w:rStyle w:val="Hypertextovodkaz"/>
            <w:rFonts w:cs="Times New Roman"/>
            <w:noProof/>
          </w:rPr>
          <w:t>Počet žádostí a vyplacené částky na jednotlivá podopatření v jednotlivých finančních letech</w:t>
        </w:r>
        <w:r w:rsidR="007C29A2">
          <w:rPr>
            <w:noProof/>
            <w:webHidden/>
          </w:rPr>
          <w:tab/>
        </w:r>
        <w:r w:rsidR="007C29A2">
          <w:rPr>
            <w:noProof/>
            <w:webHidden/>
          </w:rPr>
          <w:fldChar w:fldCharType="begin"/>
        </w:r>
        <w:r w:rsidR="007C29A2">
          <w:rPr>
            <w:noProof/>
            <w:webHidden/>
          </w:rPr>
          <w:instrText xml:space="preserve"> PAGEREF _Toc81738447 \h </w:instrText>
        </w:r>
        <w:r w:rsidR="007C29A2">
          <w:rPr>
            <w:noProof/>
            <w:webHidden/>
          </w:rPr>
        </w:r>
        <w:r w:rsidR="007C29A2">
          <w:rPr>
            <w:noProof/>
            <w:webHidden/>
          </w:rPr>
          <w:fldChar w:fldCharType="separate"/>
        </w:r>
        <w:r w:rsidR="007C29A2">
          <w:rPr>
            <w:noProof/>
            <w:webHidden/>
          </w:rPr>
          <w:t>37</w:t>
        </w:r>
        <w:r w:rsidR="007C29A2">
          <w:rPr>
            <w:noProof/>
            <w:webHidden/>
          </w:rPr>
          <w:fldChar w:fldCharType="end"/>
        </w:r>
      </w:hyperlink>
    </w:p>
    <w:p w14:paraId="6428AB3A" w14:textId="72F6DDFC"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48" w:history="1">
        <w:r w:rsidR="007C29A2" w:rsidRPr="00864071">
          <w:rPr>
            <w:rStyle w:val="Hypertextovodkaz"/>
            <w:noProof/>
          </w:rPr>
          <w:t>Tabulka 20</w:t>
        </w:r>
        <w:r w:rsidR="007C29A2">
          <w:rPr>
            <w:rFonts w:asciiTheme="minorHAnsi" w:eastAsiaTheme="minorEastAsia" w:hAnsiTheme="minorHAnsi"/>
            <w:noProof/>
            <w:sz w:val="24"/>
            <w:szCs w:val="24"/>
            <w:lang w:val="cs-CZ" w:eastAsia="cs-CZ"/>
          </w:rPr>
          <w:tab/>
        </w:r>
        <w:r w:rsidR="007C29A2" w:rsidRPr="00864071">
          <w:rPr>
            <w:rStyle w:val="Hypertextovodkaz"/>
            <w:noProof/>
          </w:rPr>
          <w:t>Přehled čerpání dotace 1.I (Podpora vybudování kapkové závlahy v ovocných sadech, chmelnicích, vinicích a ve školkách) v letech 2010-2018</w:t>
        </w:r>
        <w:r w:rsidR="007C29A2">
          <w:rPr>
            <w:noProof/>
            <w:webHidden/>
          </w:rPr>
          <w:tab/>
        </w:r>
        <w:r w:rsidR="007C29A2">
          <w:rPr>
            <w:noProof/>
            <w:webHidden/>
          </w:rPr>
          <w:fldChar w:fldCharType="begin"/>
        </w:r>
        <w:r w:rsidR="007C29A2">
          <w:rPr>
            <w:noProof/>
            <w:webHidden/>
          </w:rPr>
          <w:instrText xml:space="preserve"> PAGEREF _Toc81738448 \h </w:instrText>
        </w:r>
        <w:r w:rsidR="007C29A2">
          <w:rPr>
            <w:noProof/>
            <w:webHidden/>
          </w:rPr>
        </w:r>
        <w:r w:rsidR="007C29A2">
          <w:rPr>
            <w:noProof/>
            <w:webHidden/>
          </w:rPr>
          <w:fldChar w:fldCharType="separate"/>
        </w:r>
        <w:r w:rsidR="007C29A2">
          <w:rPr>
            <w:noProof/>
            <w:webHidden/>
          </w:rPr>
          <w:t>39</w:t>
        </w:r>
        <w:r w:rsidR="007C29A2">
          <w:rPr>
            <w:noProof/>
            <w:webHidden/>
          </w:rPr>
          <w:fldChar w:fldCharType="end"/>
        </w:r>
      </w:hyperlink>
    </w:p>
    <w:p w14:paraId="073DB261" w14:textId="37961BA9"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49" w:history="1">
        <w:r w:rsidR="007C29A2" w:rsidRPr="00864071">
          <w:rPr>
            <w:rStyle w:val="Hypertextovodkaz"/>
            <w:noProof/>
          </w:rPr>
          <w:t>Tabulka 21</w:t>
        </w:r>
        <w:r w:rsidR="007C29A2">
          <w:rPr>
            <w:rFonts w:asciiTheme="minorHAnsi" w:eastAsiaTheme="minorEastAsia" w:hAnsiTheme="minorHAnsi"/>
            <w:noProof/>
            <w:sz w:val="24"/>
            <w:szCs w:val="24"/>
            <w:lang w:val="cs-CZ" w:eastAsia="cs-CZ"/>
          </w:rPr>
          <w:tab/>
        </w:r>
        <w:r w:rsidR="007C29A2" w:rsidRPr="00864071">
          <w:rPr>
            <w:rStyle w:val="Hypertextovodkaz"/>
            <w:noProof/>
          </w:rPr>
          <w:t>Přehled vysazených a restrukturalizovaných vinic (v ha)</w:t>
        </w:r>
        <w:r w:rsidR="007C29A2">
          <w:rPr>
            <w:noProof/>
            <w:webHidden/>
          </w:rPr>
          <w:tab/>
        </w:r>
        <w:r w:rsidR="007C29A2">
          <w:rPr>
            <w:noProof/>
            <w:webHidden/>
          </w:rPr>
          <w:fldChar w:fldCharType="begin"/>
        </w:r>
        <w:r w:rsidR="007C29A2">
          <w:rPr>
            <w:noProof/>
            <w:webHidden/>
          </w:rPr>
          <w:instrText xml:space="preserve"> PAGEREF _Toc81738449 \h </w:instrText>
        </w:r>
        <w:r w:rsidR="007C29A2">
          <w:rPr>
            <w:noProof/>
            <w:webHidden/>
          </w:rPr>
        </w:r>
        <w:r w:rsidR="007C29A2">
          <w:rPr>
            <w:noProof/>
            <w:webHidden/>
          </w:rPr>
          <w:fldChar w:fldCharType="separate"/>
        </w:r>
        <w:r w:rsidR="007C29A2">
          <w:rPr>
            <w:noProof/>
            <w:webHidden/>
          </w:rPr>
          <w:t>40</w:t>
        </w:r>
        <w:r w:rsidR="007C29A2">
          <w:rPr>
            <w:noProof/>
            <w:webHidden/>
          </w:rPr>
          <w:fldChar w:fldCharType="end"/>
        </w:r>
      </w:hyperlink>
    </w:p>
    <w:p w14:paraId="64F0F2B3" w14:textId="21DCA84E"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50" w:history="1">
        <w:r w:rsidR="007C29A2" w:rsidRPr="00864071">
          <w:rPr>
            <w:rStyle w:val="Hypertextovodkaz"/>
            <w:noProof/>
          </w:rPr>
          <w:t>Tabulka 22</w:t>
        </w:r>
        <w:r w:rsidR="007C29A2">
          <w:rPr>
            <w:rFonts w:asciiTheme="minorHAnsi" w:eastAsiaTheme="minorEastAsia" w:hAnsiTheme="minorHAnsi"/>
            <w:noProof/>
            <w:sz w:val="24"/>
            <w:szCs w:val="24"/>
            <w:lang w:val="cs-CZ" w:eastAsia="cs-CZ"/>
          </w:rPr>
          <w:tab/>
        </w:r>
        <w:r w:rsidR="007C29A2" w:rsidRPr="00864071">
          <w:rPr>
            <w:rStyle w:val="Hypertextovodkaz"/>
            <w:noProof/>
          </w:rPr>
          <w:t>Teorie změny – víno</w:t>
        </w:r>
        <w:r w:rsidR="007C29A2">
          <w:rPr>
            <w:noProof/>
            <w:webHidden/>
          </w:rPr>
          <w:tab/>
        </w:r>
        <w:r w:rsidR="007C29A2">
          <w:rPr>
            <w:noProof/>
            <w:webHidden/>
          </w:rPr>
          <w:fldChar w:fldCharType="begin"/>
        </w:r>
        <w:r w:rsidR="007C29A2">
          <w:rPr>
            <w:noProof/>
            <w:webHidden/>
          </w:rPr>
          <w:instrText xml:space="preserve"> PAGEREF _Toc81738450 \h </w:instrText>
        </w:r>
        <w:r w:rsidR="007C29A2">
          <w:rPr>
            <w:noProof/>
            <w:webHidden/>
          </w:rPr>
        </w:r>
        <w:r w:rsidR="007C29A2">
          <w:rPr>
            <w:noProof/>
            <w:webHidden/>
          </w:rPr>
          <w:fldChar w:fldCharType="separate"/>
        </w:r>
        <w:r w:rsidR="007C29A2">
          <w:rPr>
            <w:noProof/>
            <w:webHidden/>
          </w:rPr>
          <w:t>42</w:t>
        </w:r>
        <w:r w:rsidR="007C29A2">
          <w:rPr>
            <w:noProof/>
            <w:webHidden/>
          </w:rPr>
          <w:fldChar w:fldCharType="end"/>
        </w:r>
      </w:hyperlink>
    </w:p>
    <w:p w14:paraId="0A9BB777" w14:textId="060E0384"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51" w:history="1">
        <w:r w:rsidR="007C29A2" w:rsidRPr="00864071">
          <w:rPr>
            <w:rStyle w:val="Hypertextovodkaz"/>
            <w:noProof/>
          </w:rPr>
          <w:t>Tabulka 23</w:t>
        </w:r>
        <w:r w:rsidR="007C29A2">
          <w:rPr>
            <w:rFonts w:asciiTheme="minorHAnsi" w:eastAsiaTheme="minorEastAsia" w:hAnsiTheme="minorHAnsi"/>
            <w:noProof/>
            <w:sz w:val="24"/>
            <w:szCs w:val="24"/>
            <w:lang w:val="cs-CZ" w:eastAsia="cs-CZ"/>
          </w:rPr>
          <w:tab/>
        </w:r>
        <w:r w:rsidR="007C29A2" w:rsidRPr="00864071">
          <w:rPr>
            <w:rStyle w:val="Hypertextovodkaz"/>
            <w:noProof/>
          </w:rPr>
          <w:t>Ekonomika pěstování konzumních brambor (rané a konzumní ostatní) v letech 2011 až 2020</w:t>
        </w:r>
        <w:r w:rsidR="007C29A2">
          <w:rPr>
            <w:noProof/>
            <w:webHidden/>
          </w:rPr>
          <w:tab/>
        </w:r>
        <w:r w:rsidR="007C29A2">
          <w:rPr>
            <w:noProof/>
            <w:webHidden/>
          </w:rPr>
          <w:fldChar w:fldCharType="begin"/>
        </w:r>
        <w:r w:rsidR="007C29A2">
          <w:rPr>
            <w:noProof/>
            <w:webHidden/>
          </w:rPr>
          <w:instrText xml:space="preserve"> PAGEREF _Toc81738451 \h </w:instrText>
        </w:r>
        <w:r w:rsidR="007C29A2">
          <w:rPr>
            <w:noProof/>
            <w:webHidden/>
          </w:rPr>
        </w:r>
        <w:r w:rsidR="007C29A2">
          <w:rPr>
            <w:noProof/>
            <w:webHidden/>
          </w:rPr>
          <w:fldChar w:fldCharType="separate"/>
        </w:r>
        <w:r w:rsidR="007C29A2">
          <w:rPr>
            <w:noProof/>
            <w:webHidden/>
          </w:rPr>
          <w:t>49</w:t>
        </w:r>
        <w:r w:rsidR="007C29A2">
          <w:rPr>
            <w:noProof/>
            <w:webHidden/>
          </w:rPr>
          <w:fldChar w:fldCharType="end"/>
        </w:r>
      </w:hyperlink>
    </w:p>
    <w:p w14:paraId="12D9FC11" w14:textId="7133793C"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52" w:history="1">
        <w:r w:rsidR="007C29A2" w:rsidRPr="00864071">
          <w:rPr>
            <w:rStyle w:val="Hypertextovodkaz"/>
            <w:noProof/>
          </w:rPr>
          <w:t>Tabulka 24</w:t>
        </w:r>
        <w:r w:rsidR="007C29A2">
          <w:rPr>
            <w:rFonts w:asciiTheme="minorHAnsi" w:eastAsiaTheme="minorEastAsia" w:hAnsiTheme="minorHAnsi"/>
            <w:noProof/>
            <w:sz w:val="24"/>
            <w:szCs w:val="24"/>
            <w:lang w:val="cs-CZ" w:eastAsia="cs-CZ"/>
          </w:rPr>
          <w:tab/>
        </w:r>
        <w:r w:rsidR="007C29A2" w:rsidRPr="00864071">
          <w:rPr>
            <w:rStyle w:val="Hypertextovodkaz"/>
            <w:noProof/>
          </w:rPr>
          <w:t>Ekonomika pěstování škrobových brambor v letech 2011 až 2020</w:t>
        </w:r>
        <w:r w:rsidR="007C29A2">
          <w:rPr>
            <w:noProof/>
            <w:webHidden/>
          </w:rPr>
          <w:tab/>
        </w:r>
        <w:r w:rsidR="007C29A2">
          <w:rPr>
            <w:noProof/>
            <w:webHidden/>
          </w:rPr>
          <w:fldChar w:fldCharType="begin"/>
        </w:r>
        <w:r w:rsidR="007C29A2">
          <w:rPr>
            <w:noProof/>
            <w:webHidden/>
          </w:rPr>
          <w:instrText xml:space="preserve"> PAGEREF _Toc81738452 \h </w:instrText>
        </w:r>
        <w:r w:rsidR="007C29A2">
          <w:rPr>
            <w:noProof/>
            <w:webHidden/>
          </w:rPr>
        </w:r>
        <w:r w:rsidR="007C29A2">
          <w:rPr>
            <w:noProof/>
            <w:webHidden/>
          </w:rPr>
          <w:fldChar w:fldCharType="separate"/>
        </w:r>
        <w:r w:rsidR="007C29A2">
          <w:rPr>
            <w:noProof/>
            <w:webHidden/>
          </w:rPr>
          <w:t>50</w:t>
        </w:r>
        <w:r w:rsidR="007C29A2">
          <w:rPr>
            <w:noProof/>
            <w:webHidden/>
          </w:rPr>
          <w:fldChar w:fldCharType="end"/>
        </w:r>
      </w:hyperlink>
    </w:p>
    <w:p w14:paraId="4FA7D59E" w14:textId="3E8BB0A4"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53" w:history="1">
        <w:r w:rsidR="007C29A2" w:rsidRPr="00864071">
          <w:rPr>
            <w:rStyle w:val="Hypertextovodkaz"/>
            <w:noProof/>
          </w:rPr>
          <w:t>Tabulka 25</w:t>
        </w:r>
        <w:r w:rsidR="007C29A2">
          <w:rPr>
            <w:rFonts w:asciiTheme="minorHAnsi" w:eastAsiaTheme="minorEastAsia" w:hAnsiTheme="minorHAnsi"/>
            <w:noProof/>
            <w:sz w:val="24"/>
            <w:szCs w:val="24"/>
            <w:lang w:val="cs-CZ" w:eastAsia="cs-CZ"/>
          </w:rPr>
          <w:tab/>
        </w:r>
        <w:r w:rsidR="007C29A2" w:rsidRPr="00864071">
          <w:rPr>
            <w:rStyle w:val="Hypertextovodkaz"/>
            <w:noProof/>
          </w:rPr>
          <w:t>Dotační podpory brambor konzumních 2011-2020</w:t>
        </w:r>
        <w:r w:rsidR="007C29A2">
          <w:rPr>
            <w:noProof/>
            <w:webHidden/>
          </w:rPr>
          <w:tab/>
        </w:r>
        <w:r w:rsidR="007C29A2">
          <w:rPr>
            <w:noProof/>
            <w:webHidden/>
          </w:rPr>
          <w:fldChar w:fldCharType="begin"/>
        </w:r>
        <w:r w:rsidR="007C29A2">
          <w:rPr>
            <w:noProof/>
            <w:webHidden/>
          </w:rPr>
          <w:instrText xml:space="preserve"> PAGEREF _Toc81738453 \h </w:instrText>
        </w:r>
        <w:r w:rsidR="007C29A2">
          <w:rPr>
            <w:noProof/>
            <w:webHidden/>
          </w:rPr>
        </w:r>
        <w:r w:rsidR="007C29A2">
          <w:rPr>
            <w:noProof/>
            <w:webHidden/>
          </w:rPr>
          <w:fldChar w:fldCharType="separate"/>
        </w:r>
        <w:r w:rsidR="007C29A2">
          <w:rPr>
            <w:noProof/>
            <w:webHidden/>
          </w:rPr>
          <w:t>51</w:t>
        </w:r>
        <w:r w:rsidR="007C29A2">
          <w:rPr>
            <w:noProof/>
            <w:webHidden/>
          </w:rPr>
          <w:fldChar w:fldCharType="end"/>
        </w:r>
      </w:hyperlink>
    </w:p>
    <w:p w14:paraId="74BAE623" w14:textId="62B77A6C"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54" w:history="1">
        <w:r w:rsidR="007C29A2" w:rsidRPr="00864071">
          <w:rPr>
            <w:rStyle w:val="Hypertextovodkaz"/>
            <w:noProof/>
          </w:rPr>
          <w:t>Tabulka 26</w:t>
        </w:r>
        <w:r w:rsidR="007C29A2">
          <w:rPr>
            <w:rFonts w:asciiTheme="minorHAnsi" w:eastAsiaTheme="minorEastAsia" w:hAnsiTheme="minorHAnsi"/>
            <w:noProof/>
            <w:sz w:val="24"/>
            <w:szCs w:val="24"/>
            <w:lang w:val="cs-CZ" w:eastAsia="cs-CZ"/>
          </w:rPr>
          <w:tab/>
        </w:r>
        <w:r w:rsidR="007C29A2" w:rsidRPr="00864071">
          <w:rPr>
            <w:rStyle w:val="Hypertextovodkaz"/>
            <w:noProof/>
          </w:rPr>
          <w:t>Dotační podpory brambor na výrobu škrobu 2011-2020</w:t>
        </w:r>
        <w:r w:rsidR="007C29A2">
          <w:rPr>
            <w:noProof/>
            <w:webHidden/>
          </w:rPr>
          <w:tab/>
        </w:r>
        <w:r w:rsidR="007C29A2">
          <w:rPr>
            <w:noProof/>
            <w:webHidden/>
          </w:rPr>
          <w:fldChar w:fldCharType="begin"/>
        </w:r>
        <w:r w:rsidR="007C29A2">
          <w:rPr>
            <w:noProof/>
            <w:webHidden/>
          </w:rPr>
          <w:instrText xml:space="preserve"> PAGEREF _Toc81738454 \h </w:instrText>
        </w:r>
        <w:r w:rsidR="007C29A2">
          <w:rPr>
            <w:noProof/>
            <w:webHidden/>
          </w:rPr>
        </w:r>
        <w:r w:rsidR="007C29A2">
          <w:rPr>
            <w:noProof/>
            <w:webHidden/>
          </w:rPr>
          <w:fldChar w:fldCharType="separate"/>
        </w:r>
        <w:r w:rsidR="007C29A2">
          <w:rPr>
            <w:noProof/>
            <w:webHidden/>
          </w:rPr>
          <w:t>53</w:t>
        </w:r>
        <w:r w:rsidR="007C29A2">
          <w:rPr>
            <w:noProof/>
            <w:webHidden/>
          </w:rPr>
          <w:fldChar w:fldCharType="end"/>
        </w:r>
      </w:hyperlink>
    </w:p>
    <w:p w14:paraId="411BC174" w14:textId="2CBED190"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55" w:history="1">
        <w:r w:rsidR="007C29A2" w:rsidRPr="00864071">
          <w:rPr>
            <w:rStyle w:val="Hypertextovodkaz"/>
            <w:noProof/>
          </w:rPr>
          <w:t>Tabulka 27</w:t>
        </w:r>
        <w:r w:rsidR="007C29A2">
          <w:rPr>
            <w:rFonts w:asciiTheme="minorHAnsi" w:eastAsiaTheme="minorEastAsia" w:hAnsiTheme="minorHAnsi"/>
            <w:noProof/>
            <w:sz w:val="24"/>
            <w:szCs w:val="24"/>
            <w:lang w:val="cs-CZ" w:eastAsia="cs-CZ"/>
          </w:rPr>
          <w:tab/>
        </w:r>
        <w:r w:rsidR="007C29A2" w:rsidRPr="00864071">
          <w:rPr>
            <w:rStyle w:val="Hypertextovodkaz"/>
            <w:noProof/>
          </w:rPr>
          <w:t>Ekonomika pěstování brambor konzumních v letech 2018-2020 s výhledem do roku 2030</w:t>
        </w:r>
        <w:r w:rsidR="007C29A2">
          <w:rPr>
            <w:noProof/>
            <w:webHidden/>
          </w:rPr>
          <w:tab/>
        </w:r>
        <w:r w:rsidR="007C29A2">
          <w:rPr>
            <w:noProof/>
            <w:webHidden/>
          </w:rPr>
          <w:fldChar w:fldCharType="begin"/>
        </w:r>
        <w:r w:rsidR="007C29A2">
          <w:rPr>
            <w:noProof/>
            <w:webHidden/>
          </w:rPr>
          <w:instrText xml:space="preserve"> PAGEREF _Toc81738455 \h </w:instrText>
        </w:r>
        <w:r w:rsidR="007C29A2">
          <w:rPr>
            <w:noProof/>
            <w:webHidden/>
          </w:rPr>
        </w:r>
        <w:r w:rsidR="007C29A2">
          <w:rPr>
            <w:noProof/>
            <w:webHidden/>
          </w:rPr>
          <w:fldChar w:fldCharType="separate"/>
        </w:r>
        <w:r w:rsidR="007C29A2">
          <w:rPr>
            <w:noProof/>
            <w:webHidden/>
          </w:rPr>
          <w:t>55</w:t>
        </w:r>
        <w:r w:rsidR="007C29A2">
          <w:rPr>
            <w:noProof/>
            <w:webHidden/>
          </w:rPr>
          <w:fldChar w:fldCharType="end"/>
        </w:r>
      </w:hyperlink>
    </w:p>
    <w:p w14:paraId="60D958FA" w14:textId="6027582B"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56" w:history="1">
        <w:r w:rsidR="007C29A2" w:rsidRPr="00864071">
          <w:rPr>
            <w:rStyle w:val="Hypertextovodkaz"/>
            <w:rFonts w:cs="Times New Roman"/>
            <w:i/>
            <w:noProof/>
          </w:rPr>
          <w:t>Tabulka 28</w:t>
        </w:r>
        <w:r w:rsidR="007C29A2">
          <w:rPr>
            <w:rFonts w:asciiTheme="minorHAnsi" w:eastAsiaTheme="minorEastAsia" w:hAnsiTheme="minorHAnsi"/>
            <w:noProof/>
            <w:sz w:val="24"/>
            <w:szCs w:val="24"/>
            <w:lang w:val="cs-CZ" w:eastAsia="cs-CZ"/>
          </w:rPr>
          <w:tab/>
        </w:r>
        <w:r w:rsidR="007C29A2" w:rsidRPr="00864071">
          <w:rPr>
            <w:rStyle w:val="Hypertextovodkaz"/>
            <w:noProof/>
          </w:rPr>
          <w:t>Ekonomika pěstování brambor na výrobu škrobu v letech 2011-2020 s výhledem do roku 2030</w:t>
        </w:r>
        <w:r w:rsidR="007C29A2">
          <w:rPr>
            <w:noProof/>
            <w:webHidden/>
          </w:rPr>
          <w:tab/>
        </w:r>
        <w:r w:rsidR="007C29A2">
          <w:rPr>
            <w:noProof/>
            <w:webHidden/>
          </w:rPr>
          <w:fldChar w:fldCharType="begin"/>
        </w:r>
        <w:r w:rsidR="007C29A2">
          <w:rPr>
            <w:noProof/>
            <w:webHidden/>
          </w:rPr>
          <w:instrText xml:space="preserve"> PAGEREF _Toc81738456 \h </w:instrText>
        </w:r>
        <w:r w:rsidR="007C29A2">
          <w:rPr>
            <w:noProof/>
            <w:webHidden/>
          </w:rPr>
        </w:r>
        <w:r w:rsidR="007C29A2">
          <w:rPr>
            <w:noProof/>
            <w:webHidden/>
          </w:rPr>
          <w:fldChar w:fldCharType="separate"/>
        </w:r>
        <w:r w:rsidR="007C29A2">
          <w:rPr>
            <w:noProof/>
            <w:webHidden/>
          </w:rPr>
          <w:t>56</w:t>
        </w:r>
        <w:r w:rsidR="007C29A2">
          <w:rPr>
            <w:noProof/>
            <w:webHidden/>
          </w:rPr>
          <w:fldChar w:fldCharType="end"/>
        </w:r>
      </w:hyperlink>
    </w:p>
    <w:p w14:paraId="0D3766DC" w14:textId="7721289E"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57" w:history="1">
        <w:r w:rsidR="007C29A2" w:rsidRPr="00864071">
          <w:rPr>
            <w:rStyle w:val="Hypertextovodkaz"/>
            <w:noProof/>
          </w:rPr>
          <w:t>Tabulka 29</w:t>
        </w:r>
        <w:r w:rsidR="007C29A2">
          <w:rPr>
            <w:rFonts w:asciiTheme="minorHAnsi" w:eastAsiaTheme="minorEastAsia" w:hAnsiTheme="minorHAnsi"/>
            <w:noProof/>
            <w:sz w:val="24"/>
            <w:szCs w:val="24"/>
            <w:lang w:val="cs-CZ" w:eastAsia="cs-CZ"/>
          </w:rPr>
          <w:tab/>
        </w:r>
        <w:r w:rsidR="007C29A2" w:rsidRPr="00864071">
          <w:rPr>
            <w:rStyle w:val="Hypertextovodkaz"/>
            <w:noProof/>
          </w:rPr>
          <w:t>Strukturální charakteristiky podniků s citlivými komoditami a vyhodnocení citlivosti příjmových indikátorů na eliminaci VCS podpory</w:t>
        </w:r>
        <w:r w:rsidR="007C29A2">
          <w:rPr>
            <w:noProof/>
            <w:webHidden/>
          </w:rPr>
          <w:tab/>
        </w:r>
        <w:r w:rsidR="007C29A2">
          <w:rPr>
            <w:noProof/>
            <w:webHidden/>
          </w:rPr>
          <w:fldChar w:fldCharType="begin"/>
        </w:r>
        <w:r w:rsidR="007C29A2">
          <w:rPr>
            <w:noProof/>
            <w:webHidden/>
          </w:rPr>
          <w:instrText xml:space="preserve"> PAGEREF _Toc81738457 \h </w:instrText>
        </w:r>
        <w:r w:rsidR="007C29A2">
          <w:rPr>
            <w:noProof/>
            <w:webHidden/>
          </w:rPr>
        </w:r>
        <w:r w:rsidR="007C29A2">
          <w:rPr>
            <w:noProof/>
            <w:webHidden/>
          </w:rPr>
          <w:fldChar w:fldCharType="separate"/>
        </w:r>
        <w:r w:rsidR="007C29A2">
          <w:rPr>
            <w:noProof/>
            <w:webHidden/>
          </w:rPr>
          <w:t>56</w:t>
        </w:r>
        <w:r w:rsidR="007C29A2">
          <w:rPr>
            <w:noProof/>
            <w:webHidden/>
          </w:rPr>
          <w:fldChar w:fldCharType="end"/>
        </w:r>
      </w:hyperlink>
    </w:p>
    <w:p w14:paraId="2171B8F3" w14:textId="0314D602"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58" w:history="1">
        <w:r w:rsidR="007C29A2" w:rsidRPr="00864071">
          <w:rPr>
            <w:rStyle w:val="Hypertextovodkaz"/>
            <w:noProof/>
          </w:rPr>
          <w:t>Tabulka 30</w:t>
        </w:r>
        <w:r w:rsidR="007C29A2">
          <w:rPr>
            <w:rFonts w:asciiTheme="minorHAnsi" w:eastAsiaTheme="minorEastAsia" w:hAnsiTheme="minorHAnsi"/>
            <w:noProof/>
            <w:sz w:val="24"/>
            <w:szCs w:val="24"/>
            <w:lang w:val="cs-CZ" w:eastAsia="cs-CZ"/>
          </w:rPr>
          <w:tab/>
        </w:r>
        <w:r w:rsidR="007C29A2" w:rsidRPr="00864071">
          <w:rPr>
            <w:rStyle w:val="Hypertextovodkaz"/>
            <w:noProof/>
          </w:rPr>
          <w:t>Teorie změny – brambory</w:t>
        </w:r>
        <w:r w:rsidR="007C29A2">
          <w:rPr>
            <w:noProof/>
            <w:webHidden/>
          </w:rPr>
          <w:tab/>
        </w:r>
        <w:r w:rsidR="007C29A2">
          <w:rPr>
            <w:noProof/>
            <w:webHidden/>
          </w:rPr>
          <w:fldChar w:fldCharType="begin"/>
        </w:r>
        <w:r w:rsidR="007C29A2">
          <w:rPr>
            <w:noProof/>
            <w:webHidden/>
          </w:rPr>
          <w:instrText xml:space="preserve"> PAGEREF _Toc81738458 \h </w:instrText>
        </w:r>
        <w:r w:rsidR="007C29A2">
          <w:rPr>
            <w:noProof/>
            <w:webHidden/>
          </w:rPr>
        </w:r>
        <w:r w:rsidR="007C29A2">
          <w:rPr>
            <w:noProof/>
            <w:webHidden/>
          </w:rPr>
          <w:fldChar w:fldCharType="separate"/>
        </w:r>
        <w:r w:rsidR="007C29A2">
          <w:rPr>
            <w:noProof/>
            <w:webHidden/>
          </w:rPr>
          <w:t>58</w:t>
        </w:r>
        <w:r w:rsidR="007C29A2">
          <w:rPr>
            <w:noProof/>
            <w:webHidden/>
          </w:rPr>
          <w:fldChar w:fldCharType="end"/>
        </w:r>
      </w:hyperlink>
    </w:p>
    <w:p w14:paraId="22D11081" w14:textId="26E2E48C"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59" w:history="1">
        <w:r w:rsidR="007C29A2" w:rsidRPr="00864071">
          <w:rPr>
            <w:rStyle w:val="Hypertextovodkaz"/>
            <w:rFonts w:cs="Times New Roman"/>
            <w:noProof/>
          </w:rPr>
          <w:t>Tabulka 31</w:t>
        </w:r>
        <w:r w:rsidR="007C29A2">
          <w:rPr>
            <w:rFonts w:asciiTheme="minorHAnsi" w:eastAsiaTheme="minorEastAsia" w:hAnsiTheme="minorHAnsi"/>
            <w:noProof/>
            <w:sz w:val="24"/>
            <w:szCs w:val="24"/>
            <w:lang w:val="cs-CZ" w:eastAsia="cs-CZ"/>
          </w:rPr>
          <w:tab/>
        </w:r>
        <w:r w:rsidR="007C29A2" w:rsidRPr="00864071">
          <w:rPr>
            <w:rStyle w:val="Hypertextovodkaz"/>
            <w:noProof/>
          </w:rPr>
          <w:t>Ekonomika pěstování cukrové řepy v letech 2011 až 2020</w:t>
        </w:r>
        <w:r w:rsidR="007C29A2">
          <w:rPr>
            <w:noProof/>
            <w:webHidden/>
          </w:rPr>
          <w:tab/>
        </w:r>
        <w:r w:rsidR="007C29A2">
          <w:rPr>
            <w:noProof/>
            <w:webHidden/>
          </w:rPr>
          <w:fldChar w:fldCharType="begin"/>
        </w:r>
        <w:r w:rsidR="007C29A2">
          <w:rPr>
            <w:noProof/>
            <w:webHidden/>
          </w:rPr>
          <w:instrText xml:space="preserve"> PAGEREF _Toc81738459 \h </w:instrText>
        </w:r>
        <w:r w:rsidR="007C29A2">
          <w:rPr>
            <w:noProof/>
            <w:webHidden/>
          </w:rPr>
        </w:r>
        <w:r w:rsidR="007C29A2">
          <w:rPr>
            <w:noProof/>
            <w:webHidden/>
          </w:rPr>
          <w:fldChar w:fldCharType="separate"/>
        </w:r>
        <w:r w:rsidR="007C29A2">
          <w:rPr>
            <w:noProof/>
            <w:webHidden/>
          </w:rPr>
          <w:t>66</w:t>
        </w:r>
        <w:r w:rsidR="007C29A2">
          <w:rPr>
            <w:noProof/>
            <w:webHidden/>
          </w:rPr>
          <w:fldChar w:fldCharType="end"/>
        </w:r>
      </w:hyperlink>
    </w:p>
    <w:p w14:paraId="4972F09E" w14:textId="0DECA766"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60" w:history="1">
        <w:r w:rsidR="007C29A2" w:rsidRPr="00864071">
          <w:rPr>
            <w:rStyle w:val="Hypertextovodkaz"/>
            <w:rFonts w:cs="Times New Roman"/>
            <w:noProof/>
          </w:rPr>
          <w:t>Tabulka 32</w:t>
        </w:r>
        <w:r w:rsidR="007C29A2">
          <w:rPr>
            <w:rFonts w:asciiTheme="minorHAnsi" w:eastAsiaTheme="minorEastAsia" w:hAnsiTheme="minorHAnsi"/>
            <w:noProof/>
            <w:sz w:val="24"/>
            <w:szCs w:val="24"/>
            <w:lang w:val="cs-CZ" w:eastAsia="cs-CZ"/>
          </w:rPr>
          <w:tab/>
        </w:r>
        <w:r w:rsidR="007C29A2" w:rsidRPr="00864071">
          <w:rPr>
            <w:rStyle w:val="Hypertextovodkaz"/>
            <w:noProof/>
          </w:rPr>
          <w:t>Dotační podpory cukrové řepy 2011-2020</w:t>
        </w:r>
        <w:r w:rsidR="007C29A2">
          <w:rPr>
            <w:noProof/>
            <w:webHidden/>
          </w:rPr>
          <w:tab/>
        </w:r>
        <w:r w:rsidR="007C29A2">
          <w:rPr>
            <w:noProof/>
            <w:webHidden/>
          </w:rPr>
          <w:fldChar w:fldCharType="begin"/>
        </w:r>
        <w:r w:rsidR="007C29A2">
          <w:rPr>
            <w:noProof/>
            <w:webHidden/>
          </w:rPr>
          <w:instrText xml:space="preserve"> PAGEREF _Toc81738460 \h </w:instrText>
        </w:r>
        <w:r w:rsidR="007C29A2">
          <w:rPr>
            <w:noProof/>
            <w:webHidden/>
          </w:rPr>
        </w:r>
        <w:r w:rsidR="007C29A2">
          <w:rPr>
            <w:noProof/>
            <w:webHidden/>
          </w:rPr>
          <w:fldChar w:fldCharType="separate"/>
        </w:r>
        <w:r w:rsidR="007C29A2">
          <w:rPr>
            <w:noProof/>
            <w:webHidden/>
          </w:rPr>
          <w:t>69</w:t>
        </w:r>
        <w:r w:rsidR="007C29A2">
          <w:rPr>
            <w:noProof/>
            <w:webHidden/>
          </w:rPr>
          <w:fldChar w:fldCharType="end"/>
        </w:r>
      </w:hyperlink>
    </w:p>
    <w:p w14:paraId="5985A960" w14:textId="312DDC71"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61" w:history="1">
        <w:r w:rsidR="007C29A2" w:rsidRPr="00864071">
          <w:rPr>
            <w:rStyle w:val="Hypertextovodkaz"/>
            <w:noProof/>
          </w:rPr>
          <w:t>Tabulka 33</w:t>
        </w:r>
        <w:r w:rsidR="007C29A2">
          <w:rPr>
            <w:rFonts w:asciiTheme="minorHAnsi" w:eastAsiaTheme="minorEastAsia" w:hAnsiTheme="minorHAnsi"/>
            <w:noProof/>
            <w:sz w:val="24"/>
            <w:szCs w:val="24"/>
            <w:lang w:val="cs-CZ" w:eastAsia="cs-CZ"/>
          </w:rPr>
          <w:tab/>
        </w:r>
        <w:r w:rsidR="007C29A2" w:rsidRPr="00864071">
          <w:rPr>
            <w:rStyle w:val="Hypertextovodkaz"/>
            <w:noProof/>
          </w:rPr>
          <w:t>Ekonomika pěstování cukrové řepy v letech 2011-2020 s výhledem do roku 2030</w:t>
        </w:r>
        <w:r w:rsidR="007C29A2">
          <w:rPr>
            <w:noProof/>
            <w:webHidden/>
          </w:rPr>
          <w:tab/>
        </w:r>
        <w:r w:rsidR="007C29A2">
          <w:rPr>
            <w:noProof/>
            <w:webHidden/>
          </w:rPr>
          <w:fldChar w:fldCharType="begin"/>
        </w:r>
        <w:r w:rsidR="007C29A2">
          <w:rPr>
            <w:noProof/>
            <w:webHidden/>
          </w:rPr>
          <w:instrText xml:space="preserve"> PAGEREF _Toc81738461 \h </w:instrText>
        </w:r>
        <w:r w:rsidR="007C29A2">
          <w:rPr>
            <w:noProof/>
            <w:webHidden/>
          </w:rPr>
        </w:r>
        <w:r w:rsidR="007C29A2">
          <w:rPr>
            <w:noProof/>
            <w:webHidden/>
          </w:rPr>
          <w:fldChar w:fldCharType="separate"/>
        </w:r>
        <w:r w:rsidR="007C29A2">
          <w:rPr>
            <w:noProof/>
            <w:webHidden/>
          </w:rPr>
          <w:t>71</w:t>
        </w:r>
        <w:r w:rsidR="007C29A2">
          <w:rPr>
            <w:noProof/>
            <w:webHidden/>
          </w:rPr>
          <w:fldChar w:fldCharType="end"/>
        </w:r>
      </w:hyperlink>
    </w:p>
    <w:p w14:paraId="77BFA8C1" w14:textId="18D1BBF3"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62" w:history="1">
        <w:r w:rsidR="007C29A2" w:rsidRPr="00864071">
          <w:rPr>
            <w:rStyle w:val="Hypertextovodkaz"/>
            <w:noProof/>
          </w:rPr>
          <w:t>Tabulka 34</w:t>
        </w:r>
        <w:r w:rsidR="007C29A2">
          <w:rPr>
            <w:rFonts w:asciiTheme="minorHAnsi" w:eastAsiaTheme="minorEastAsia" w:hAnsiTheme="minorHAnsi"/>
            <w:noProof/>
            <w:sz w:val="24"/>
            <w:szCs w:val="24"/>
            <w:lang w:val="cs-CZ" w:eastAsia="cs-CZ"/>
          </w:rPr>
          <w:tab/>
        </w:r>
        <w:r w:rsidR="007C29A2" w:rsidRPr="00864071">
          <w:rPr>
            <w:rStyle w:val="Hypertextovodkaz"/>
            <w:noProof/>
          </w:rPr>
          <w:t>Strukturální charakteristiky podniků s citlivými komoditami a vyhodnocení citlivosti příjmových indikátorů na eliminaci VCS podpory</w:t>
        </w:r>
        <w:r w:rsidR="007C29A2">
          <w:rPr>
            <w:noProof/>
            <w:webHidden/>
          </w:rPr>
          <w:tab/>
        </w:r>
        <w:r w:rsidR="007C29A2">
          <w:rPr>
            <w:noProof/>
            <w:webHidden/>
          </w:rPr>
          <w:fldChar w:fldCharType="begin"/>
        </w:r>
        <w:r w:rsidR="007C29A2">
          <w:rPr>
            <w:noProof/>
            <w:webHidden/>
          </w:rPr>
          <w:instrText xml:space="preserve"> PAGEREF _Toc81738462 \h </w:instrText>
        </w:r>
        <w:r w:rsidR="007C29A2">
          <w:rPr>
            <w:noProof/>
            <w:webHidden/>
          </w:rPr>
        </w:r>
        <w:r w:rsidR="007C29A2">
          <w:rPr>
            <w:noProof/>
            <w:webHidden/>
          </w:rPr>
          <w:fldChar w:fldCharType="separate"/>
        </w:r>
        <w:r w:rsidR="007C29A2">
          <w:rPr>
            <w:noProof/>
            <w:webHidden/>
          </w:rPr>
          <w:t>72</w:t>
        </w:r>
        <w:r w:rsidR="007C29A2">
          <w:rPr>
            <w:noProof/>
            <w:webHidden/>
          </w:rPr>
          <w:fldChar w:fldCharType="end"/>
        </w:r>
      </w:hyperlink>
    </w:p>
    <w:p w14:paraId="0EB9EF00" w14:textId="55C37FEB"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63" w:history="1">
        <w:r w:rsidR="007C29A2" w:rsidRPr="00864071">
          <w:rPr>
            <w:rStyle w:val="Hypertextovodkaz"/>
            <w:rFonts w:eastAsia="Calibri"/>
            <w:noProof/>
          </w:rPr>
          <w:t>Tabulka 35</w:t>
        </w:r>
        <w:r w:rsidR="007C29A2">
          <w:rPr>
            <w:rFonts w:asciiTheme="minorHAnsi" w:eastAsiaTheme="minorEastAsia" w:hAnsiTheme="minorHAnsi"/>
            <w:noProof/>
            <w:sz w:val="24"/>
            <w:szCs w:val="24"/>
            <w:lang w:val="cs-CZ" w:eastAsia="cs-CZ"/>
          </w:rPr>
          <w:tab/>
        </w:r>
        <w:r w:rsidR="007C29A2" w:rsidRPr="00864071">
          <w:rPr>
            <w:rStyle w:val="Hypertextovodkaz"/>
            <w:noProof/>
          </w:rPr>
          <w:t>Teorie změny – cukrová řepa-cukr</w:t>
        </w:r>
        <w:r w:rsidR="007C29A2">
          <w:rPr>
            <w:noProof/>
            <w:webHidden/>
          </w:rPr>
          <w:tab/>
        </w:r>
        <w:r w:rsidR="007C29A2">
          <w:rPr>
            <w:noProof/>
            <w:webHidden/>
          </w:rPr>
          <w:fldChar w:fldCharType="begin"/>
        </w:r>
        <w:r w:rsidR="007C29A2">
          <w:rPr>
            <w:noProof/>
            <w:webHidden/>
          </w:rPr>
          <w:instrText xml:space="preserve"> PAGEREF _Toc81738463 \h </w:instrText>
        </w:r>
        <w:r w:rsidR="007C29A2">
          <w:rPr>
            <w:noProof/>
            <w:webHidden/>
          </w:rPr>
        </w:r>
        <w:r w:rsidR="007C29A2">
          <w:rPr>
            <w:noProof/>
            <w:webHidden/>
          </w:rPr>
          <w:fldChar w:fldCharType="separate"/>
        </w:r>
        <w:r w:rsidR="007C29A2">
          <w:rPr>
            <w:noProof/>
            <w:webHidden/>
          </w:rPr>
          <w:t>73</w:t>
        </w:r>
        <w:r w:rsidR="007C29A2">
          <w:rPr>
            <w:noProof/>
            <w:webHidden/>
          </w:rPr>
          <w:fldChar w:fldCharType="end"/>
        </w:r>
      </w:hyperlink>
    </w:p>
    <w:p w14:paraId="0E128248" w14:textId="291AB482"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64" w:history="1">
        <w:r w:rsidR="007C29A2" w:rsidRPr="00864071">
          <w:rPr>
            <w:rStyle w:val="Hypertextovodkaz"/>
            <w:noProof/>
          </w:rPr>
          <w:t>Tabulka 36</w:t>
        </w:r>
        <w:r w:rsidR="007C29A2">
          <w:rPr>
            <w:rFonts w:asciiTheme="minorHAnsi" w:eastAsiaTheme="minorEastAsia" w:hAnsiTheme="minorHAnsi"/>
            <w:noProof/>
            <w:sz w:val="24"/>
            <w:szCs w:val="24"/>
            <w:lang w:val="cs-CZ" w:eastAsia="cs-CZ"/>
          </w:rPr>
          <w:tab/>
        </w:r>
        <w:r w:rsidR="007C29A2" w:rsidRPr="00864071">
          <w:rPr>
            <w:rStyle w:val="Hypertextovodkaz"/>
            <w:noProof/>
          </w:rPr>
          <w:t>Výměra, výnosy a produkce luskovin v letech 2011-2020</w:t>
        </w:r>
        <w:r w:rsidR="007C29A2">
          <w:rPr>
            <w:noProof/>
            <w:webHidden/>
          </w:rPr>
          <w:tab/>
        </w:r>
        <w:r w:rsidR="007C29A2">
          <w:rPr>
            <w:noProof/>
            <w:webHidden/>
          </w:rPr>
          <w:fldChar w:fldCharType="begin"/>
        </w:r>
        <w:r w:rsidR="007C29A2">
          <w:rPr>
            <w:noProof/>
            <w:webHidden/>
          </w:rPr>
          <w:instrText xml:space="preserve"> PAGEREF _Toc81738464 \h </w:instrText>
        </w:r>
        <w:r w:rsidR="007C29A2">
          <w:rPr>
            <w:noProof/>
            <w:webHidden/>
          </w:rPr>
        </w:r>
        <w:r w:rsidR="007C29A2">
          <w:rPr>
            <w:noProof/>
            <w:webHidden/>
          </w:rPr>
          <w:fldChar w:fldCharType="separate"/>
        </w:r>
        <w:r w:rsidR="007C29A2">
          <w:rPr>
            <w:noProof/>
            <w:webHidden/>
          </w:rPr>
          <w:t>76</w:t>
        </w:r>
        <w:r w:rsidR="007C29A2">
          <w:rPr>
            <w:noProof/>
            <w:webHidden/>
          </w:rPr>
          <w:fldChar w:fldCharType="end"/>
        </w:r>
      </w:hyperlink>
    </w:p>
    <w:p w14:paraId="771CCF3B" w14:textId="040E1827"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65" w:history="1">
        <w:r w:rsidR="007C29A2" w:rsidRPr="00864071">
          <w:rPr>
            <w:rStyle w:val="Hypertextovodkaz"/>
            <w:noProof/>
          </w:rPr>
          <w:t>Tabulka 37</w:t>
        </w:r>
        <w:r w:rsidR="007C29A2">
          <w:rPr>
            <w:rFonts w:asciiTheme="minorHAnsi" w:eastAsiaTheme="minorEastAsia" w:hAnsiTheme="minorHAnsi"/>
            <w:noProof/>
            <w:sz w:val="24"/>
            <w:szCs w:val="24"/>
            <w:lang w:val="cs-CZ" w:eastAsia="cs-CZ"/>
          </w:rPr>
          <w:tab/>
        </w:r>
        <w:r w:rsidR="007C29A2" w:rsidRPr="00864071">
          <w:rPr>
            <w:rStyle w:val="Hypertextovodkaz"/>
            <w:noProof/>
          </w:rPr>
          <w:t>Ekonomika pěstování bílkovinných plodin v letech 2011–2020</w:t>
        </w:r>
        <w:r w:rsidR="007C29A2">
          <w:rPr>
            <w:noProof/>
            <w:webHidden/>
          </w:rPr>
          <w:tab/>
        </w:r>
        <w:r w:rsidR="007C29A2">
          <w:rPr>
            <w:noProof/>
            <w:webHidden/>
          </w:rPr>
          <w:fldChar w:fldCharType="begin"/>
        </w:r>
        <w:r w:rsidR="007C29A2">
          <w:rPr>
            <w:noProof/>
            <w:webHidden/>
          </w:rPr>
          <w:instrText xml:space="preserve"> PAGEREF _Toc81738465 \h </w:instrText>
        </w:r>
        <w:r w:rsidR="007C29A2">
          <w:rPr>
            <w:noProof/>
            <w:webHidden/>
          </w:rPr>
        </w:r>
        <w:r w:rsidR="007C29A2">
          <w:rPr>
            <w:noProof/>
            <w:webHidden/>
          </w:rPr>
          <w:fldChar w:fldCharType="separate"/>
        </w:r>
        <w:r w:rsidR="007C29A2">
          <w:rPr>
            <w:noProof/>
            <w:webHidden/>
          </w:rPr>
          <w:t>80</w:t>
        </w:r>
        <w:r w:rsidR="007C29A2">
          <w:rPr>
            <w:noProof/>
            <w:webHidden/>
          </w:rPr>
          <w:fldChar w:fldCharType="end"/>
        </w:r>
      </w:hyperlink>
    </w:p>
    <w:p w14:paraId="27470ACA" w14:textId="25205A13"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66" w:history="1">
        <w:r w:rsidR="007C29A2" w:rsidRPr="00864071">
          <w:rPr>
            <w:rStyle w:val="Hypertextovodkaz"/>
            <w:noProof/>
          </w:rPr>
          <w:t>Tabulka 38</w:t>
        </w:r>
        <w:r w:rsidR="007C29A2">
          <w:rPr>
            <w:rFonts w:asciiTheme="minorHAnsi" w:eastAsiaTheme="minorEastAsia" w:hAnsiTheme="minorHAnsi"/>
            <w:noProof/>
            <w:sz w:val="24"/>
            <w:szCs w:val="24"/>
            <w:lang w:val="cs-CZ" w:eastAsia="cs-CZ"/>
          </w:rPr>
          <w:tab/>
        </w:r>
        <w:r w:rsidR="007C29A2" w:rsidRPr="00864071">
          <w:rPr>
            <w:rStyle w:val="Hypertextovodkaz"/>
            <w:noProof/>
          </w:rPr>
          <w:t>Bilance luskovin v ČR v marketingových letech 2011/2012–2019/2020 (t)</w:t>
        </w:r>
        <w:r w:rsidR="007C29A2">
          <w:rPr>
            <w:noProof/>
            <w:webHidden/>
          </w:rPr>
          <w:tab/>
        </w:r>
        <w:r w:rsidR="007C29A2">
          <w:rPr>
            <w:noProof/>
            <w:webHidden/>
          </w:rPr>
          <w:fldChar w:fldCharType="begin"/>
        </w:r>
        <w:r w:rsidR="007C29A2">
          <w:rPr>
            <w:noProof/>
            <w:webHidden/>
          </w:rPr>
          <w:instrText xml:space="preserve"> PAGEREF _Toc81738466 \h </w:instrText>
        </w:r>
        <w:r w:rsidR="007C29A2">
          <w:rPr>
            <w:noProof/>
            <w:webHidden/>
          </w:rPr>
        </w:r>
        <w:r w:rsidR="007C29A2">
          <w:rPr>
            <w:noProof/>
            <w:webHidden/>
          </w:rPr>
          <w:fldChar w:fldCharType="separate"/>
        </w:r>
        <w:r w:rsidR="007C29A2">
          <w:rPr>
            <w:noProof/>
            <w:webHidden/>
          </w:rPr>
          <w:t>81</w:t>
        </w:r>
        <w:r w:rsidR="007C29A2">
          <w:rPr>
            <w:noProof/>
            <w:webHidden/>
          </w:rPr>
          <w:fldChar w:fldCharType="end"/>
        </w:r>
      </w:hyperlink>
    </w:p>
    <w:p w14:paraId="6B75A0B3" w14:textId="36234BA3"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67" w:history="1">
        <w:r w:rsidR="007C29A2" w:rsidRPr="00864071">
          <w:rPr>
            <w:rStyle w:val="Hypertextovodkaz"/>
            <w:noProof/>
          </w:rPr>
          <w:t>Tabulka 39</w:t>
        </w:r>
        <w:r w:rsidR="007C29A2">
          <w:rPr>
            <w:rFonts w:asciiTheme="minorHAnsi" w:eastAsiaTheme="minorEastAsia" w:hAnsiTheme="minorHAnsi"/>
            <w:noProof/>
            <w:sz w:val="24"/>
            <w:szCs w:val="24"/>
            <w:lang w:val="cs-CZ" w:eastAsia="cs-CZ"/>
          </w:rPr>
          <w:tab/>
        </w:r>
        <w:r w:rsidR="007C29A2" w:rsidRPr="00864071">
          <w:rPr>
            <w:rStyle w:val="Hypertextovodkaz"/>
            <w:noProof/>
          </w:rPr>
          <w:t>Ekonomika pěstování hrachu včetně pelušky 2011-2020</w:t>
        </w:r>
        <w:r w:rsidR="007C29A2">
          <w:rPr>
            <w:noProof/>
            <w:webHidden/>
          </w:rPr>
          <w:tab/>
        </w:r>
        <w:r w:rsidR="007C29A2">
          <w:rPr>
            <w:noProof/>
            <w:webHidden/>
          </w:rPr>
          <w:fldChar w:fldCharType="begin"/>
        </w:r>
        <w:r w:rsidR="007C29A2">
          <w:rPr>
            <w:noProof/>
            <w:webHidden/>
          </w:rPr>
          <w:instrText xml:space="preserve"> PAGEREF _Toc81738467 \h </w:instrText>
        </w:r>
        <w:r w:rsidR="007C29A2">
          <w:rPr>
            <w:noProof/>
            <w:webHidden/>
          </w:rPr>
        </w:r>
        <w:r w:rsidR="007C29A2">
          <w:rPr>
            <w:noProof/>
            <w:webHidden/>
          </w:rPr>
          <w:fldChar w:fldCharType="separate"/>
        </w:r>
        <w:r w:rsidR="007C29A2">
          <w:rPr>
            <w:noProof/>
            <w:webHidden/>
          </w:rPr>
          <w:t>83</w:t>
        </w:r>
        <w:r w:rsidR="007C29A2">
          <w:rPr>
            <w:noProof/>
            <w:webHidden/>
          </w:rPr>
          <w:fldChar w:fldCharType="end"/>
        </w:r>
      </w:hyperlink>
    </w:p>
    <w:p w14:paraId="1AA2F182" w14:textId="176FC3F5"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68" w:history="1">
        <w:r w:rsidR="007C29A2" w:rsidRPr="00864071">
          <w:rPr>
            <w:rStyle w:val="Hypertextovodkaz"/>
            <w:noProof/>
          </w:rPr>
          <w:t>Tabulka 40</w:t>
        </w:r>
        <w:r w:rsidR="007C29A2">
          <w:rPr>
            <w:rFonts w:asciiTheme="minorHAnsi" w:eastAsiaTheme="minorEastAsia" w:hAnsiTheme="minorHAnsi"/>
            <w:noProof/>
            <w:sz w:val="24"/>
            <w:szCs w:val="24"/>
            <w:lang w:val="cs-CZ" w:eastAsia="cs-CZ"/>
          </w:rPr>
          <w:tab/>
        </w:r>
        <w:r w:rsidR="007C29A2" w:rsidRPr="00864071">
          <w:rPr>
            <w:rStyle w:val="Hypertextovodkaz"/>
            <w:noProof/>
          </w:rPr>
          <w:t>Dotační podpory bobu 2011-2020</w:t>
        </w:r>
        <w:r w:rsidR="007C29A2">
          <w:rPr>
            <w:noProof/>
            <w:webHidden/>
          </w:rPr>
          <w:tab/>
        </w:r>
        <w:r w:rsidR="007C29A2">
          <w:rPr>
            <w:noProof/>
            <w:webHidden/>
          </w:rPr>
          <w:fldChar w:fldCharType="begin"/>
        </w:r>
        <w:r w:rsidR="007C29A2">
          <w:rPr>
            <w:noProof/>
            <w:webHidden/>
          </w:rPr>
          <w:instrText xml:space="preserve"> PAGEREF _Toc81738468 \h </w:instrText>
        </w:r>
        <w:r w:rsidR="007C29A2">
          <w:rPr>
            <w:noProof/>
            <w:webHidden/>
          </w:rPr>
        </w:r>
        <w:r w:rsidR="007C29A2">
          <w:rPr>
            <w:noProof/>
            <w:webHidden/>
          </w:rPr>
          <w:fldChar w:fldCharType="separate"/>
        </w:r>
        <w:r w:rsidR="007C29A2">
          <w:rPr>
            <w:noProof/>
            <w:webHidden/>
          </w:rPr>
          <w:t>84</w:t>
        </w:r>
        <w:r w:rsidR="007C29A2">
          <w:rPr>
            <w:noProof/>
            <w:webHidden/>
          </w:rPr>
          <w:fldChar w:fldCharType="end"/>
        </w:r>
      </w:hyperlink>
    </w:p>
    <w:p w14:paraId="7817D314" w14:textId="1E0FBA2D"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69" w:history="1">
        <w:r w:rsidR="007C29A2" w:rsidRPr="00864071">
          <w:rPr>
            <w:rStyle w:val="Hypertextovodkaz"/>
            <w:rFonts w:eastAsia="Calibri"/>
            <w:noProof/>
          </w:rPr>
          <w:t>Tabulka 41</w:t>
        </w:r>
        <w:r w:rsidR="007C29A2">
          <w:rPr>
            <w:rFonts w:asciiTheme="minorHAnsi" w:eastAsiaTheme="minorEastAsia" w:hAnsiTheme="minorHAnsi"/>
            <w:noProof/>
            <w:sz w:val="24"/>
            <w:szCs w:val="24"/>
            <w:lang w:val="cs-CZ" w:eastAsia="cs-CZ"/>
          </w:rPr>
          <w:tab/>
        </w:r>
        <w:r w:rsidR="007C29A2" w:rsidRPr="00864071">
          <w:rPr>
            <w:rStyle w:val="Hypertextovodkaz"/>
            <w:noProof/>
          </w:rPr>
          <w:t>Ekonomika pěstování bobu 2011-2020</w:t>
        </w:r>
        <w:r w:rsidR="007C29A2">
          <w:rPr>
            <w:noProof/>
            <w:webHidden/>
          </w:rPr>
          <w:tab/>
        </w:r>
        <w:r w:rsidR="007C29A2">
          <w:rPr>
            <w:noProof/>
            <w:webHidden/>
          </w:rPr>
          <w:fldChar w:fldCharType="begin"/>
        </w:r>
        <w:r w:rsidR="007C29A2">
          <w:rPr>
            <w:noProof/>
            <w:webHidden/>
          </w:rPr>
          <w:instrText xml:space="preserve"> PAGEREF _Toc81738469 \h </w:instrText>
        </w:r>
        <w:r w:rsidR="007C29A2">
          <w:rPr>
            <w:noProof/>
            <w:webHidden/>
          </w:rPr>
        </w:r>
        <w:r w:rsidR="007C29A2">
          <w:rPr>
            <w:noProof/>
            <w:webHidden/>
          </w:rPr>
          <w:fldChar w:fldCharType="separate"/>
        </w:r>
        <w:r w:rsidR="007C29A2">
          <w:rPr>
            <w:noProof/>
            <w:webHidden/>
          </w:rPr>
          <w:t>85</w:t>
        </w:r>
        <w:r w:rsidR="007C29A2">
          <w:rPr>
            <w:noProof/>
            <w:webHidden/>
          </w:rPr>
          <w:fldChar w:fldCharType="end"/>
        </w:r>
      </w:hyperlink>
    </w:p>
    <w:p w14:paraId="450991B6" w14:textId="581C334B"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70" w:history="1">
        <w:r w:rsidR="007C29A2" w:rsidRPr="00864071">
          <w:rPr>
            <w:rStyle w:val="Hypertextovodkaz"/>
            <w:noProof/>
          </w:rPr>
          <w:t>Tabulka 42</w:t>
        </w:r>
        <w:r w:rsidR="007C29A2">
          <w:rPr>
            <w:rFonts w:asciiTheme="minorHAnsi" w:eastAsiaTheme="minorEastAsia" w:hAnsiTheme="minorHAnsi"/>
            <w:noProof/>
            <w:sz w:val="24"/>
            <w:szCs w:val="24"/>
            <w:lang w:val="cs-CZ" w:eastAsia="cs-CZ"/>
          </w:rPr>
          <w:tab/>
        </w:r>
        <w:r w:rsidR="007C29A2" w:rsidRPr="00864071">
          <w:rPr>
            <w:rStyle w:val="Hypertextovodkaz"/>
            <w:noProof/>
          </w:rPr>
          <w:t>Dotační podpory sóji 2011-2020</w:t>
        </w:r>
        <w:r w:rsidR="007C29A2">
          <w:rPr>
            <w:noProof/>
            <w:webHidden/>
          </w:rPr>
          <w:tab/>
        </w:r>
        <w:r w:rsidR="007C29A2">
          <w:rPr>
            <w:noProof/>
            <w:webHidden/>
          </w:rPr>
          <w:fldChar w:fldCharType="begin"/>
        </w:r>
        <w:r w:rsidR="007C29A2">
          <w:rPr>
            <w:noProof/>
            <w:webHidden/>
          </w:rPr>
          <w:instrText xml:space="preserve"> PAGEREF _Toc81738470 \h </w:instrText>
        </w:r>
        <w:r w:rsidR="007C29A2">
          <w:rPr>
            <w:noProof/>
            <w:webHidden/>
          </w:rPr>
        </w:r>
        <w:r w:rsidR="007C29A2">
          <w:rPr>
            <w:noProof/>
            <w:webHidden/>
          </w:rPr>
          <w:fldChar w:fldCharType="separate"/>
        </w:r>
        <w:r w:rsidR="007C29A2">
          <w:rPr>
            <w:noProof/>
            <w:webHidden/>
          </w:rPr>
          <w:t>85</w:t>
        </w:r>
        <w:r w:rsidR="007C29A2">
          <w:rPr>
            <w:noProof/>
            <w:webHidden/>
          </w:rPr>
          <w:fldChar w:fldCharType="end"/>
        </w:r>
      </w:hyperlink>
    </w:p>
    <w:p w14:paraId="1B27DF3E" w14:textId="7F1D34EA"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71" w:history="1">
        <w:r w:rsidR="007C29A2" w:rsidRPr="00864071">
          <w:rPr>
            <w:rStyle w:val="Hypertextovodkaz"/>
            <w:noProof/>
          </w:rPr>
          <w:t>Tabulka 43</w:t>
        </w:r>
        <w:r w:rsidR="007C29A2">
          <w:rPr>
            <w:rFonts w:asciiTheme="minorHAnsi" w:eastAsiaTheme="minorEastAsia" w:hAnsiTheme="minorHAnsi"/>
            <w:noProof/>
            <w:sz w:val="24"/>
            <w:szCs w:val="24"/>
            <w:lang w:val="cs-CZ" w:eastAsia="cs-CZ"/>
          </w:rPr>
          <w:tab/>
        </w:r>
        <w:r w:rsidR="007C29A2" w:rsidRPr="00864071">
          <w:rPr>
            <w:rStyle w:val="Hypertextovodkaz"/>
            <w:noProof/>
          </w:rPr>
          <w:t>Ekonomika pěstování sóji 2011-2020</w:t>
        </w:r>
        <w:r w:rsidR="007C29A2">
          <w:rPr>
            <w:noProof/>
            <w:webHidden/>
          </w:rPr>
          <w:tab/>
        </w:r>
        <w:r w:rsidR="007C29A2">
          <w:rPr>
            <w:noProof/>
            <w:webHidden/>
          </w:rPr>
          <w:fldChar w:fldCharType="begin"/>
        </w:r>
        <w:r w:rsidR="007C29A2">
          <w:rPr>
            <w:noProof/>
            <w:webHidden/>
          </w:rPr>
          <w:instrText xml:space="preserve"> PAGEREF _Toc81738471 \h </w:instrText>
        </w:r>
        <w:r w:rsidR="007C29A2">
          <w:rPr>
            <w:noProof/>
            <w:webHidden/>
          </w:rPr>
        </w:r>
        <w:r w:rsidR="007C29A2">
          <w:rPr>
            <w:noProof/>
            <w:webHidden/>
          </w:rPr>
          <w:fldChar w:fldCharType="separate"/>
        </w:r>
        <w:r w:rsidR="007C29A2">
          <w:rPr>
            <w:noProof/>
            <w:webHidden/>
          </w:rPr>
          <w:t>86</w:t>
        </w:r>
        <w:r w:rsidR="007C29A2">
          <w:rPr>
            <w:noProof/>
            <w:webHidden/>
          </w:rPr>
          <w:fldChar w:fldCharType="end"/>
        </w:r>
      </w:hyperlink>
    </w:p>
    <w:p w14:paraId="63AC051E" w14:textId="21573C0D"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72" w:history="1">
        <w:r w:rsidR="007C29A2" w:rsidRPr="00864071">
          <w:rPr>
            <w:rStyle w:val="Hypertextovodkaz"/>
            <w:noProof/>
          </w:rPr>
          <w:t>Tabulka 44</w:t>
        </w:r>
        <w:r w:rsidR="007C29A2">
          <w:rPr>
            <w:rFonts w:asciiTheme="minorHAnsi" w:eastAsiaTheme="minorEastAsia" w:hAnsiTheme="minorHAnsi"/>
            <w:noProof/>
            <w:sz w:val="24"/>
            <w:szCs w:val="24"/>
            <w:lang w:val="cs-CZ" w:eastAsia="cs-CZ"/>
          </w:rPr>
          <w:tab/>
        </w:r>
        <w:r w:rsidR="007C29A2" w:rsidRPr="00864071">
          <w:rPr>
            <w:rStyle w:val="Hypertextovodkaz"/>
            <w:noProof/>
          </w:rPr>
          <w:t>Dotační podpory vojtěšky 2011-2020</w:t>
        </w:r>
        <w:r w:rsidR="007C29A2">
          <w:rPr>
            <w:noProof/>
            <w:webHidden/>
          </w:rPr>
          <w:tab/>
        </w:r>
        <w:r w:rsidR="007C29A2">
          <w:rPr>
            <w:noProof/>
            <w:webHidden/>
          </w:rPr>
          <w:fldChar w:fldCharType="begin"/>
        </w:r>
        <w:r w:rsidR="007C29A2">
          <w:rPr>
            <w:noProof/>
            <w:webHidden/>
          </w:rPr>
          <w:instrText xml:space="preserve"> PAGEREF _Toc81738472 \h </w:instrText>
        </w:r>
        <w:r w:rsidR="007C29A2">
          <w:rPr>
            <w:noProof/>
            <w:webHidden/>
          </w:rPr>
        </w:r>
        <w:r w:rsidR="007C29A2">
          <w:rPr>
            <w:noProof/>
            <w:webHidden/>
          </w:rPr>
          <w:fldChar w:fldCharType="separate"/>
        </w:r>
        <w:r w:rsidR="007C29A2">
          <w:rPr>
            <w:noProof/>
            <w:webHidden/>
          </w:rPr>
          <w:t>86</w:t>
        </w:r>
        <w:r w:rsidR="007C29A2">
          <w:rPr>
            <w:noProof/>
            <w:webHidden/>
          </w:rPr>
          <w:fldChar w:fldCharType="end"/>
        </w:r>
      </w:hyperlink>
    </w:p>
    <w:p w14:paraId="594D478F" w14:textId="727F760D"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73" w:history="1">
        <w:r w:rsidR="007C29A2" w:rsidRPr="00864071">
          <w:rPr>
            <w:rStyle w:val="Hypertextovodkaz"/>
            <w:noProof/>
          </w:rPr>
          <w:t>Tabulka 45</w:t>
        </w:r>
        <w:r w:rsidR="007C29A2">
          <w:rPr>
            <w:rFonts w:asciiTheme="minorHAnsi" w:eastAsiaTheme="minorEastAsia" w:hAnsiTheme="minorHAnsi"/>
            <w:noProof/>
            <w:sz w:val="24"/>
            <w:szCs w:val="24"/>
            <w:lang w:val="cs-CZ" w:eastAsia="cs-CZ"/>
          </w:rPr>
          <w:tab/>
        </w:r>
        <w:r w:rsidR="007C29A2" w:rsidRPr="00864071">
          <w:rPr>
            <w:rStyle w:val="Hypertextovodkaz"/>
            <w:noProof/>
          </w:rPr>
          <w:t>Dotační podpory jetele 2011-2020</w:t>
        </w:r>
        <w:r w:rsidR="007C29A2">
          <w:rPr>
            <w:noProof/>
            <w:webHidden/>
          </w:rPr>
          <w:tab/>
        </w:r>
        <w:r w:rsidR="007C29A2">
          <w:rPr>
            <w:noProof/>
            <w:webHidden/>
          </w:rPr>
          <w:fldChar w:fldCharType="begin"/>
        </w:r>
        <w:r w:rsidR="007C29A2">
          <w:rPr>
            <w:noProof/>
            <w:webHidden/>
          </w:rPr>
          <w:instrText xml:space="preserve"> PAGEREF _Toc81738473 \h </w:instrText>
        </w:r>
        <w:r w:rsidR="007C29A2">
          <w:rPr>
            <w:noProof/>
            <w:webHidden/>
          </w:rPr>
        </w:r>
        <w:r w:rsidR="007C29A2">
          <w:rPr>
            <w:noProof/>
            <w:webHidden/>
          </w:rPr>
          <w:fldChar w:fldCharType="separate"/>
        </w:r>
        <w:r w:rsidR="007C29A2">
          <w:rPr>
            <w:noProof/>
            <w:webHidden/>
          </w:rPr>
          <w:t>87</w:t>
        </w:r>
        <w:r w:rsidR="007C29A2">
          <w:rPr>
            <w:noProof/>
            <w:webHidden/>
          </w:rPr>
          <w:fldChar w:fldCharType="end"/>
        </w:r>
      </w:hyperlink>
    </w:p>
    <w:p w14:paraId="04BF15DD" w14:textId="3A5ACB37"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74" w:history="1">
        <w:r w:rsidR="007C29A2" w:rsidRPr="00864071">
          <w:rPr>
            <w:rStyle w:val="Hypertextovodkaz"/>
            <w:noProof/>
          </w:rPr>
          <w:t>Tabulka 46</w:t>
        </w:r>
        <w:r w:rsidR="007C29A2">
          <w:rPr>
            <w:rFonts w:asciiTheme="minorHAnsi" w:eastAsiaTheme="minorEastAsia" w:hAnsiTheme="minorHAnsi"/>
            <w:noProof/>
            <w:sz w:val="24"/>
            <w:szCs w:val="24"/>
            <w:lang w:val="cs-CZ" w:eastAsia="cs-CZ"/>
          </w:rPr>
          <w:tab/>
        </w:r>
        <w:r w:rsidR="007C29A2" w:rsidRPr="00864071">
          <w:rPr>
            <w:rStyle w:val="Hypertextovodkaz"/>
            <w:noProof/>
          </w:rPr>
          <w:t>Teorie změny – bílkovinné plodiny</w:t>
        </w:r>
        <w:r w:rsidR="007C29A2">
          <w:rPr>
            <w:noProof/>
            <w:webHidden/>
          </w:rPr>
          <w:tab/>
        </w:r>
        <w:r w:rsidR="007C29A2">
          <w:rPr>
            <w:noProof/>
            <w:webHidden/>
          </w:rPr>
          <w:fldChar w:fldCharType="begin"/>
        </w:r>
        <w:r w:rsidR="007C29A2">
          <w:rPr>
            <w:noProof/>
            <w:webHidden/>
          </w:rPr>
          <w:instrText xml:space="preserve"> PAGEREF _Toc81738474 \h </w:instrText>
        </w:r>
        <w:r w:rsidR="007C29A2">
          <w:rPr>
            <w:noProof/>
            <w:webHidden/>
          </w:rPr>
        </w:r>
        <w:r w:rsidR="007C29A2">
          <w:rPr>
            <w:noProof/>
            <w:webHidden/>
          </w:rPr>
          <w:fldChar w:fldCharType="separate"/>
        </w:r>
        <w:r w:rsidR="007C29A2">
          <w:rPr>
            <w:noProof/>
            <w:webHidden/>
          </w:rPr>
          <w:t>89</w:t>
        </w:r>
        <w:r w:rsidR="007C29A2">
          <w:rPr>
            <w:noProof/>
            <w:webHidden/>
          </w:rPr>
          <w:fldChar w:fldCharType="end"/>
        </w:r>
      </w:hyperlink>
    </w:p>
    <w:p w14:paraId="31B67BC1" w14:textId="323A25AC"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75" w:history="1">
        <w:r w:rsidR="007C29A2" w:rsidRPr="00864071">
          <w:rPr>
            <w:rStyle w:val="Hypertextovodkaz"/>
            <w:noProof/>
          </w:rPr>
          <w:t>Tabulka 47</w:t>
        </w:r>
        <w:r w:rsidR="007C29A2">
          <w:rPr>
            <w:rFonts w:asciiTheme="minorHAnsi" w:eastAsiaTheme="minorEastAsia" w:hAnsiTheme="minorHAnsi"/>
            <w:noProof/>
            <w:sz w:val="24"/>
            <w:szCs w:val="24"/>
            <w:lang w:val="cs-CZ" w:eastAsia="cs-CZ"/>
          </w:rPr>
          <w:tab/>
        </w:r>
        <w:r w:rsidR="007C29A2" w:rsidRPr="00864071">
          <w:rPr>
            <w:rStyle w:val="Hypertextovodkaz"/>
            <w:noProof/>
          </w:rPr>
          <w:t>Ekonomika pěstování hrachu v 2011 až 2020 s výhledem do 2030</w:t>
        </w:r>
        <w:r w:rsidR="007C29A2">
          <w:rPr>
            <w:noProof/>
            <w:webHidden/>
          </w:rPr>
          <w:tab/>
        </w:r>
        <w:r w:rsidR="007C29A2">
          <w:rPr>
            <w:noProof/>
            <w:webHidden/>
          </w:rPr>
          <w:fldChar w:fldCharType="begin"/>
        </w:r>
        <w:r w:rsidR="007C29A2">
          <w:rPr>
            <w:noProof/>
            <w:webHidden/>
          </w:rPr>
          <w:instrText xml:space="preserve"> PAGEREF _Toc81738475 \h </w:instrText>
        </w:r>
        <w:r w:rsidR="007C29A2">
          <w:rPr>
            <w:noProof/>
            <w:webHidden/>
          </w:rPr>
        </w:r>
        <w:r w:rsidR="007C29A2">
          <w:rPr>
            <w:noProof/>
            <w:webHidden/>
          </w:rPr>
          <w:fldChar w:fldCharType="separate"/>
        </w:r>
        <w:r w:rsidR="007C29A2">
          <w:rPr>
            <w:noProof/>
            <w:webHidden/>
          </w:rPr>
          <w:t>90</w:t>
        </w:r>
        <w:r w:rsidR="007C29A2">
          <w:rPr>
            <w:noProof/>
            <w:webHidden/>
          </w:rPr>
          <w:fldChar w:fldCharType="end"/>
        </w:r>
      </w:hyperlink>
    </w:p>
    <w:p w14:paraId="40B664FE" w14:textId="53BC0945"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76" w:history="1">
        <w:r w:rsidR="007C29A2" w:rsidRPr="00864071">
          <w:rPr>
            <w:rStyle w:val="Hypertextovodkaz"/>
            <w:noProof/>
          </w:rPr>
          <w:t>Tabulka 48</w:t>
        </w:r>
        <w:r w:rsidR="007C29A2">
          <w:rPr>
            <w:rFonts w:asciiTheme="minorHAnsi" w:eastAsiaTheme="minorEastAsia" w:hAnsiTheme="minorHAnsi"/>
            <w:noProof/>
            <w:sz w:val="24"/>
            <w:szCs w:val="24"/>
            <w:lang w:val="cs-CZ" w:eastAsia="cs-CZ"/>
          </w:rPr>
          <w:tab/>
        </w:r>
        <w:r w:rsidR="007C29A2" w:rsidRPr="00864071">
          <w:rPr>
            <w:rStyle w:val="Hypertextovodkaz"/>
            <w:noProof/>
          </w:rPr>
          <w:t>Ekonomika pěstování bobu v 2011 až 2020 s výhledem do 2030</w:t>
        </w:r>
        <w:r w:rsidR="007C29A2">
          <w:rPr>
            <w:noProof/>
            <w:webHidden/>
          </w:rPr>
          <w:tab/>
        </w:r>
        <w:r w:rsidR="007C29A2">
          <w:rPr>
            <w:noProof/>
            <w:webHidden/>
          </w:rPr>
          <w:fldChar w:fldCharType="begin"/>
        </w:r>
        <w:r w:rsidR="007C29A2">
          <w:rPr>
            <w:noProof/>
            <w:webHidden/>
          </w:rPr>
          <w:instrText xml:space="preserve"> PAGEREF _Toc81738476 \h </w:instrText>
        </w:r>
        <w:r w:rsidR="007C29A2">
          <w:rPr>
            <w:noProof/>
            <w:webHidden/>
          </w:rPr>
        </w:r>
        <w:r w:rsidR="007C29A2">
          <w:rPr>
            <w:noProof/>
            <w:webHidden/>
          </w:rPr>
          <w:fldChar w:fldCharType="separate"/>
        </w:r>
        <w:r w:rsidR="007C29A2">
          <w:rPr>
            <w:noProof/>
            <w:webHidden/>
          </w:rPr>
          <w:t>90</w:t>
        </w:r>
        <w:r w:rsidR="007C29A2">
          <w:rPr>
            <w:noProof/>
            <w:webHidden/>
          </w:rPr>
          <w:fldChar w:fldCharType="end"/>
        </w:r>
      </w:hyperlink>
    </w:p>
    <w:p w14:paraId="304D41DC" w14:textId="102046FC"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77" w:history="1">
        <w:r w:rsidR="007C29A2" w:rsidRPr="00864071">
          <w:rPr>
            <w:rStyle w:val="Hypertextovodkaz"/>
            <w:noProof/>
          </w:rPr>
          <w:t>Tabulka 49</w:t>
        </w:r>
        <w:r w:rsidR="007C29A2">
          <w:rPr>
            <w:rFonts w:asciiTheme="minorHAnsi" w:eastAsiaTheme="minorEastAsia" w:hAnsiTheme="minorHAnsi"/>
            <w:noProof/>
            <w:sz w:val="24"/>
            <w:szCs w:val="24"/>
            <w:lang w:val="cs-CZ" w:eastAsia="cs-CZ"/>
          </w:rPr>
          <w:tab/>
        </w:r>
        <w:r w:rsidR="007C29A2" w:rsidRPr="00864071">
          <w:rPr>
            <w:rStyle w:val="Hypertextovodkaz"/>
            <w:noProof/>
          </w:rPr>
          <w:t>Ekonomika pěstování sóji v 2011 až 2020 s výhledem do 2030</w:t>
        </w:r>
        <w:r w:rsidR="007C29A2">
          <w:rPr>
            <w:noProof/>
            <w:webHidden/>
          </w:rPr>
          <w:tab/>
        </w:r>
        <w:r w:rsidR="007C29A2">
          <w:rPr>
            <w:noProof/>
            <w:webHidden/>
          </w:rPr>
          <w:fldChar w:fldCharType="begin"/>
        </w:r>
        <w:r w:rsidR="007C29A2">
          <w:rPr>
            <w:noProof/>
            <w:webHidden/>
          </w:rPr>
          <w:instrText xml:space="preserve"> PAGEREF _Toc81738477 \h </w:instrText>
        </w:r>
        <w:r w:rsidR="007C29A2">
          <w:rPr>
            <w:noProof/>
            <w:webHidden/>
          </w:rPr>
        </w:r>
        <w:r w:rsidR="007C29A2">
          <w:rPr>
            <w:noProof/>
            <w:webHidden/>
          </w:rPr>
          <w:fldChar w:fldCharType="separate"/>
        </w:r>
        <w:r w:rsidR="007C29A2">
          <w:rPr>
            <w:noProof/>
            <w:webHidden/>
          </w:rPr>
          <w:t>90</w:t>
        </w:r>
        <w:r w:rsidR="007C29A2">
          <w:rPr>
            <w:noProof/>
            <w:webHidden/>
          </w:rPr>
          <w:fldChar w:fldCharType="end"/>
        </w:r>
      </w:hyperlink>
    </w:p>
    <w:p w14:paraId="1EE469BE" w14:textId="22803933"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78" w:history="1">
        <w:r w:rsidR="007C29A2" w:rsidRPr="00864071">
          <w:rPr>
            <w:rStyle w:val="Hypertextovodkaz"/>
            <w:noProof/>
          </w:rPr>
          <w:t>Tabulka 50</w:t>
        </w:r>
        <w:r w:rsidR="007C29A2">
          <w:rPr>
            <w:rFonts w:asciiTheme="minorHAnsi" w:eastAsiaTheme="minorEastAsia" w:hAnsiTheme="minorHAnsi"/>
            <w:noProof/>
            <w:sz w:val="24"/>
            <w:szCs w:val="24"/>
            <w:lang w:val="cs-CZ" w:eastAsia="cs-CZ"/>
          </w:rPr>
          <w:tab/>
        </w:r>
        <w:r w:rsidR="007C29A2" w:rsidRPr="00864071">
          <w:rPr>
            <w:rStyle w:val="Hypertextovodkaz"/>
            <w:noProof/>
          </w:rPr>
          <w:t>Vývoj ploch, výnosu a produkce chmele</w:t>
        </w:r>
        <w:r w:rsidR="007C29A2">
          <w:rPr>
            <w:noProof/>
            <w:webHidden/>
          </w:rPr>
          <w:tab/>
        </w:r>
        <w:r w:rsidR="007C29A2">
          <w:rPr>
            <w:noProof/>
            <w:webHidden/>
          </w:rPr>
          <w:fldChar w:fldCharType="begin"/>
        </w:r>
        <w:r w:rsidR="007C29A2">
          <w:rPr>
            <w:noProof/>
            <w:webHidden/>
          </w:rPr>
          <w:instrText xml:space="preserve"> PAGEREF _Toc81738478 \h </w:instrText>
        </w:r>
        <w:r w:rsidR="007C29A2">
          <w:rPr>
            <w:noProof/>
            <w:webHidden/>
          </w:rPr>
        </w:r>
        <w:r w:rsidR="007C29A2">
          <w:rPr>
            <w:noProof/>
            <w:webHidden/>
          </w:rPr>
          <w:fldChar w:fldCharType="separate"/>
        </w:r>
        <w:r w:rsidR="007C29A2">
          <w:rPr>
            <w:noProof/>
            <w:webHidden/>
          </w:rPr>
          <w:t>93</w:t>
        </w:r>
        <w:r w:rsidR="007C29A2">
          <w:rPr>
            <w:noProof/>
            <w:webHidden/>
          </w:rPr>
          <w:fldChar w:fldCharType="end"/>
        </w:r>
      </w:hyperlink>
    </w:p>
    <w:p w14:paraId="3BB9692D" w14:textId="05A0C1F0"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79" w:history="1">
        <w:r w:rsidR="007C29A2" w:rsidRPr="00864071">
          <w:rPr>
            <w:rStyle w:val="Hypertextovodkaz"/>
            <w:noProof/>
          </w:rPr>
          <w:t>Tabulka 51</w:t>
        </w:r>
        <w:r w:rsidR="007C29A2">
          <w:rPr>
            <w:rFonts w:asciiTheme="minorHAnsi" w:eastAsiaTheme="minorEastAsia" w:hAnsiTheme="minorHAnsi"/>
            <w:noProof/>
            <w:sz w:val="24"/>
            <w:szCs w:val="24"/>
            <w:lang w:val="cs-CZ" w:eastAsia="cs-CZ"/>
          </w:rPr>
          <w:tab/>
        </w:r>
        <w:r w:rsidR="007C29A2" w:rsidRPr="00864071">
          <w:rPr>
            <w:rStyle w:val="Hypertextovodkaz"/>
            <w:noProof/>
          </w:rPr>
          <w:t>Věková struktura porostů chmele podle stavu k 20. 8. 2020 (ha)</w:t>
        </w:r>
        <w:r w:rsidR="007C29A2">
          <w:rPr>
            <w:noProof/>
            <w:webHidden/>
          </w:rPr>
          <w:tab/>
        </w:r>
        <w:r w:rsidR="007C29A2">
          <w:rPr>
            <w:noProof/>
            <w:webHidden/>
          </w:rPr>
          <w:fldChar w:fldCharType="begin"/>
        </w:r>
        <w:r w:rsidR="007C29A2">
          <w:rPr>
            <w:noProof/>
            <w:webHidden/>
          </w:rPr>
          <w:instrText xml:space="preserve"> PAGEREF _Toc81738479 \h </w:instrText>
        </w:r>
        <w:r w:rsidR="007C29A2">
          <w:rPr>
            <w:noProof/>
            <w:webHidden/>
          </w:rPr>
        </w:r>
        <w:r w:rsidR="007C29A2">
          <w:rPr>
            <w:noProof/>
            <w:webHidden/>
          </w:rPr>
          <w:fldChar w:fldCharType="separate"/>
        </w:r>
        <w:r w:rsidR="007C29A2">
          <w:rPr>
            <w:noProof/>
            <w:webHidden/>
          </w:rPr>
          <w:t>94</w:t>
        </w:r>
        <w:r w:rsidR="007C29A2">
          <w:rPr>
            <w:noProof/>
            <w:webHidden/>
          </w:rPr>
          <w:fldChar w:fldCharType="end"/>
        </w:r>
      </w:hyperlink>
    </w:p>
    <w:p w14:paraId="5304C44E" w14:textId="6BC9842F"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80" w:history="1">
        <w:r w:rsidR="007C29A2" w:rsidRPr="00864071">
          <w:rPr>
            <w:rStyle w:val="Hypertextovodkaz"/>
            <w:noProof/>
          </w:rPr>
          <w:t>Tabulka 52</w:t>
        </w:r>
        <w:r w:rsidR="007C29A2">
          <w:rPr>
            <w:rFonts w:asciiTheme="minorHAnsi" w:eastAsiaTheme="minorEastAsia" w:hAnsiTheme="minorHAnsi"/>
            <w:noProof/>
            <w:sz w:val="24"/>
            <w:szCs w:val="24"/>
            <w:lang w:val="cs-CZ" w:eastAsia="cs-CZ"/>
          </w:rPr>
          <w:tab/>
        </w:r>
        <w:r w:rsidR="007C29A2" w:rsidRPr="00864071">
          <w:rPr>
            <w:rStyle w:val="Hypertextovodkaz"/>
            <w:noProof/>
          </w:rPr>
          <w:t>Věková struktura konstrukcí chmele podle stavu k 20. 8. 2020 (ha)</w:t>
        </w:r>
        <w:r w:rsidR="007C29A2">
          <w:rPr>
            <w:noProof/>
            <w:webHidden/>
          </w:rPr>
          <w:tab/>
        </w:r>
        <w:r w:rsidR="007C29A2">
          <w:rPr>
            <w:noProof/>
            <w:webHidden/>
          </w:rPr>
          <w:fldChar w:fldCharType="begin"/>
        </w:r>
        <w:r w:rsidR="007C29A2">
          <w:rPr>
            <w:noProof/>
            <w:webHidden/>
          </w:rPr>
          <w:instrText xml:space="preserve"> PAGEREF _Toc81738480 \h </w:instrText>
        </w:r>
        <w:r w:rsidR="007C29A2">
          <w:rPr>
            <w:noProof/>
            <w:webHidden/>
          </w:rPr>
        </w:r>
        <w:r w:rsidR="007C29A2">
          <w:rPr>
            <w:noProof/>
            <w:webHidden/>
          </w:rPr>
          <w:fldChar w:fldCharType="separate"/>
        </w:r>
        <w:r w:rsidR="007C29A2">
          <w:rPr>
            <w:noProof/>
            <w:webHidden/>
          </w:rPr>
          <w:t>95</w:t>
        </w:r>
        <w:r w:rsidR="007C29A2">
          <w:rPr>
            <w:noProof/>
            <w:webHidden/>
          </w:rPr>
          <w:fldChar w:fldCharType="end"/>
        </w:r>
      </w:hyperlink>
    </w:p>
    <w:p w14:paraId="78EBBFD2" w14:textId="47669256"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81" w:history="1">
        <w:r w:rsidR="007C29A2" w:rsidRPr="00864071">
          <w:rPr>
            <w:rStyle w:val="Hypertextovodkaz"/>
            <w:noProof/>
          </w:rPr>
          <w:t>Tabulka 53</w:t>
        </w:r>
        <w:r w:rsidR="007C29A2">
          <w:rPr>
            <w:rFonts w:asciiTheme="minorHAnsi" w:eastAsiaTheme="minorEastAsia" w:hAnsiTheme="minorHAnsi"/>
            <w:noProof/>
            <w:sz w:val="24"/>
            <w:szCs w:val="24"/>
            <w:lang w:val="cs-CZ" w:eastAsia="cs-CZ"/>
          </w:rPr>
          <w:tab/>
        </w:r>
        <w:r w:rsidR="007C29A2" w:rsidRPr="00864071">
          <w:rPr>
            <w:rStyle w:val="Hypertextovodkaz"/>
            <w:noProof/>
          </w:rPr>
          <w:t>Ekonomika pěstování chmele v letech 2011 až 2020</w:t>
        </w:r>
        <w:r w:rsidR="007C29A2">
          <w:rPr>
            <w:noProof/>
            <w:webHidden/>
          </w:rPr>
          <w:tab/>
        </w:r>
        <w:r w:rsidR="007C29A2">
          <w:rPr>
            <w:noProof/>
            <w:webHidden/>
          </w:rPr>
          <w:fldChar w:fldCharType="begin"/>
        </w:r>
        <w:r w:rsidR="007C29A2">
          <w:rPr>
            <w:noProof/>
            <w:webHidden/>
          </w:rPr>
          <w:instrText xml:space="preserve"> PAGEREF _Toc81738481 \h </w:instrText>
        </w:r>
        <w:r w:rsidR="007C29A2">
          <w:rPr>
            <w:noProof/>
            <w:webHidden/>
          </w:rPr>
        </w:r>
        <w:r w:rsidR="007C29A2">
          <w:rPr>
            <w:noProof/>
            <w:webHidden/>
          </w:rPr>
          <w:fldChar w:fldCharType="separate"/>
        </w:r>
        <w:r w:rsidR="007C29A2">
          <w:rPr>
            <w:noProof/>
            <w:webHidden/>
          </w:rPr>
          <w:t>97</w:t>
        </w:r>
        <w:r w:rsidR="007C29A2">
          <w:rPr>
            <w:noProof/>
            <w:webHidden/>
          </w:rPr>
          <w:fldChar w:fldCharType="end"/>
        </w:r>
      </w:hyperlink>
    </w:p>
    <w:p w14:paraId="072AD32E" w14:textId="1B12A817"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82" w:history="1">
        <w:r w:rsidR="007C29A2" w:rsidRPr="00864071">
          <w:rPr>
            <w:rStyle w:val="Hypertextovodkaz"/>
            <w:noProof/>
          </w:rPr>
          <w:t>Tabulka 54</w:t>
        </w:r>
        <w:r w:rsidR="007C29A2">
          <w:rPr>
            <w:rFonts w:asciiTheme="minorHAnsi" w:eastAsiaTheme="minorEastAsia" w:hAnsiTheme="minorHAnsi"/>
            <w:noProof/>
            <w:sz w:val="24"/>
            <w:szCs w:val="24"/>
            <w:lang w:val="cs-CZ" w:eastAsia="cs-CZ"/>
          </w:rPr>
          <w:tab/>
        </w:r>
        <w:r w:rsidR="007C29A2" w:rsidRPr="00864071">
          <w:rPr>
            <w:rStyle w:val="Hypertextovodkaz"/>
            <w:noProof/>
          </w:rPr>
          <w:t>Přehled čerpání dotace 1.I (Podpora vybudování kapkové závlahy v ovocných sadech, chmelnicích, vinicích a ve školkách) v letech 2011-2020</w:t>
        </w:r>
        <w:r w:rsidR="007C29A2">
          <w:rPr>
            <w:noProof/>
            <w:webHidden/>
          </w:rPr>
          <w:tab/>
        </w:r>
        <w:r w:rsidR="007C29A2">
          <w:rPr>
            <w:noProof/>
            <w:webHidden/>
          </w:rPr>
          <w:fldChar w:fldCharType="begin"/>
        </w:r>
        <w:r w:rsidR="007C29A2">
          <w:rPr>
            <w:noProof/>
            <w:webHidden/>
          </w:rPr>
          <w:instrText xml:space="preserve"> PAGEREF _Toc81738482 \h </w:instrText>
        </w:r>
        <w:r w:rsidR="007C29A2">
          <w:rPr>
            <w:noProof/>
            <w:webHidden/>
          </w:rPr>
        </w:r>
        <w:r w:rsidR="007C29A2">
          <w:rPr>
            <w:noProof/>
            <w:webHidden/>
          </w:rPr>
          <w:fldChar w:fldCharType="separate"/>
        </w:r>
        <w:r w:rsidR="007C29A2">
          <w:rPr>
            <w:noProof/>
            <w:webHidden/>
          </w:rPr>
          <w:t>100</w:t>
        </w:r>
        <w:r w:rsidR="007C29A2">
          <w:rPr>
            <w:noProof/>
            <w:webHidden/>
          </w:rPr>
          <w:fldChar w:fldCharType="end"/>
        </w:r>
      </w:hyperlink>
    </w:p>
    <w:p w14:paraId="10F430CE" w14:textId="30A2D387"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83" w:history="1">
        <w:r w:rsidR="007C29A2" w:rsidRPr="00864071">
          <w:rPr>
            <w:rStyle w:val="Hypertextovodkaz"/>
            <w:noProof/>
          </w:rPr>
          <w:t>Tabulka 55</w:t>
        </w:r>
        <w:r w:rsidR="007C29A2">
          <w:rPr>
            <w:rFonts w:asciiTheme="minorHAnsi" w:eastAsiaTheme="minorEastAsia" w:hAnsiTheme="minorHAnsi"/>
            <w:noProof/>
            <w:sz w:val="24"/>
            <w:szCs w:val="24"/>
            <w:lang w:val="cs-CZ" w:eastAsia="cs-CZ"/>
          </w:rPr>
          <w:tab/>
        </w:r>
        <w:r w:rsidR="007C29A2" w:rsidRPr="00864071">
          <w:rPr>
            <w:rStyle w:val="Hypertextovodkaz"/>
            <w:noProof/>
          </w:rPr>
          <w:t>Ekonomika pěstování chmele v 2018 až 2020 s výhledem do 2030</w:t>
        </w:r>
        <w:r w:rsidR="007C29A2">
          <w:rPr>
            <w:noProof/>
            <w:webHidden/>
          </w:rPr>
          <w:tab/>
        </w:r>
        <w:r w:rsidR="007C29A2">
          <w:rPr>
            <w:noProof/>
            <w:webHidden/>
          </w:rPr>
          <w:fldChar w:fldCharType="begin"/>
        </w:r>
        <w:r w:rsidR="007C29A2">
          <w:rPr>
            <w:noProof/>
            <w:webHidden/>
          </w:rPr>
          <w:instrText xml:space="preserve"> PAGEREF _Toc81738483 \h </w:instrText>
        </w:r>
        <w:r w:rsidR="007C29A2">
          <w:rPr>
            <w:noProof/>
            <w:webHidden/>
          </w:rPr>
        </w:r>
        <w:r w:rsidR="007C29A2">
          <w:rPr>
            <w:noProof/>
            <w:webHidden/>
          </w:rPr>
          <w:fldChar w:fldCharType="separate"/>
        </w:r>
        <w:r w:rsidR="007C29A2">
          <w:rPr>
            <w:noProof/>
            <w:webHidden/>
          </w:rPr>
          <w:t>102</w:t>
        </w:r>
        <w:r w:rsidR="007C29A2">
          <w:rPr>
            <w:noProof/>
            <w:webHidden/>
          </w:rPr>
          <w:fldChar w:fldCharType="end"/>
        </w:r>
      </w:hyperlink>
    </w:p>
    <w:p w14:paraId="0300FEF2" w14:textId="161E5B1D"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84" w:history="1">
        <w:r w:rsidR="007C29A2" w:rsidRPr="00864071">
          <w:rPr>
            <w:rStyle w:val="Hypertextovodkaz"/>
            <w:noProof/>
          </w:rPr>
          <w:t>Tabulka 56</w:t>
        </w:r>
        <w:r w:rsidR="007C29A2">
          <w:rPr>
            <w:rFonts w:asciiTheme="minorHAnsi" w:eastAsiaTheme="minorEastAsia" w:hAnsiTheme="minorHAnsi"/>
            <w:noProof/>
            <w:sz w:val="24"/>
            <w:szCs w:val="24"/>
            <w:lang w:val="cs-CZ" w:eastAsia="cs-CZ"/>
          </w:rPr>
          <w:tab/>
        </w:r>
        <w:r w:rsidR="007C29A2" w:rsidRPr="00864071">
          <w:rPr>
            <w:rStyle w:val="Hypertextovodkaz"/>
            <w:noProof/>
          </w:rPr>
          <w:t>Strukturální charakteristiky podniků s citlivými komoditami a vyhodnocení citlivosti příjmových indikátorů na eliminaci CIS podpory</w:t>
        </w:r>
        <w:r w:rsidR="007C29A2">
          <w:rPr>
            <w:noProof/>
            <w:webHidden/>
          </w:rPr>
          <w:tab/>
        </w:r>
        <w:r w:rsidR="007C29A2">
          <w:rPr>
            <w:noProof/>
            <w:webHidden/>
          </w:rPr>
          <w:fldChar w:fldCharType="begin"/>
        </w:r>
        <w:r w:rsidR="007C29A2">
          <w:rPr>
            <w:noProof/>
            <w:webHidden/>
          </w:rPr>
          <w:instrText xml:space="preserve"> PAGEREF _Toc81738484 \h </w:instrText>
        </w:r>
        <w:r w:rsidR="007C29A2">
          <w:rPr>
            <w:noProof/>
            <w:webHidden/>
          </w:rPr>
        </w:r>
        <w:r w:rsidR="007C29A2">
          <w:rPr>
            <w:noProof/>
            <w:webHidden/>
          </w:rPr>
          <w:fldChar w:fldCharType="separate"/>
        </w:r>
        <w:r w:rsidR="007C29A2">
          <w:rPr>
            <w:noProof/>
            <w:webHidden/>
          </w:rPr>
          <w:t>102</w:t>
        </w:r>
        <w:r w:rsidR="007C29A2">
          <w:rPr>
            <w:noProof/>
            <w:webHidden/>
          </w:rPr>
          <w:fldChar w:fldCharType="end"/>
        </w:r>
      </w:hyperlink>
    </w:p>
    <w:p w14:paraId="58412E8E" w14:textId="6C34041F"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85" w:history="1">
        <w:r w:rsidR="007C29A2" w:rsidRPr="00864071">
          <w:rPr>
            <w:rStyle w:val="Hypertextovodkaz"/>
            <w:noProof/>
          </w:rPr>
          <w:t>Tabulka 57</w:t>
        </w:r>
        <w:r w:rsidR="007C29A2">
          <w:rPr>
            <w:rFonts w:asciiTheme="minorHAnsi" w:eastAsiaTheme="minorEastAsia" w:hAnsiTheme="minorHAnsi"/>
            <w:noProof/>
            <w:sz w:val="24"/>
            <w:szCs w:val="24"/>
            <w:lang w:val="cs-CZ" w:eastAsia="cs-CZ"/>
          </w:rPr>
          <w:tab/>
        </w:r>
        <w:r w:rsidR="007C29A2" w:rsidRPr="00864071">
          <w:rPr>
            <w:rStyle w:val="Hypertextovodkaz"/>
            <w:noProof/>
          </w:rPr>
          <w:t>Teorie změny – chmel</w:t>
        </w:r>
        <w:r w:rsidR="007C29A2">
          <w:rPr>
            <w:noProof/>
            <w:webHidden/>
          </w:rPr>
          <w:tab/>
        </w:r>
        <w:r w:rsidR="007C29A2">
          <w:rPr>
            <w:noProof/>
            <w:webHidden/>
          </w:rPr>
          <w:fldChar w:fldCharType="begin"/>
        </w:r>
        <w:r w:rsidR="007C29A2">
          <w:rPr>
            <w:noProof/>
            <w:webHidden/>
          </w:rPr>
          <w:instrText xml:space="preserve"> PAGEREF _Toc81738485 \h </w:instrText>
        </w:r>
        <w:r w:rsidR="007C29A2">
          <w:rPr>
            <w:noProof/>
            <w:webHidden/>
          </w:rPr>
        </w:r>
        <w:r w:rsidR="007C29A2">
          <w:rPr>
            <w:noProof/>
            <w:webHidden/>
          </w:rPr>
          <w:fldChar w:fldCharType="separate"/>
        </w:r>
        <w:r w:rsidR="007C29A2">
          <w:rPr>
            <w:noProof/>
            <w:webHidden/>
          </w:rPr>
          <w:t>104</w:t>
        </w:r>
        <w:r w:rsidR="007C29A2">
          <w:rPr>
            <w:noProof/>
            <w:webHidden/>
          </w:rPr>
          <w:fldChar w:fldCharType="end"/>
        </w:r>
      </w:hyperlink>
    </w:p>
    <w:p w14:paraId="57A3D09C" w14:textId="23316CE6"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86" w:history="1">
        <w:r w:rsidR="007C29A2" w:rsidRPr="00864071">
          <w:rPr>
            <w:rStyle w:val="Hypertextovodkaz"/>
            <w:noProof/>
          </w:rPr>
          <w:t>Tabulka 58</w:t>
        </w:r>
        <w:r w:rsidR="007C29A2">
          <w:rPr>
            <w:rFonts w:asciiTheme="minorHAnsi" w:eastAsiaTheme="minorEastAsia" w:hAnsiTheme="minorHAnsi"/>
            <w:noProof/>
            <w:sz w:val="24"/>
            <w:szCs w:val="24"/>
            <w:lang w:val="cs-CZ" w:eastAsia="cs-CZ"/>
          </w:rPr>
          <w:tab/>
        </w:r>
        <w:r w:rsidR="007C29A2" w:rsidRPr="00864071">
          <w:rPr>
            <w:rStyle w:val="Hypertextovodkaz"/>
            <w:noProof/>
          </w:rPr>
          <w:t>Vybrané ukazatele výroby a spotřeby obilovin (2011 – 2020)</w:t>
        </w:r>
        <w:r w:rsidR="007C29A2">
          <w:rPr>
            <w:noProof/>
            <w:webHidden/>
          </w:rPr>
          <w:tab/>
        </w:r>
        <w:r w:rsidR="007C29A2">
          <w:rPr>
            <w:noProof/>
            <w:webHidden/>
          </w:rPr>
          <w:fldChar w:fldCharType="begin"/>
        </w:r>
        <w:r w:rsidR="007C29A2">
          <w:rPr>
            <w:noProof/>
            <w:webHidden/>
          </w:rPr>
          <w:instrText xml:space="preserve"> PAGEREF _Toc81738486 \h </w:instrText>
        </w:r>
        <w:r w:rsidR="007C29A2">
          <w:rPr>
            <w:noProof/>
            <w:webHidden/>
          </w:rPr>
        </w:r>
        <w:r w:rsidR="007C29A2">
          <w:rPr>
            <w:noProof/>
            <w:webHidden/>
          </w:rPr>
          <w:fldChar w:fldCharType="separate"/>
        </w:r>
        <w:r w:rsidR="007C29A2">
          <w:rPr>
            <w:noProof/>
            <w:webHidden/>
          </w:rPr>
          <w:t>110</w:t>
        </w:r>
        <w:r w:rsidR="007C29A2">
          <w:rPr>
            <w:noProof/>
            <w:webHidden/>
          </w:rPr>
          <w:fldChar w:fldCharType="end"/>
        </w:r>
      </w:hyperlink>
    </w:p>
    <w:p w14:paraId="4286C50B" w14:textId="3A193B09"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87" w:history="1">
        <w:r w:rsidR="007C29A2" w:rsidRPr="00864071">
          <w:rPr>
            <w:rStyle w:val="Hypertextovodkaz"/>
            <w:noProof/>
          </w:rPr>
          <w:t>Tabulka 59</w:t>
        </w:r>
        <w:r w:rsidR="007C29A2">
          <w:rPr>
            <w:rFonts w:asciiTheme="minorHAnsi" w:eastAsiaTheme="minorEastAsia" w:hAnsiTheme="minorHAnsi"/>
            <w:noProof/>
            <w:sz w:val="24"/>
            <w:szCs w:val="24"/>
            <w:lang w:val="cs-CZ" w:eastAsia="cs-CZ"/>
          </w:rPr>
          <w:tab/>
        </w:r>
        <w:r w:rsidR="007C29A2" w:rsidRPr="00864071">
          <w:rPr>
            <w:rStyle w:val="Hypertextovodkaz"/>
            <w:noProof/>
          </w:rPr>
          <w:t>Vybrané ukazatele výroby a spotřeby pšenice (2011 – 2020)</w:t>
        </w:r>
        <w:r w:rsidR="007C29A2">
          <w:rPr>
            <w:noProof/>
            <w:webHidden/>
          </w:rPr>
          <w:tab/>
        </w:r>
        <w:r w:rsidR="007C29A2">
          <w:rPr>
            <w:noProof/>
            <w:webHidden/>
          </w:rPr>
          <w:fldChar w:fldCharType="begin"/>
        </w:r>
        <w:r w:rsidR="007C29A2">
          <w:rPr>
            <w:noProof/>
            <w:webHidden/>
          </w:rPr>
          <w:instrText xml:space="preserve"> PAGEREF _Toc81738487 \h </w:instrText>
        </w:r>
        <w:r w:rsidR="007C29A2">
          <w:rPr>
            <w:noProof/>
            <w:webHidden/>
          </w:rPr>
        </w:r>
        <w:r w:rsidR="007C29A2">
          <w:rPr>
            <w:noProof/>
            <w:webHidden/>
          </w:rPr>
          <w:fldChar w:fldCharType="separate"/>
        </w:r>
        <w:r w:rsidR="007C29A2">
          <w:rPr>
            <w:noProof/>
            <w:webHidden/>
          </w:rPr>
          <w:t>110</w:t>
        </w:r>
        <w:r w:rsidR="007C29A2">
          <w:rPr>
            <w:noProof/>
            <w:webHidden/>
          </w:rPr>
          <w:fldChar w:fldCharType="end"/>
        </w:r>
      </w:hyperlink>
    </w:p>
    <w:p w14:paraId="4741FEB4" w14:textId="03B374A0"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88" w:history="1">
        <w:r w:rsidR="007C29A2" w:rsidRPr="00864071">
          <w:rPr>
            <w:rStyle w:val="Hypertextovodkaz"/>
            <w:noProof/>
          </w:rPr>
          <w:t>Tabulka 60</w:t>
        </w:r>
        <w:r w:rsidR="007C29A2">
          <w:rPr>
            <w:rFonts w:asciiTheme="minorHAnsi" w:eastAsiaTheme="minorEastAsia" w:hAnsiTheme="minorHAnsi"/>
            <w:noProof/>
            <w:sz w:val="24"/>
            <w:szCs w:val="24"/>
            <w:lang w:val="cs-CZ" w:eastAsia="cs-CZ"/>
          </w:rPr>
          <w:tab/>
        </w:r>
        <w:r w:rsidR="007C29A2" w:rsidRPr="00864071">
          <w:rPr>
            <w:rStyle w:val="Hypertextovodkaz"/>
            <w:noProof/>
          </w:rPr>
          <w:t>Vybrané ukazatele výroby a spotřeby kukuřice (2011 – 2020)</w:t>
        </w:r>
        <w:r w:rsidR="007C29A2">
          <w:rPr>
            <w:noProof/>
            <w:webHidden/>
          </w:rPr>
          <w:tab/>
        </w:r>
        <w:r w:rsidR="007C29A2">
          <w:rPr>
            <w:noProof/>
            <w:webHidden/>
          </w:rPr>
          <w:fldChar w:fldCharType="begin"/>
        </w:r>
        <w:r w:rsidR="007C29A2">
          <w:rPr>
            <w:noProof/>
            <w:webHidden/>
          </w:rPr>
          <w:instrText xml:space="preserve"> PAGEREF _Toc81738488 \h </w:instrText>
        </w:r>
        <w:r w:rsidR="007C29A2">
          <w:rPr>
            <w:noProof/>
            <w:webHidden/>
          </w:rPr>
        </w:r>
        <w:r w:rsidR="007C29A2">
          <w:rPr>
            <w:noProof/>
            <w:webHidden/>
          </w:rPr>
          <w:fldChar w:fldCharType="separate"/>
        </w:r>
        <w:r w:rsidR="007C29A2">
          <w:rPr>
            <w:noProof/>
            <w:webHidden/>
          </w:rPr>
          <w:t>110</w:t>
        </w:r>
        <w:r w:rsidR="007C29A2">
          <w:rPr>
            <w:noProof/>
            <w:webHidden/>
          </w:rPr>
          <w:fldChar w:fldCharType="end"/>
        </w:r>
      </w:hyperlink>
    </w:p>
    <w:p w14:paraId="49D512B6" w14:textId="72DD4286"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89" w:history="1">
        <w:r w:rsidR="007C29A2" w:rsidRPr="00864071">
          <w:rPr>
            <w:rStyle w:val="Hypertextovodkaz"/>
            <w:noProof/>
          </w:rPr>
          <w:t>Tabulka 61</w:t>
        </w:r>
        <w:r w:rsidR="007C29A2">
          <w:rPr>
            <w:rFonts w:asciiTheme="minorHAnsi" w:eastAsiaTheme="minorEastAsia" w:hAnsiTheme="minorHAnsi"/>
            <w:noProof/>
            <w:sz w:val="24"/>
            <w:szCs w:val="24"/>
            <w:lang w:val="cs-CZ" w:eastAsia="cs-CZ"/>
          </w:rPr>
          <w:tab/>
        </w:r>
        <w:r w:rsidR="007C29A2" w:rsidRPr="00864071">
          <w:rPr>
            <w:rStyle w:val="Hypertextovodkaz"/>
            <w:noProof/>
          </w:rPr>
          <w:t>Vybrané ukazatele výroby a spotřeby ječmene (2011 – 2020)</w:t>
        </w:r>
        <w:r w:rsidR="007C29A2">
          <w:rPr>
            <w:noProof/>
            <w:webHidden/>
          </w:rPr>
          <w:tab/>
        </w:r>
        <w:r w:rsidR="007C29A2">
          <w:rPr>
            <w:noProof/>
            <w:webHidden/>
          </w:rPr>
          <w:fldChar w:fldCharType="begin"/>
        </w:r>
        <w:r w:rsidR="007C29A2">
          <w:rPr>
            <w:noProof/>
            <w:webHidden/>
          </w:rPr>
          <w:instrText xml:space="preserve"> PAGEREF _Toc81738489 \h </w:instrText>
        </w:r>
        <w:r w:rsidR="007C29A2">
          <w:rPr>
            <w:noProof/>
            <w:webHidden/>
          </w:rPr>
        </w:r>
        <w:r w:rsidR="007C29A2">
          <w:rPr>
            <w:noProof/>
            <w:webHidden/>
          </w:rPr>
          <w:fldChar w:fldCharType="separate"/>
        </w:r>
        <w:r w:rsidR="007C29A2">
          <w:rPr>
            <w:noProof/>
            <w:webHidden/>
          </w:rPr>
          <w:t>110</w:t>
        </w:r>
        <w:r w:rsidR="007C29A2">
          <w:rPr>
            <w:noProof/>
            <w:webHidden/>
          </w:rPr>
          <w:fldChar w:fldCharType="end"/>
        </w:r>
      </w:hyperlink>
    </w:p>
    <w:p w14:paraId="0E3BA95C" w14:textId="69ABDDBC"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90" w:history="1">
        <w:r w:rsidR="007C29A2" w:rsidRPr="00864071">
          <w:rPr>
            <w:rStyle w:val="Hypertextovodkaz"/>
            <w:noProof/>
          </w:rPr>
          <w:t>Tabulka 62</w:t>
        </w:r>
        <w:r w:rsidR="007C29A2">
          <w:rPr>
            <w:rFonts w:asciiTheme="minorHAnsi" w:eastAsiaTheme="minorEastAsia" w:hAnsiTheme="minorHAnsi"/>
            <w:noProof/>
            <w:sz w:val="24"/>
            <w:szCs w:val="24"/>
            <w:lang w:val="cs-CZ" w:eastAsia="cs-CZ"/>
          </w:rPr>
          <w:tab/>
        </w:r>
        <w:r w:rsidR="007C29A2" w:rsidRPr="00864071">
          <w:rPr>
            <w:rStyle w:val="Hypertextovodkaz"/>
            <w:noProof/>
          </w:rPr>
          <w:t>Ekonomika pšenice ozimé (2011 – 2020)</w:t>
        </w:r>
        <w:r w:rsidR="007C29A2">
          <w:rPr>
            <w:noProof/>
            <w:webHidden/>
          </w:rPr>
          <w:tab/>
        </w:r>
        <w:r w:rsidR="007C29A2">
          <w:rPr>
            <w:noProof/>
            <w:webHidden/>
          </w:rPr>
          <w:fldChar w:fldCharType="begin"/>
        </w:r>
        <w:r w:rsidR="007C29A2">
          <w:rPr>
            <w:noProof/>
            <w:webHidden/>
          </w:rPr>
          <w:instrText xml:space="preserve"> PAGEREF _Toc81738490 \h </w:instrText>
        </w:r>
        <w:r w:rsidR="007C29A2">
          <w:rPr>
            <w:noProof/>
            <w:webHidden/>
          </w:rPr>
        </w:r>
        <w:r w:rsidR="007C29A2">
          <w:rPr>
            <w:noProof/>
            <w:webHidden/>
          </w:rPr>
          <w:fldChar w:fldCharType="separate"/>
        </w:r>
        <w:r w:rsidR="007C29A2">
          <w:rPr>
            <w:noProof/>
            <w:webHidden/>
          </w:rPr>
          <w:t>111</w:t>
        </w:r>
        <w:r w:rsidR="007C29A2">
          <w:rPr>
            <w:noProof/>
            <w:webHidden/>
          </w:rPr>
          <w:fldChar w:fldCharType="end"/>
        </w:r>
      </w:hyperlink>
    </w:p>
    <w:p w14:paraId="21DCEEB6" w14:textId="52D06686"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91" w:history="1">
        <w:r w:rsidR="007C29A2" w:rsidRPr="00864071">
          <w:rPr>
            <w:rStyle w:val="Hypertextovodkaz"/>
            <w:noProof/>
          </w:rPr>
          <w:t>Tabulka 63</w:t>
        </w:r>
        <w:r w:rsidR="007C29A2">
          <w:rPr>
            <w:rFonts w:asciiTheme="minorHAnsi" w:eastAsiaTheme="minorEastAsia" w:hAnsiTheme="minorHAnsi"/>
            <w:noProof/>
            <w:sz w:val="24"/>
            <w:szCs w:val="24"/>
            <w:lang w:val="cs-CZ" w:eastAsia="cs-CZ"/>
          </w:rPr>
          <w:tab/>
        </w:r>
        <w:r w:rsidR="007C29A2" w:rsidRPr="00864071">
          <w:rPr>
            <w:rStyle w:val="Hypertextovodkaz"/>
            <w:noProof/>
          </w:rPr>
          <w:t>Dotační podpory pšenice ozimé (2011 – 2020)</w:t>
        </w:r>
        <w:r w:rsidR="007C29A2">
          <w:rPr>
            <w:noProof/>
            <w:webHidden/>
          </w:rPr>
          <w:tab/>
        </w:r>
        <w:r w:rsidR="007C29A2">
          <w:rPr>
            <w:noProof/>
            <w:webHidden/>
          </w:rPr>
          <w:fldChar w:fldCharType="begin"/>
        </w:r>
        <w:r w:rsidR="007C29A2">
          <w:rPr>
            <w:noProof/>
            <w:webHidden/>
          </w:rPr>
          <w:instrText xml:space="preserve"> PAGEREF _Toc81738491 \h </w:instrText>
        </w:r>
        <w:r w:rsidR="007C29A2">
          <w:rPr>
            <w:noProof/>
            <w:webHidden/>
          </w:rPr>
        </w:r>
        <w:r w:rsidR="007C29A2">
          <w:rPr>
            <w:noProof/>
            <w:webHidden/>
          </w:rPr>
          <w:fldChar w:fldCharType="separate"/>
        </w:r>
        <w:r w:rsidR="007C29A2">
          <w:rPr>
            <w:noProof/>
            <w:webHidden/>
          </w:rPr>
          <w:t>116</w:t>
        </w:r>
        <w:r w:rsidR="007C29A2">
          <w:rPr>
            <w:noProof/>
            <w:webHidden/>
          </w:rPr>
          <w:fldChar w:fldCharType="end"/>
        </w:r>
      </w:hyperlink>
    </w:p>
    <w:p w14:paraId="33BE901D" w14:textId="20976477"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92" w:history="1">
        <w:r w:rsidR="007C29A2" w:rsidRPr="00864071">
          <w:rPr>
            <w:rStyle w:val="Hypertextovodkaz"/>
            <w:noProof/>
          </w:rPr>
          <w:t>Tabulka 64</w:t>
        </w:r>
        <w:r w:rsidR="007C29A2">
          <w:rPr>
            <w:rFonts w:asciiTheme="minorHAnsi" w:eastAsiaTheme="minorEastAsia" w:hAnsiTheme="minorHAnsi"/>
            <w:noProof/>
            <w:sz w:val="24"/>
            <w:szCs w:val="24"/>
            <w:lang w:val="cs-CZ" w:eastAsia="cs-CZ"/>
          </w:rPr>
          <w:tab/>
        </w:r>
        <w:r w:rsidR="007C29A2" w:rsidRPr="00864071">
          <w:rPr>
            <w:rStyle w:val="Hypertextovodkaz"/>
            <w:noProof/>
          </w:rPr>
          <w:t>Ekonomika pěstování pšenice ozimé v 2018 až 2020 s výhledem do 2030</w:t>
        </w:r>
        <w:r w:rsidR="007C29A2">
          <w:rPr>
            <w:noProof/>
            <w:webHidden/>
          </w:rPr>
          <w:tab/>
        </w:r>
        <w:r w:rsidR="007C29A2">
          <w:rPr>
            <w:noProof/>
            <w:webHidden/>
          </w:rPr>
          <w:fldChar w:fldCharType="begin"/>
        </w:r>
        <w:r w:rsidR="007C29A2">
          <w:rPr>
            <w:noProof/>
            <w:webHidden/>
          </w:rPr>
          <w:instrText xml:space="preserve"> PAGEREF _Toc81738492 \h </w:instrText>
        </w:r>
        <w:r w:rsidR="007C29A2">
          <w:rPr>
            <w:noProof/>
            <w:webHidden/>
          </w:rPr>
        </w:r>
        <w:r w:rsidR="007C29A2">
          <w:rPr>
            <w:noProof/>
            <w:webHidden/>
          </w:rPr>
          <w:fldChar w:fldCharType="separate"/>
        </w:r>
        <w:r w:rsidR="007C29A2">
          <w:rPr>
            <w:noProof/>
            <w:webHidden/>
          </w:rPr>
          <w:t>119</w:t>
        </w:r>
        <w:r w:rsidR="007C29A2">
          <w:rPr>
            <w:noProof/>
            <w:webHidden/>
          </w:rPr>
          <w:fldChar w:fldCharType="end"/>
        </w:r>
      </w:hyperlink>
    </w:p>
    <w:p w14:paraId="30AB73C4" w14:textId="0EA2840A"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93" w:history="1">
        <w:r w:rsidR="007C29A2" w:rsidRPr="00864071">
          <w:rPr>
            <w:rStyle w:val="Hypertextovodkaz"/>
            <w:noProof/>
          </w:rPr>
          <w:t>Tabulka 65</w:t>
        </w:r>
        <w:r w:rsidR="007C29A2">
          <w:rPr>
            <w:rFonts w:asciiTheme="minorHAnsi" w:eastAsiaTheme="minorEastAsia" w:hAnsiTheme="minorHAnsi"/>
            <w:noProof/>
            <w:sz w:val="24"/>
            <w:szCs w:val="24"/>
            <w:lang w:val="cs-CZ" w:eastAsia="cs-CZ"/>
          </w:rPr>
          <w:tab/>
        </w:r>
        <w:r w:rsidR="007C29A2" w:rsidRPr="00864071">
          <w:rPr>
            <w:rStyle w:val="Hypertextovodkaz"/>
            <w:noProof/>
          </w:rPr>
          <w:t>Vybrané ukazatele výroby a spotřeby řepky olejné (2011 – 2020)</w:t>
        </w:r>
        <w:r w:rsidR="007C29A2">
          <w:rPr>
            <w:noProof/>
            <w:webHidden/>
          </w:rPr>
          <w:tab/>
        </w:r>
        <w:r w:rsidR="007C29A2">
          <w:rPr>
            <w:noProof/>
            <w:webHidden/>
          </w:rPr>
          <w:fldChar w:fldCharType="begin"/>
        </w:r>
        <w:r w:rsidR="007C29A2">
          <w:rPr>
            <w:noProof/>
            <w:webHidden/>
          </w:rPr>
          <w:instrText xml:space="preserve"> PAGEREF _Toc81738493 \h </w:instrText>
        </w:r>
        <w:r w:rsidR="007C29A2">
          <w:rPr>
            <w:noProof/>
            <w:webHidden/>
          </w:rPr>
        </w:r>
        <w:r w:rsidR="007C29A2">
          <w:rPr>
            <w:noProof/>
            <w:webHidden/>
          </w:rPr>
          <w:fldChar w:fldCharType="separate"/>
        </w:r>
        <w:r w:rsidR="007C29A2">
          <w:rPr>
            <w:noProof/>
            <w:webHidden/>
          </w:rPr>
          <w:t>125</w:t>
        </w:r>
        <w:r w:rsidR="007C29A2">
          <w:rPr>
            <w:noProof/>
            <w:webHidden/>
          </w:rPr>
          <w:fldChar w:fldCharType="end"/>
        </w:r>
      </w:hyperlink>
    </w:p>
    <w:p w14:paraId="3C84E7C4" w14:textId="6B0BE220"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94" w:history="1">
        <w:r w:rsidR="007C29A2" w:rsidRPr="00864071">
          <w:rPr>
            <w:rStyle w:val="Hypertextovodkaz"/>
            <w:noProof/>
          </w:rPr>
          <w:t>Tabulka 66</w:t>
        </w:r>
        <w:r w:rsidR="007C29A2">
          <w:rPr>
            <w:rFonts w:asciiTheme="minorHAnsi" w:eastAsiaTheme="minorEastAsia" w:hAnsiTheme="minorHAnsi"/>
            <w:noProof/>
            <w:sz w:val="24"/>
            <w:szCs w:val="24"/>
            <w:lang w:val="cs-CZ" w:eastAsia="cs-CZ"/>
          </w:rPr>
          <w:tab/>
        </w:r>
        <w:r w:rsidR="007C29A2" w:rsidRPr="00864071">
          <w:rPr>
            <w:rStyle w:val="Hypertextovodkaz"/>
            <w:noProof/>
          </w:rPr>
          <w:t>Ekonomika řepky olejné (2011 – 2020)</w:t>
        </w:r>
        <w:r w:rsidR="007C29A2">
          <w:rPr>
            <w:noProof/>
            <w:webHidden/>
          </w:rPr>
          <w:tab/>
        </w:r>
        <w:r w:rsidR="007C29A2">
          <w:rPr>
            <w:noProof/>
            <w:webHidden/>
          </w:rPr>
          <w:fldChar w:fldCharType="begin"/>
        </w:r>
        <w:r w:rsidR="007C29A2">
          <w:rPr>
            <w:noProof/>
            <w:webHidden/>
          </w:rPr>
          <w:instrText xml:space="preserve"> PAGEREF _Toc81738494 \h </w:instrText>
        </w:r>
        <w:r w:rsidR="007C29A2">
          <w:rPr>
            <w:noProof/>
            <w:webHidden/>
          </w:rPr>
        </w:r>
        <w:r w:rsidR="007C29A2">
          <w:rPr>
            <w:noProof/>
            <w:webHidden/>
          </w:rPr>
          <w:fldChar w:fldCharType="separate"/>
        </w:r>
        <w:r w:rsidR="007C29A2">
          <w:rPr>
            <w:noProof/>
            <w:webHidden/>
          </w:rPr>
          <w:t>126</w:t>
        </w:r>
        <w:r w:rsidR="007C29A2">
          <w:rPr>
            <w:noProof/>
            <w:webHidden/>
          </w:rPr>
          <w:fldChar w:fldCharType="end"/>
        </w:r>
      </w:hyperlink>
    </w:p>
    <w:p w14:paraId="51BC2192" w14:textId="6BBE15F7"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95" w:history="1">
        <w:r w:rsidR="007C29A2" w:rsidRPr="00864071">
          <w:rPr>
            <w:rStyle w:val="Hypertextovodkaz"/>
            <w:noProof/>
          </w:rPr>
          <w:t>Tabulka 67</w:t>
        </w:r>
        <w:r w:rsidR="007C29A2">
          <w:rPr>
            <w:rFonts w:asciiTheme="minorHAnsi" w:eastAsiaTheme="minorEastAsia" w:hAnsiTheme="minorHAnsi"/>
            <w:noProof/>
            <w:sz w:val="24"/>
            <w:szCs w:val="24"/>
            <w:lang w:val="cs-CZ" w:eastAsia="cs-CZ"/>
          </w:rPr>
          <w:tab/>
        </w:r>
        <w:r w:rsidR="007C29A2" w:rsidRPr="00864071">
          <w:rPr>
            <w:rStyle w:val="Hypertextovodkaz"/>
            <w:noProof/>
          </w:rPr>
          <w:t>Dotační podpory řepky olejné (2011 – 2020)</w:t>
        </w:r>
        <w:r w:rsidR="007C29A2">
          <w:rPr>
            <w:noProof/>
            <w:webHidden/>
          </w:rPr>
          <w:tab/>
        </w:r>
        <w:r w:rsidR="007C29A2">
          <w:rPr>
            <w:noProof/>
            <w:webHidden/>
          </w:rPr>
          <w:fldChar w:fldCharType="begin"/>
        </w:r>
        <w:r w:rsidR="007C29A2">
          <w:rPr>
            <w:noProof/>
            <w:webHidden/>
          </w:rPr>
          <w:instrText xml:space="preserve"> PAGEREF _Toc81738495 \h </w:instrText>
        </w:r>
        <w:r w:rsidR="007C29A2">
          <w:rPr>
            <w:noProof/>
            <w:webHidden/>
          </w:rPr>
        </w:r>
        <w:r w:rsidR="007C29A2">
          <w:rPr>
            <w:noProof/>
            <w:webHidden/>
          </w:rPr>
          <w:fldChar w:fldCharType="separate"/>
        </w:r>
        <w:r w:rsidR="007C29A2">
          <w:rPr>
            <w:noProof/>
            <w:webHidden/>
          </w:rPr>
          <w:t>127</w:t>
        </w:r>
        <w:r w:rsidR="007C29A2">
          <w:rPr>
            <w:noProof/>
            <w:webHidden/>
          </w:rPr>
          <w:fldChar w:fldCharType="end"/>
        </w:r>
      </w:hyperlink>
    </w:p>
    <w:p w14:paraId="3960AFF0" w14:textId="45CFDEA7"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96" w:history="1">
        <w:r w:rsidR="007C29A2" w:rsidRPr="00864071">
          <w:rPr>
            <w:rStyle w:val="Hypertextovodkaz"/>
            <w:noProof/>
          </w:rPr>
          <w:t>Tabulka 68</w:t>
        </w:r>
        <w:r w:rsidR="007C29A2">
          <w:rPr>
            <w:rFonts w:asciiTheme="minorHAnsi" w:eastAsiaTheme="minorEastAsia" w:hAnsiTheme="minorHAnsi"/>
            <w:noProof/>
            <w:sz w:val="24"/>
            <w:szCs w:val="24"/>
            <w:lang w:val="cs-CZ" w:eastAsia="cs-CZ"/>
          </w:rPr>
          <w:tab/>
        </w:r>
        <w:r w:rsidR="007C29A2" w:rsidRPr="00864071">
          <w:rPr>
            <w:rStyle w:val="Hypertextovodkaz"/>
            <w:noProof/>
          </w:rPr>
          <w:t>Ekonomika pěstování řepky olejné v 2018 až 2020 s výhledem do 2030</w:t>
        </w:r>
        <w:r w:rsidR="007C29A2">
          <w:rPr>
            <w:noProof/>
            <w:webHidden/>
          </w:rPr>
          <w:tab/>
        </w:r>
        <w:r w:rsidR="007C29A2">
          <w:rPr>
            <w:noProof/>
            <w:webHidden/>
          </w:rPr>
          <w:fldChar w:fldCharType="begin"/>
        </w:r>
        <w:r w:rsidR="007C29A2">
          <w:rPr>
            <w:noProof/>
            <w:webHidden/>
          </w:rPr>
          <w:instrText xml:space="preserve"> PAGEREF _Toc81738496 \h </w:instrText>
        </w:r>
        <w:r w:rsidR="007C29A2">
          <w:rPr>
            <w:noProof/>
            <w:webHidden/>
          </w:rPr>
        </w:r>
        <w:r w:rsidR="007C29A2">
          <w:rPr>
            <w:noProof/>
            <w:webHidden/>
          </w:rPr>
          <w:fldChar w:fldCharType="separate"/>
        </w:r>
        <w:r w:rsidR="007C29A2">
          <w:rPr>
            <w:noProof/>
            <w:webHidden/>
          </w:rPr>
          <w:t>129</w:t>
        </w:r>
        <w:r w:rsidR="007C29A2">
          <w:rPr>
            <w:noProof/>
            <w:webHidden/>
          </w:rPr>
          <w:fldChar w:fldCharType="end"/>
        </w:r>
      </w:hyperlink>
    </w:p>
    <w:p w14:paraId="4D4A521E" w14:textId="711BAF03"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97" w:history="1">
        <w:r w:rsidR="007C29A2" w:rsidRPr="00864071">
          <w:rPr>
            <w:rStyle w:val="Hypertextovodkaz"/>
            <w:rFonts w:eastAsiaTheme="majorEastAsia"/>
            <w:noProof/>
          </w:rPr>
          <w:t>Tabulka 69</w:t>
        </w:r>
        <w:r w:rsidR="007C29A2">
          <w:rPr>
            <w:rFonts w:asciiTheme="minorHAnsi" w:eastAsiaTheme="minorEastAsia" w:hAnsiTheme="minorHAnsi"/>
            <w:noProof/>
            <w:sz w:val="24"/>
            <w:szCs w:val="24"/>
            <w:lang w:val="cs-CZ" w:eastAsia="cs-CZ"/>
          </w:rPr>
          <w:tab/>
        </w:r>
        <w:r w:rsidR="007C29A2" w:rsidRPr="00864071">
          <w:rPr>
            <w:rStyle w:val="Hypertextovodkaz"/>
            <w:noProof/>
          </w:rPr>
          <w:t>Vybrané ukazatele výroby lnu na semeno (2011–2020)</w:t>
        </w:r>
        <w:r w:rsidR="007C29A2">
          <w:rPr>
            <w:noProof/>
            <w:webHidden/>
          </w:rPr>
          <w:tab/>
        </w:r>
        <w:r w:rsidR="007C29A2">
          <w:rPr>
            <w:noProof/>
            <w:webHidden/>
          </w:rPr>
          <w:fldChar w:fldCharType="begin"/>
        </w:r>
        <w:r w:rsidR="007C29A2">
          <w:rPr>
            <w:noProof/>
            <w:webHidden/>
          </w:rPr>
          <w:instrText xml:space="preserve"> PAGEREF _Toc81738497 \h </w:instrText>
        </w:r>
        <w:r w:rsidR="007C29A2">
          <w:rPr>
            <w:noProof/>
            <w:webHidden/>
          </w:rPr>
        </w:r>
        <w:r w:rsidR="007C29A2">
          <w:rPr>
            <w:noProof/>
            <w:webHidden/>
          </w:rPr>
          <w:fldChar w:fldCharType="separate"/>
        </w:r>
        <w:r w:rsidR="007C29A2">
          <w:rPr>
            <w:noProof/>
            <w:webHidden/>
          </w:rPr>
          <w:t>133</w:t>
        </w:r>
        <w:r w:rsidR="007C29A2">
          <w:rPr>
            <w:noProof/>
            <w:webHidden/>
          </w:rPr>
          <w:fldChar w:fldCharType="end"/>
        </w:r>
      </w:hyperlink>
    </w:p>
    <w:p w14:paraId="373D3120" w14:textId="7EA8AD02"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98" w:history="1">
        <w:r w:rsidR="007C29A2" w:rsidRPr="00864071">
          <w:rPr>
            <w:rStyle w:val="Hypertextovodkaz"/>
            <w:noProof/>
          </w:rPr>
          <w:t>Tabulka 70</w:t>
        </w:r>
        <w:r w:rsidR="007C29A2">
          <w:rPr>
            <w:rFonts w:asciiTheme="minorHAnsi" w:eastAsiaTheme="minorEastAsia" w:hAnsiTheme="minorHAnsi"/>
            <w:noProof/>
            <w:sz w:val="24"/>
            <w:szCs w:val="24"/>
            <w:lang w:val="cs-CZ" w:eastAsia="cs-CZ"/>
          </w:rPr>
          <w:tab/>
        </w:r>
        <w:r w:rsidR="007C29A2" w:rsidRPr="00864071">
          <w:rPr>
            <w:rStyle w:val="Hypertextovodkaz"/>
            <w:noProof/>
          </w:rPr>
          <w:t>Ekonomika pěstování lnu (2011 – 2020</w:t>
        </w:r>
        <w:r w:rsidR="007C29A2" w:rsidRPr="00864071">
          <w:rPr>
            <w:rStyle w:val="Hypertextovodkaz"/>
            <w:i/>
            <w:iCs/>
            <w:noProof/>
          </w:rPr>
          <w:t>)</w:t>
        </w:r>
        <w:r w:rsidR="007C29A2">
          <w:rPr>
            <w:noProof/>
            <w:webHidden/>
          </w:rPr>
          <w:tab/>
        </w:r>
        <w:r w:rsidR="007C29A2">
          <w:rPr>
            <w:noProof/>
            <w:webHidden/>
          </w:rPr>
          <w:fldChar w:fldCharType="begin"/>
        </w:r>
        <w:r w:rsidR="007C29A2">
          <w:rPr>
            <w:noProof/>
            <w:webHidden/>
          </w:rPr>
          <w:instrText xml:space="preserve"> PAGEREF _Toc81738498 \h </w:instrText>
        </w:r>
        <w:r w:rsidR="007C29A2">
          <w:rPr>
            <w:noProof/>
            <w:webHidden/>
          </w:rPr>
        </w:r>
        <w:r w:rsidR="007C29A2">
          <w:rPr>
            <w:noProof/>
            <w:webHidden/>
          </w:rPr>
          <w:fldChar w:fldCharType="separate"/>
        </w:r>
        <w:r w:rsidR="007C29A2">
          <w:rPr>
            <w:noProof/>
            <w:webHidden/>
          </w:rPr>
          <w:t>134</w:t>
        </w:r>
        <w:r w:rsidR="007C29A2">
          <w:rPr>
            <w:noProof/>
            <w:webHidden/>
          </w:rPr>
          <w:fldChar w:fldCharType="end"/>
        </w:r>
      </w:hyperlink>
    </w:p>
    <w:p w14:paraId="41926580" w14:textId="04669A90"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499" w:history="1">
        <w:r w:rsidR="007C29A2" w:rsidRPr="00864071">
          <w:rPr>
            <w:rStyle w:val="Hypertextovodkaz"/>
            <w:noProof/>
          </w:rPr>
          <w:t>Tabulka 71</w:t>
        </w:r>
        <w:r w:rsidR="007C29A2">
          <w:rPr>
            <w:rFonts w:asciiTheme="minorHAnsi" w:eastAsiaTheme="minorEastAsia" w:hAnsiTheme="minorHAnsi"/>
            <w:noProof/>
            <w:sz w:val="24"/>
            <w:szCs w:val="24"/>
            <w:lang w:val="cs-CZ" w:eastAsia="cs-CZ"/>
          </w:rPr>
          <w:tab/>
        </w:r>
        <w:r w:rsidR="007C29A2" w:rsidRPr="00864071">
          <w:rPr>
            <w:rStyle w:val="Hypertextovodkaz"/>
            <w:noProof/>
          </w:rPr>
          <w:t>Ekonomika pěstování konopí (2011 – 2020)</w:t>
        </w:r>
        <w:r w:rsidR="007C29A2">
          <w:rPr>
            <w:noProof/>
            <w:webHidden/>
          </w:rPr>
          <w:tab/>
        </w:r>
        <w:r w:rsidR="007C29A2">
          <w:rPr>
            <w:noProof/>
            <w:webHidden/>
          </w:rPr>
          <w:fldChar w:fldCharType="begin"/>
        </w:r>
        <w:r w:rsidR="007C29A2">
          <w:rPr>
            <w:noProof/>
            <w:webHidden/>
          </w:rPr>
          <w:instrText xml:space="preserve"> PAGEREF _Toc81738499 \h </w:instrText>
        </w:r>
        <w:r w:rsidR="007C29A2">
          <w:rPr>
            <w:noProof/>
            <w:webHidden/>
          </w:rPr>
        </w:r>
        <w:r w:rsidR="007C29A2">
          <w:rPr>
            <w:noProof/>
            <w:webHidden/>
          </w:rPr>
          <w:fldChar w:fldCharType="separate"/>
        </w:r>
        <w:r w:rsidR="007C29A2">
          <w:rPr>
            <w:noProof/>
            <w:webHidden/>
          </w:rPr>
          <w:t>135</w:t>
        </w:r>
        <w:r w:rsidR="007C29A2">
          <w:rPr>
            <w:noProof/>
            <w:webHidden/>
          </w:rPr>
          <w:fldChar w:fldCharType="end"/>
        </w:r>
      </w:hyperlink>
    </w:p>
    <w:p w14:paraId="284CC747" w14:textId="5902C65A"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00" w:history="1">
        <w:r w:rsidR="007C29A2" w:rsidRPr="00864071">
          <w:rPr>
            <w:rStyle w:val="Hypertextovodkaz"/>
            <w:noProof/>
          </w:rPr>
          <w:t>Tabulka 72</w:t>
        </w:r>
        <w:r w:rsidR="007C29A2">
          <w:rPr>
            <w:rFonts w:asciiTheme="minorHAnsi" w:eastAsiaTheme="minorEastAsia" w:hAnsiTheme="minorHAnsi"/>
            <w:noProof/>
            <w:sz w:val="24"/>
            <w:szCs w:val="24"/>
            <w:lang w:val="cs-CZ" w:eastAsia="cs-CZ"/>
          </w:rPr>
          <w:tab/>
        </w:r>
        <w:r w:rsidR="007C29A2" w:rsidRPr="00864071">
          <w:rPr>
            <w:rStyle w:val="Hypertextovodkaz"/>
            <w:noProof/>
          </w:rPr>
          <w:t>Zahraniční obchod - lněná semena, k setí</w:t>
        </w:r>
        <w:r w:rsidR="007C29A2">
          <w:rPr>
            <w:noProof/>
            <w:webHidden/>
          </w:rPr>
          <w:tab/>
        </w:r>
        <w:r w:rsidR="007C29A2">
          <w:rPr>
            <w:noProof/>
            <w:webHidden/>
          </w:rPr>
          <w:fldChar w:fldCharType="begin"/>
        </w:r>
        <w:r w:rsidR="007C29A2">
          <w:rPr>
            <w:noProof/>
            <w:webHidden/>
          </w:rPr>
          <w:instrText xml:space="preserve"> PAGEREF _Toc81738500 \h </w:instrText>
        </w:r>
        <w:r w:rsidR="007C29A2">
          <w:rPr>
            <w:noProof/>
            <w:webHidden/>
          </w:rPr>
        </w:r>
        <w:r w:rsidR="007C29A2">
          <w:rPr>
            <w:noProof/>
            <w:webHidden/>
          </w:rPr>
          <w:fldChar w:fldCharType="separate"/>
        </w:r>
        <w:r w:rsidR="007C29A2">
          <w:rPr>
            <w:noProof/>
            <w:webHidden/>
          </w:rPr>
          <w:t>138</w:t>
        </w:r>
        <w:r w:rsidR="007C29A2">
          <w:rPr>
            <w:noProof/>
            <w:webHidden/>
          </w:rPr>
          <w:fldChar w:fldCharType="end"/>
        </w:r>
      </w:hyperlink>
    </w:p>
    <w:p w14:paraId="2485B83A" w14:textId="5584FD53"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01" w:history="1">
        <w:r w:rsidR="007C29A2" w:rsidRPr="00864071">
          <w:rPr>
            <w:rStyle w:val="Hypertextovodkaz"/>
            <w:noProof/>
          </w:rPr>
          <w:t>Tabulka 73</w:t>
        </w:r>
        <w:r w:rsidR="007C29A2">
          <w:rPr>
            <w:rFonts w:asciiTheme="minorHAnsi" w:eastAsiaTheme="minorEastAsia" w:hAnsiTheme="minorHAnsi"/>
            <w:noProof/>
            <w:sz w:val="24"/>
            <w:szCs w:val="24"/>
            <w:lang w:val="cs-CZ" w:eastAsia="cs-CZ"/>
          </w:rPr>
          <w:tab/>
        </w:r>
        <w:r w:rsidR="007C29A2" w:rsidRPr="00864071">
          <w:rPr>
            <w:rStyle w:val="Hypertextovodkaz"/>
            <w:noProof/>
          </w:rPr>
          <w:t>Zahraniční obchod – lněná semena, k setí – hlavní obchodní partneři</w:t>
        </w:r>
        <w:r w:rsidR="007C29A2">
          <w:rPr>
            <w:noProof/>
            <w:webHidden/>
          </w:rPr>
          <w:tab/>
        </w:r>
        <w:r w:rsidR="007C29A2">
          <w:rPr>
            <w:noProof/>
            <w:webHidden/>
          </w:rPr>
          <w:fldChar w:fldCharType="begin"/>
        </w:r>
        <w:r w:rsidR="007C29A2">
          <w:rPr>
            <w:noProof/>
            <w:webHidden/>
          </w:rPr>
          <w:instrText xml:space="preserve"> PAGEREF _Toc81738501 \h </w:instrText>
        </w:r>
        <w:r w:rsidR="007C29A2">
          <w:rPr>
            <w:noProof/>
            <w:webHidden/>
          </w:rPr>
        </w:r>
        <w:r w:rsidR="007C29A2">
          <w:rPr>
            <w:noProof/>
            <w:webHidden/>
          </w:rPr>
          <w:fldChar w:fldCharType="separate"/>
        </w:r>
        <w:r w:rsidR="007C29A2">
          <w:rPr>
            <w:noProof/>
            <w:webHidden/>
          </w:rPr>
          <w:t>139</w:t>
        </w:r>
        <w:r w:rsidR="007C29A2">
          <w:rPr>
            <w:noProof/>
            <w:webHidden/>
          </w:rPr>
          <w:fldChar w:fldCharType="end"/>
        </w:r>
      </w:hyperlink>
    </w:p>
    <w:p w14:paraId="38F93CD9" w14:textId="43B9E57D"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02" w:history="1">
        <w:r w:rsidR="007C29A2" w:rsidRPr="00864071">
          <w:rPr>
            <w:rStyle w:val="Hypertextovodkaz"/>
            <w:noProof/>
          </w:rPr>
          <w:t>Tabulka 74</w:t>
        </w:r>
        <w:r w:rsidR="007C29A2">
          <w:rPr>
            <w:rFonts w:asciiTheme="minorHAnsi" w:eastAsiaTheme="minorEastAsia" w:hAnsiTheme="minorHAnsi"/>
            <w:noProof/>
            <w:sz w:val="24"/>
            <w:szCs w:val="24"/>
            <w:lang w:val="cs-CZ" w:eastAsia="cs-CZ"/>
          </w:rPr>
          <w:tab/>
        </w:r>
        <w:r w:rsidR="007C29A2" w:rsidRPr="00864071">
          <w:rPr>
            <w:rStyle w:val="Hypertextovodkaz"/>
            <w:noProof/>
          </w:rPr>
          <w:t>Zahraniční obchod - lněná semena (kromě semen k setí)</w:t>
        </w:r>
        <w:r w:rsidR="007C29A2">
          <w:rPr>
            <w:noProof/>
            <w:webHidden/>
          </w:rPr>
          <w:tab/>
        </w:r>
        <w:r w:rsidR="007C29A2">
          <w:rPr>
            <w:noProof/>
            <w:webHidden/>
          </w:rPr>
          <w:fldChar w:fldCharType="begin"/>
        </w:r>
        <w:r w:rsidR="007C29A2">
          <w:rPr>
            <w:noProof/>
            <w:webHidden/>
          </w:rPr>
          <w:instrText xml:space="preserve"> PAGEREF _Toc81738502 \h </w:instrText>
        </w:r>
        <w:r w:rsidR="007C29A2">
          <w:rPr>
            <w:noProof/>
            <w:webHidden/>
          </w:rPr>
        </w:r>
        <w:r w:rsidR="007C29A2">
          <w:rPr>
            <w:noProof/>
            <w:webHidden/>
          </w:rPr>
          <w:fldChar w:fldCharType="separate"/>
        </w:r>
        <w:r w:rsidR="007C29A2">
          <w:rPr>
            <w:noProof/>
            <w:webHidden/>
          </w:rPr>
          <w:t>139</w:t>
        </w:r>
        <w:r w:rsidR="007C29A2">
          <w:rPr>
            <w:noProof/>
            <w:webHidden/>
          </w:rPr>
          <w:fldChar w:fldCharType="end"/>
        </w:r>
      </w:hyperlink>
    </w:p>
    <w:p w14:paraId="4CA01803" w14:textId="21EFB857"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03" w:history="1">
        <w:r w:rsidR="007C29A2" w:rsidRPr="00864071">
          <w:rPr>
            <w:rStyle w:val="Hypertextovodkaz"/>
            <w:noProof/>
          </w:rPr>
          <w:t>Tabulka 75</w:t>
        </w:r>
        <w:r w:rsidR="007C29A2">
          <w:rPr>
            <w:rFonts w:asciiTheme="minorHAnsi" w:eastAsiaTheme="minorEastAsia" w:hAnsiTheme="minorHAnsi"/>
            <w:noProof/>
            <w:sz w:val="24"/>
            <w:szCs w:val="24"/>
            <w:lang w:val="cs-CZ" w:eastAsia="cs-CZ"/>
          </w:rPr>
          <w:tab/>
        </w:r>
        <w:r w:rsidR="007C29A2" w:rsidRPr="00864071">
          <w:rPr>
            <w:rStyle w:val="Hypertextovodkaz"/>
            <w:noProof/>
          </w:rPr>
          <w:t>Zahraniční obchod - lněná semena, kromě semen k setí – hlavní obchodní partneři</w:t>
        </w:r>
        <w:r w:rsidR="007C29A2">
          <w:rPr>
            <w:noProof/>
            <w:webHidden/>
          </w:rPr>
          <w:tab/>
        </w:r>
        <w:r w:rsidR="007C29A2">
          <w:rPr>
            <w:noProof/>
            <w:webHidden/>
          </w:rPr>
          <w:fldChar w:fldCharType="begin"/>
        </w:r>
        <w:r w:rsidR="007C29A2">
          <w:rPr>
            <w:noProof/>
            <w:webHidden/>
          </w:rPr>
          <w:instrText xml:space="preserve"> PAGEREF _Toc81738503 \h </w:instrText>
        </w:r>
        <w:r w:rsidR="007C29A2">
          <w:rPr>
            <w:noProof/>
            <w:webHidden/>
          </w:rPr>
        </w:r>
        <w:r w:rsidR="007C29A2">
          <w:rPr>
            <w:noProof/>
            <w:webHidden/>
          </w:rPr>
          <w:fldChar w:fldCharType="separate"/>
        </w:r>
        <w:r w:rsidR="007C29A2">
          <w:rPr>
            <w:noProof/>
            <w:webHidden/>
          </w:rPr>
          <w:t>141</w:t>
        </w:r>
        <w:r w:rsidR="007C29A2">
          <w:rPr>
            <w:noProof/>
            <w:webHidden/>
          </w:rPr>
          <w:fldChar w:fldCharType="end"/>
        </w:r>
      </w:hyperlink>
    </w:p>
    <w:p w14:paraId="34C61A5C" w14:textId="71024877"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04" w:history="1">
        <w:r w:rsidR="007C29A2" w:rsidRPr="00864071">
          <w:rPr>
            <w:rStyle w:val="Hypertextovodkaz"/>
            <w:noProof/>
          </w:rPr>
          <w:t>Tabulka 76</w:t>
        </w:r>
        <w:r w:rsidR="007C29A2">
          <w:rPr>
            <w:rFonts w:asciiTheme="minorHAnsi" w:eastAsiaTheme="minorEastAsia" w:hAnsiTheme="minorHAnsi"/>
            <w:noProof/>
            <w:sz w:val="24"/>
            <w:szCs w:val="24"/>
            <w:lang w:val="cs-CZ" w:eastAsia="cs-CZ"/>
          </w:rPr>
          <w:tab/>
        </w:r>
        <w:r w:rsidR="007C29A2" w:rsidRPr="00864071">
          <w:rPr>
            <w:rStyle w:val="Hypertextovodkaz"/>
            <w:noProof/>
          </w:rPr>
          <w:t>Zahraniční obchod - Len ostatní</w:t>
        </w:r>
        <w:r w:rsidR="007C29A2">
          <w:rPr>
            <w:noProof/>
            <w:webHidden/>
          </w:rPr>
          <w:tab/>
        </w:r>
        <w:r w:rsidR="007C29A2">
          <w:rPr>
            <w:noProof/>
            <w:webHidden/>
          </w:rPr>
          <w:fldChar w:fldCharType="begin"/>
        </w:r>
        <w:r w:rsidR="007C29A2">
          <w:rPr>
            <w:noProof/>
            <w:webHidden/>
          </w:rPr>
          <w:instrText xml:space="preserve"> PAGEREF _Toc81738504 \h </w:instrText>
        </w:r>
        <w:r w:rsidR="007C29A2">
          <w:rPr>
            <w:noProof/>
            <w:webHidden/>
          </w:rPr>
        </w:r>
        <w:r w:rsidR="007C29A2">
          <w:rPr>
            <w:noProof/>
            <w:webHidden/>
          </w:rPr>
          <w:fldChar w:fldCharType="separate"/>
        </w:r>
        <w:r w:rsidR="007C29A2">
          <w:rPr>
            <w:noProof/>
            <w:webHidden/>
          </w:rPr>
          <w:t>141</w:t>
        </w:r>
        <w:r w:rsidR="007C29A2">
          <w:rPr>
            <w:noProof/>
            <w:webHidden/>
          </w:rPr>
          <w:fldChar w:fldCharType="end"/>
        </w:r>
      </w:hyperlink>
    </w:p>
    <w:p w14:paraId="2EEE0B26" w14:textId="09CCC21F"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05" w:history="1">
        <w:r w:rsidR="007C29A2" w:rsidRPr="00864071">
          <w:rPr>
            <w:rStyle w:val="Hypertextovodkaz"/>
            <w:noProof/>
          </w:rPr>
          <w:t>Tabulka 77</w:t>
        </w:r>
        <w:r w:rsidR="007C29A2">
          <w:rPr>
            <w:rFonts w:asciiTheme="minorHAnsi" w:eastAsiaTheme="minorEastAsia" w:hAnsiTheme="minorHAnsi"/>
            <w:noProof/>
            <w:sz w:val="24"/>
            <w:szCs w:val="24"/>
            <w:lang w:val="cs-CZ" w:eastAsia="cs-CZ"/>
          </w:rPr>
          <w:tab/>
        </w:r>
        <w:r w:rsidR="007C29A2" w:rsidRPr="00864071">
          <w:rPr>
            <w:rStyle w:val="Hypertextovodkaz"/>
            <w:noProof/>
          </w:rPr>
          <w:t>Zahraniční obchod – len ostatní – hlavní obchodní partneři</w:t>
        </w:r>
        <w:r w:rsidR="007C29A2">
          <w:rPr>
            <w:noProof/>
            <w:webHidden/>
          </w:rPr>
          <w:tab/>
        </w:r>
        <w:r w:rsidR="007C29A2">
          <w:rPr>
            <w:noProof/>
            <w:webHidden/>
          </w:rPr>
          <w:fldChar w:fldCharType="begin"/>
        </w:r>
        <w:r w:rsidR="007C29A2">
          <w:rPr>
            <w:noProof/>
            <w:webHidden/>
          </w:rPr>
          <w:instrText xml:space="preserve"> PAGEREF _Toc81738505 \h </w:instrText>
        </w:r>
        <w:r w:rsidR="007C29A2">
          <w:rPr>
            <w:noProof/>
            <w:webHidden/>
          </w:rPr>
        </w:r>
        <w:r w:rsidR="007C29A2">
          <w:rPr>
            <w:noProof/>
            <w:webHidden/>
          </w:rPr>
          <w:fldChar w:fldCharType="separate"/>
        </w:r>
        <w:r w:rsidR="007C29A2">
          <w:rPr>
            <w:noProof/>
            <w:webHidden/>
          </w:rPr>
          <w:t>143</w:t>
        </w:r>
        <w:r w:rsidR="007C29A2">
          <w:rPr>
            <w:noProof/>
            <w:webHidden/>
          </w:rPr>
          <w:fldChar w:fldCharType="end"/>
        </w:r>
      </w:hyperlink>
    </w:p>
    <w:p w14:paraId="7D2E6E78" w14:textId="0EF2D2F1"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06" w:history="1">
        <w:r w:rsidR="007C29A2" w:rsidRPr="00864071">
          <w:rPr>
            <w:rStyle w:val="Hypertextovodkaz"/>
            <w:noProof/>
          </w:rPr>
          <w:t>Tabulka 78</w:t>
        </w:r>
        <w:r w:rsidR="007C29A2">
          <w:rPr>
            <w:rFonts w:asciiTheme="minorHAnsi" w:eastAsiaTheme="minorEastAsia" w:hAnsiTheme="minorHAnsi"/>
            <w:noProof/>
            <w:sz w:val="24"/>
            <w:szCs w:val="24"/>
            <w:lang w:val="cs-CZ" w:eastAsia="cs-CZ"/>
          </w:rPr>
          <w:tab/>
        </w:r>
        <w:r w:rsidR="007C29A2" w:rsidRPr="00864071">
          <w:rPr>
            <w:rStyle w:val="Hypertextovodkaz"/>
            <w:noProof/>
          </w:rPr>
          <w:t>Zahraniční obchod – Konopí</w:t>
        </w:r>
        <w:r w:rsidR="007C29A2">
          <w:rPr>
            <w:noProof/>
            <w:webHidden/>
          </w:rPr>
          <w:tab/>
        </w:r>
        <w:r w:rsidR="007C29A2">
          <w:rPr>
            <w:noProof/>
            <w:webHidden/>
          </w:rPr>
          <w:fldChar w:fldCharType="begin"/>
        </w:r>
        <w:r w:rsidR="007C29A2">
          <w:rPr>
            <w:noProof/>
            <w:webHidden/>
          </w:rPr>
          <w:instrText xml:space="preserve"> PAGEREF _Toc81738506 \h </w:instrText>
        </w:r>
        <w:r w:rsidR="007C29A2">
          <w:rPr>
            <w:noProof/>
            <w:webHidden/>
          </w:rPr>
        </w:r>
        <w:r w:rsidR="007C29A2">
          <w:rPr>
            <w:noProof/>
            <w:webHidden/>
          </w:rPr>
          <w:fldChar w:fldCharType="separate"/>
        </w:r>
        <w:r w:rsidR="007C29A2">
          <w:rPr>
            <w:noProof/>
            <w:webHidden/>
          </w:rPr>
          <w:t>143</w:t>
        </w:r>
        <w:r w:rsidR="007C29A2">
          <w:rPr>
            <w:noProof/>
            <w:webHidden/>
          </w:rPr>
          <w:fldChar w:fldCharType="end"/>
        </w:r>
      </w:hyperlink>
    </w:p>
    <w:p w14:paraId="7950DE3D" w14:textId="00E82434"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07" w:history="1">
        <w:r w:rsidR="007C29A2" w:rsidRPr="00864071">
          <w:rPr>
            <w:rStyle w:val="Hypertextovodkaz"/>
            <w:noProof/>
          </w:rPr>
          <w:t>Tabulka 79</w:t>
        </w:r>
        <w:r w:rsidR="007C29A2">
          <w:rPr>
            <w:rFonts w:asciiTheme="minorHAnsi" w:eastAsiaTheme="minorEastAsia" w:hAnsiTheme="minorHAnsi"/>
            <w:noProof/>
            <w:sz w:val="24"/>
            <w:szCs w:val="24"/>
            <w:lang w:val="cs-CZ" w:eastAsia="cs-CZ"/>
          </w:rPr>
          <w:tab/>
        </w:r>
        <w:r w:rsidR="007C29A2" w:rsidRPr="00864071">
          <w:rPr>
            <w:rStyle w:val="Hypertextovodkaz"/>
            <w:noProof/>
          </w:rPr>
          <w:t>Zahraniční obchod – Konopí – obchodní partneři</w:t>
        </w:r>
        <w:r w:rsidR="007C29A2">
          <w:rPr>
            <w:noProof/>
            <w:webHidden/>
          </w:rPr>
          <w:tab/>
        </w:r>
        <w:r w:rsidR="007C29A2">
          <w:rPr>
            <w:noProof/>
            <w:webHidden/>
          </w:rPr>
          <w:fldChar w:fldCharType="begin"/>
        </w:r>
        <w:r w:rsidR="007C29A2">
          <w:rPr>
            <w:noProof/>
            <w:webHidden/>
          </w:rPr>
          <w:instrText xml:space="preserve"> PAGEREF _Toc81738507 \h </w:instrText>
        </w:r>
        <w:r w:rsidR="007C29A2">
          <w:rPr>
            <w:noProof/>
            <w:webHidden/>
          </w:rPr>
        </w:r>
        <w:r w:rsidR="007C29A2">
          <w:rPr>
            <w:noProof/>
            <w:webHidden/>
          </w:rPr>
          <w:fldChar w:fldCharType="separate"/>
        </w:r>
        <w:r w:rsidR="007C29A2">
          <w:rPr>
            <w:noProof/>
            <w:webHidden/>
          </w:rPr>
          <w:t>145</w:t>
        </w:r>
        <w:r w:rsidR="007C29A2">
          <w:rPr>
            <w:noProof/>
            <w:webHidden/>
          </w:rPr>
          <w:fldChar w:fldCharType="end"/>
        </w:r>
      </w:hyperlink>
    </w:p>
    <w:p w14:paraId="2E6AB2B0" w14:textId="207D0D63"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08" w:history="1">
        <w:r w:rsidR="007C29A2" w:rsidRPr="00864071">
          <w:rPr>
            <w:rStyle w:val="Hypertextovodkaz"/>
            <w:noProof/>
          </w:rPr>
          <w:t>Tabulka 80</w:t>
        </w:r>
        <w:r w:rsidR="007C29A2">
          <w:rPr>
            <w:rFonts w:asciiTheme="minorHAnsi" w:eastAsiaTheme="minorEastAsia" w:hAnsiTheme="minorHAnsi"/>
            <w:noProof/>
            <w:sz w:val="24"/>
            <w:szCs w:val="24"/>
            <w:lang w:val="cs-CZ" w:eastAsia="cs-CZ"/>
          </w:rPr>
          <w:tab/>
        </w:r>
        <w:r w:rsidR="007C29A2" w:rsidRPr="00864071">
          <w:rPr>
            <w:rStyle w:val="Hypertextovodkaz"/>
            <w:noProof/>
          </w:rPr>
          <w:t>Zahraniční obchod - Konopná semena, též drcená (kromě semen k setí)</w:t>
        </w:r>
        <w:r w:rsidR="007C29A2">
          <w:rPr>
            <w:noProof/>
            <w:webHidden/>
          </w:rPr>
          <w:tab/>
        </w:r>
        <w:r w:rsidR="007C29A2">
          <w:rPr>
            <w:noProof/>
            <w:webHidden/>
          </w:rPr>
          <w:fldChar w:fldCharType="begin"/>
        </w:r>
        <w:r w:rsidR="007C29A2">
          <w:rPr>
            <w:noProof/>
            <w:webHidden/>
          </w:rPr>
          <w:instrText xml:space="preserve"> PAGEREF _Toc81738508 \h </w:instrText>
        </w:r>
        <w:r w:rsidR="007C29A2">
          <w:rPr>
            <w:noProof/>
            <w:webHidden/>
          </w:rPr>
        </w:r>
        <w:r w:rsidR="007C29A2">
          <w:rPr>
            <w:noProof/>
            <w:webHidden/>
          </w:rPr>
          <w:fldChar w:fldCharType="separate"/>
        </w:r>
        <w:r w:rsidR="007C29A2">
          <w:rPr>
            <w:noProof/>
            <w:webHidden/>
          </w:rPr>
          <w:t>145</w:t>
        </w:r>
        <w:r w:rsidR="007C29A2">
          <w:rPr>
            <w:noProof/>
            <w:webHidden/>
          </w:rPr>
          <w:fldChar w:fldCharType="end"/>
        </w:r>
      </w:hyperlink>
    </w:p>
    <w:p w14:paraId="4E55CC66" w14:textId="33920036"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09" w:history="1">
        <w:r w:rsidR="007C29A2" w:rsidRPr="00864071">
          <w:rPr>
            <w:rStyle w:val="Hypertextovodkaz"/>
            <w:noProof/>
          </w:rPr>
          <w:t>Tabulka 81</w:t>
        </w:r>
        <w:r w:rsidR="007C29A2">
          <w:rPr>
            <w:rFonts w:asciiTheme="minorHAnsi" w:eastAsiaTheme="minorEastAsia" w:hAnsiTheme="minorHAnsi"/>
            <w:noProof/>
            <w:sz w:val="24"/>
            <w:szCs w:val="24"/>
            <w:lang w:val="cs-CZ" w:eastAsia="cs-CZ"/>
          </w:rPr>
          <w:tab/>
        </w:r>
        <w:r w:rsidR="007C29A2" w:rsidRPr="00864071">
          <w:rPr>
            <w:rStyle w:val="Hypertextovodkaz"/>
            <w:noProof/>
          </w:rPr>
          <w:t>Zahraniční obchod – Konopná semena – obchodní partneři</w:t>
        </w:r>
        <w:r w:rsidR="007C29A2">
          <w:rPr>
            <w:noProof/>
            <w:webHidden/>
          </w:rPr>
          <w:tab/>
        </w:r>
        <w:r w:rsidR="007C29A2">
          <w:rPr>
            <w:noProof/>
            <w:webHidden/>
          </w:rPr>
          <w:fldChar w:fldCharType="begin"/>
        </w:r>
        <w:r w:rsidR="007C29A2">
          <w:rPr>
            <w:noProof/>
            <w:webHidden/>
          </w:rPr>
          <w:instrText xml:space="preserve"> PAGEREF _Toc81738509 \h </w:instrText>
        </w:r>
        <w:r w:rsidR="007C29A2">
          <w:rPr>
            <w:noProof/>
            <w:webHidden/>
          </w:rPr>
        </w:r>
        <w:r w:rsidR="007C29A2">
          <w:rPr>
            <w:noProof/>
            <w:webHidden/>
          </w:rPr>
          <w:fldChar w:fldCharType="separate"/>
        </w:r>
        <w:r w:rsidR="007C29A2">
          <w:rPr>
            <w:noProof/>
            <w:webHidden/>
          </w:rPr>
          <w:t>147</w:t>
        </w:r>
        <w:r w:rsidR="007C29A2">
          <w:rPr>
            <w:noProof/>
            <w:webHidden/>
          </w:rPr>
          <w:fldChar w:fldCharType="end"/>
        </w:r>
      </w:hyperlink>
    </w:p>
    <w:p w14:paraId="4C8F4350" w14:textId="2EE2AC81"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10" w:history="1">
        <w:r w:rsidR="007C29A2" w:rsidRPr="00864071">
          <w:rPr>
            <w:rStyle w:val="Hypertextovodkaz"/>
            <w:noProof/>
          </w:rPr>
          <w:t>Tabulka 82</w:t>
        </w:r>
        <w:r w:rsidR="007C29A2">
          <w:rPr>
            <w:rFonts w:asciiTheme="minorHAnsi" w:eastAsiaTheme="minorEastAsia" w:hAnsiTheme="minorHAnsi"/>
            <w:noProof/>
            <w:sz w:val="24"/>
            <w:szCs w:val="24"/>
            <w:lang w:val="cs-CZ" w:eastAsia="cs-CZ"/>
          </w:rPr>
          <w:tab/>
        </w:r>
        <w:r w:rsidR="007C29A2" w:rsidRPr="00864071">
          <w:rPr>
            <w:rStyle w:val="Hypertextovodkaz"/>
            <w:noProof/>
          </w:rPr>
          <w:t>Dotační podpory lnu 2011-2020</w:t>
        </w:r>
        <w:r w:rsidR="007C29A2">
          <w:rPr>
            <w:noProof/>
            <w:webHidden/>
          </w:rPr>
          <w:tab/>
        </w:r>
        <w:r w:rsidR="007C29A2">
          <w:rPr>
            <w:noProof/>
            <w:webHidden/>
          </w:rPr>
          <w:fldChar w:fldCharType="begin"/>
        </w:r>
        <w:r w:rsidR="007C29A2">
          <w:rPr>
            <w:noProof/>
            <w:webHidden/>
          </w:rPr>
          <w:instrText xml:space="preserve"> PAGEREF _Toc81738510 \h </w:instrText>
        </w:r>
        <w:r w:rsidR="007C29A2">
          <w:rPr>
            <w:noProof/>
            <w:webHidden/>
          </w:rPr>
        </w:r>
        <w:r w:rsidR="007C29A2">
          <w:rPr>
            <w:noProof/>
            <w:webHidden/>
          </w:rPr>
          <w:fldChar w:fldCharType="separate"/>
        </w:r>
        <w:r w:rsidR="007C29A2">
          <w:rPr>
            <w:noProof/>
            <w:webHidden/>
          </w:rPr>
          <w:t>148</w:t>
        </w:r>
        <w:r w:rsidR="007C29A2">
          <w:rPr>
            <w:noProof/>
            <w:webHidden/>
          </w:rPr>
          <w:fldChar w:fldCharType="end"/>
        </w:r>
      </w:hyperlink>
    </w:p>
    <w:p w14:paraId="2F16413C" w14:textId="5762984A"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11" w:history="1">
        <w:r w:rsidR="007C29A2" w:rsidRPr="00864071">
          <w:rPr>
            <w:rStyle w:val="Hypertextovodkaz"/>
            <w:noProof/>
          </w:rPr>
          <w:t>Tabulka 83</w:t>
        </w:r>
        <w:r w:rsidR="007C29A2">
          <w:rPr>
            <w:rFonts w:asciiTheme="minorHAnsi" w:eastAsiaTheme="minorEastAsia" w:hAnsiTheme="minorHAnsi"/>
            <w:noProof/>
            <w:sz w:val="24"/>
            <w:szCs w:val="24"/>
            <w:lang w:val="cs-CZ" w:eastAsia="cs-CZ"/>
          </w:rPr>
          <w:tab/>
        </w:r>
        <w:r w:rsidR="007C29A2" w:rsidRPr="00864071">
          <w:rPr>
            <w:rStyle w:val="Hypertextovodkaz"/>
            <w:noProof/>
          </w:rPr>
          <w:t>Dotační podpory konopí 2011-2020</w:t>
        </w:r>
        <w:r w:rsidR="007C29A2">
          <w:rPr>
            <w:noProof/>
            <w:webHidden/>
          </w:rPr>
          <w:tab/>
        </w:r>
        <w:r w:rsidR="007C29A2">
          <w:rPr>
            <w:noProof/>
            <w:webHidden/>
          </w:rPr>
          <w:fldChar w:fldCharType="begin"/>
        </w:r>
        <w:r w:rsidR="007C29A2">
          <w:rPr>
            <w:noProof/>
            <w:webHidden/>
          </w:rPr>
          <w:instrText xml:space="preserve"> PAGEREF _Toc81738511 \h </w:instrText>
        </w:r>
        <w:r w:rsidR="007C29A2">
          <w:rPr>
            <w:noProof/>
            <w:webHidden/>
          </w:rPr>
        </w:r>
        <w:r w:rsidR="007C29A2">
          <w:rPr>
            <w:noProof/>
            <w:webHidden/>
          </w:rPr>
          <w:fldChar w:fldCharType="separate"/>
        </w:r>
        <w:r w:rsidR="007C29A2">
          <w:rPr>
            <w:noProof/>
            <w:webHidden/>
          </w:rPr>
          <w:t>149</w:t>
        </w:r>
        <w:r w:rsidR="007C29A2">
          <w:rPr>
            <w:noProof/>
            <w:webHidden/>
          </w:rPr>
          <w:fldChar w:fldCharType="end"/>
        </w:r>
      </w:hyperlink>
    </w:p>
    <w:p w14:paraId="03D1673A" w14:textId="3A269F36"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12" w:history="1">
        <w:r w:rsidR="007C29A2" w:rsidRPr="00864071">
          <w:rPr>
            <w:rStyle w:val="Hypertextovodkaz"/>
            <w:noProof/>
          </w:rPr>
          <w:t>Tabulka 84</w:t>
        </w:r>
        <w:r w:rsidR="007C29A2">
          <w:rPr>
            <w:rFonts w:asciiTheme="minorHAnsi" w:eastAsiaTheme="minorEastAsia" w:hAnsiTheme="minorHAnsi"/>
            <w:noProof/>
            <w:sz w:val="24"/>
            <w:szCs w:val="24"/>
            <w:lang w:val="cs-CZ" w:eastAsia="cs-CZ"/>
          </w:rPr>
          <w:tab/>
        </w:r>
        <w:r w:rsidR="007C29A2" w:rsidRPr="00864071">
          <w:rPr>
            <w:rStyle w:val="Hypertextovodkaz"/>
            <w:noProof/>
          </w:rPr>
          <w:t>Teorie změny – Len olejný</w:t>
        </w:r>
        <w:r w:rsidR="007C29A2">
          <w:rPr>
            <w:noProof/>
            <w:webHidden/>
          </w:rPr>
          <w:tab/>
        </w:r>
        <w:r w:rsidR="007C29A2">
          <w:rPr>
            <w:noProof/>
            <w:webHidden/>
          </w:rPr>
          <w:fldChar w:fldCharType="begin"/>
        </w:r>
        <w:r w:rsidR="007C29A2">
          <w:rPr>
            <w:noProof/>
            <w:webHidden/>
          </w:rPr>
          <w:instrText xml:space="preserve"> PAGEREF _Toc81738512 \h </w:instrText>
        </w:r>
        <w:r w:rsidR="007C29A2">
          <w:rPr>
            <w:noProof/>
            <w:webHidden/>
          </w:rPr>
        </w:r>
        <w:r w:rsidR="007C29A2">
          <w:rPr>
            <w:noProof/>
            <w:webHidden/>
          </w:rPr>
          <w:fldChar w:fldCharType="separate"/>
        </w:r>
        <w:r w:rsidR="007C29A2">
          <w:rPr>
            <w:noProof/>
            <w:webHidden/>
          </w:rPr>
          <w:t>152</w:t>
        </w:r>
        <w:r w:rsidR="007C29A2">
          <w:rPr>
            <w:noProof/>
            <w:webHidden/>
          </w:rPr>
          <w:fldChar w:fldCharType="end"/>
        </w:r>
      </w:hyperlink>
    </w:p>
    <w:p w14:paraId="1371DA0A" w14:textId="5161A537"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13" w:history="1">
        <w:r w:rsidR="007C29A2" w:rsidRPr="00864071">
          <w:rPr>
            <w:rStyle w:val="Hypertextovodkaz"/>
            <w:noProof/>
          </w:rPr>
          <w:t>Tabulka 85</w:t>
        </w:r>
        <w:r w:rsidR="007C29A2">
          <w:rPr>
            <w:rFonts w:asciiTheme="minorHAnsi" w:eastAsiaTheme="minorEastAsia" w:hAnsiTheme="minorHAnsi"/>
            <w:noProof/>
            <w:sz w:val="24"/>
            <w:szCs w:val="24"/>
            <w:lang w:val="cs-CZ" w:eastAsia="cs-CZ"/>
          </w:rPr>
          <w:tab/>
        </w:r>
        <w:r w:rsidR="007C29A2" w:rsidRPr="00864071">
          <w:rPr>
            <w:rStyle w:val="Hypertextovodkaz"/>
            <w:noProof/>
          </w:rPr>
          <w:t>Teorie změny – Konopí seté</w:t>
        </w:r>
        <w:r w:rsidR="007C29A2">
          <w:rPr>
            <w:noProof/>
            <w:webHidden/>
          </w:rPr>
          <w:tab/>
        </w:r>
        <w:r w:rsidR="007C29A2">
          <w:rPr>
            <w:noProof/>
            <w:webHidden/>
          </w:rPr>
          <w:fldChar w:fldCharType="begin"/>
        </w:r>
        <w:r w:rsidR="007C29A2">
          <w:rPr>
            <w:noProof/>
            <w:webHidden/>
          </w:rPr>
          <w:instrText xml:space="preserve"> PAGEREF _Toc81738513 \h </w:instrText>
        </w:r>
        <w:r w:rsidR="007C29A2">
          <w:rPr>
            <w:noProof/>
            <w:webHidden/>
          </w:rPr>
        </w:r>
        <w:r w:rsidR="007C29A2">
          <w:rPr>
            <w:noProof/>
            <w:webHidden/>
          </w:rPr>
          <w:fldChar w:fldCharType="separate"/>
        </w:r>
        <w:r w:rsidR="007C29A2">
          <w:rPr>
            <w:noProof/>
            <w:webHidden/>
          </w:rPr>
          <w:t>152</w:t>
        </w:r>
        <w:r w:rsidR="007C29A2">
          <w:rPr>
            <w:noProof/>
            <w:webHidden/>
          </w:rPr>
          <w:fldChar w:fldCharType="end"/>
        </w:r>
      </w:hyperlink>
    </w:p>
    <w:p w14:paraId="11C66D6E" w14:textId="7CE3FC27"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14" w:history="1">
        <w:r w:rsidR="007C29A2" w:rsidRPr="00864071">
          <w:rPr>
            <w:rStyle w:val="Hypertextovodkaz"/>
            <w:iCs/>
            <w:noProof/>
          </w:rPr>
          <w:t>Tabulka 86</w:t>
        </w:r>
        <w:r w:rsidR="007C29A2">
          <w:rPr>
            <w:rFonts w:asciiTheme="minorHAnsi" w:eastAsiaTheme="minorEastAsia" w:hAnsiTheme="minorHAnsi"/>
            <w:noProof/>
            <w:sz w:val="24"/>
            <w:szCs w:val="24"/>
            <w:lang w:val="cs-CZ" w:eastAsia="cs-CZ"/>
          </w:rPr>
          <w:tab/>
        </w:r>
        <w:r w:rsidR="007C29A2" w:rsidRPr="00864071">
          <w:rPr>
            <w:rStyle w:val="Hypertextovodkaz"/>
            <w:iCs/>
            <w:noProof/>
          </w:rPr>
          <w:t>Trávy na semeno (ha)</w:t>
        </w:r>
        <w:r w:rsidR="007C29A2">
          <w:rPr>
            <w:noProof/>
            <w:webHidden/>
          </w:rPr>
          <w:tab/>
        </w:r>
        <w:r w:rsidR="007C29A2">
          <w:rPr>
            <w:noProof/>
            <w:webHidden/>
          </w:rPr>
          <w:fldChar w:fldCharType="begin"/>
        </w:r>
        <w:r w:rsidR="007C29A2">
          <w:rPr>
            <w:noProof/>
            <w:webHidden/>
          </w:rPr>
          <w:instrText xml:space="preserve"> PAGEREF _Toc81738514 \h </w:instrText>
        </w:r>
        <w:r w:rsidR="007C29A2">
          <w:rPr>
            <w:noProof/>
            <w:webHidden/>
          </w:rPr>
        </w:r>
        <w:r w:rsidR="007C29A2">
          <w:rPr>
            <w:noProof/>
            <w:webHidden/>
          </w:rPr>
          <w:fldChar w:fldCharType="separate"/>
        </w:r>
        <w:r w:rsidR="007C29A2">
          <w:rPr>
            <w:noProof/>
            <w:webHidden/>
          </w:rPr>
          <w:t>156</w:t>
        </w:r>
        <w:r w:rsidR="007C29A2">
          <w:rPr>
            <w:noProof/>
            <w:webHidden/>
          </w:rPr>
          <w:fldChar w:fldCharType="end"/>
        </w:r>
      </w:hyperlink>
    </w:p>
    <w:p w14:paraId="0460C67E" w14:textId="559F7F43"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15" w:history="1">
        <w:r w:rsidR="007C29A2" w:rsidRPr="00864071">
          <w:rPr>
            <w:rStyle w:val="Hypertextovodkaz"/>
            <w:rFonts w:eastAsia="Calibri"/>
            <w:noProof/>
          </w:rPr>
          <w:t>Tabulka 87</w:t>
        </w:r>
        <w:r w:rsidR="007C29A2">
          <w:rPr>
            <w:rFonts w:asciiTheme="minorHAnsi" w:eastAsiaTheme="minorEastAsia" w:hAnsiTheme="minorHAnsi"/>
            <w:noProof/>
            <w:sz w:val="24"/>
            <w:szCs w:val="24"/>
            <w:lang w:val="cs-CZ" w:eastAsia="cs-CZ"/>
          </w:rPr>
          <w:tab/>
        </w:r>
        <w:r w:rsidR="007C29A2" w:rsidRPr="00864071">
          <w:rPr>
            <w:rStyle w:val="Hypertextovodkaz"/>
            <w:rFonts w:eastAsia="Calibri"/>
            <w:noProof/>
          </w:rPr>
          <w:t>Průměrné výnosy semen trav a jetelovin (kg/ha)</w:t>
        </w:r>
        <w:r w:rsidR="007C29A2">
          <w:rPr>
            <w:noProof/>
            <w:webHidden/>
          </w:rPr>
          <w:tab/>
        </w:r>
        <w:r w:rsidR="007C29A2">
          <w:rPr>
            <w:noProof/>
            <w:webHidden/>
          </w:rPr>
          <w:fldChar w:fldCharType="begin"/>
        </w:r>
        <w:r w:rsidR="007C29A2">
          <w:rPr>
            <w:noProof/>
            <w:webHidden/>
          </w:rPr>
          <w:instrText xml:space="preserve"> PAGEREF _Toc81738515 \h </w:instrText>
        </w:r>
        <w:r w:rsidR="007C29A2">
          <w:rPr>
            <w:noProof/>
            <w:webHidden/>
          </w:rPr>
        </w:r>
        <w:r w:rsidR="007C29A2">
          <w:rPr>
            <w:noProof/>
            <w:webHidden/>
          </w:rPr>
          <w:fldChar w:fldCharType="separate"/>
        </w:r>
        <w:r w:rsidR="007C29A2">
          <w:rPr>
            <w:noProof/>
            <w:webHidden/>
          </w:rPr>
          <w:t>157</w:t>
        </w:r>
        <w:r w:rsidR="007C29A2">
          <w:rPr>
            <w:noProof/>
            <w:webHidden/>
          </w:rPr>
          <w:fldChar w:fldCharType="end"/>
        </w:r>
      </w:hyperlink>
    </w:p>
    <w:p w14:paraId="0FAB85BA" w14:textId="1C52DEDA"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16" w:history="1">
        <w:r w:rsidR="007C29A2" w:rsidRPr="00864071">
          <w:rPr>
            <w:rStyle w:val="Hypertextovodkaz"/>
            <w:noProof/>
          </w:rPr>
          <w:t>Tabulka 88</w:t>
        </w:r>
        <w:r w:rsidR="007C29A2">
          <w:rPr>
            <w:rFonts w:asciiTheme="minorHAnsi" w:eastAsiaTheme="minorEastAsia" w:hAnsiTheme="minorHAnsi"/>
            <w:noProof/>
            <w:sz w:val="24"/>
            <w:szCs w:val="24"/>
            <w:lang w:val="cs-CZ" w:eastAsia="cs-CZ"/>
          </w:rPr>
          <w:tab/>
        </w:r>
        <w:r w:rsidR="007C29A2" w:rsidRPr="00864071">
          <w:rPr>
            <w:rStyle w:val="Hypertextovodkaz"/>
            <w:rFonts w:eastAsiaTheme="majorEastAsia"/>
            <w:noProof/>
          </w:rPr>
          <w:t>Ekonomika pěstování trav na semeno (</w:t>
        </w:r>
        <w:r w:rsidR="007C29A2" w:rsidRPr="00864071">
          <w:rPr>
            <w:rStyle w:val="Hypertextovodkaz"/>
            <w:noProof/>
          </w:rPr>
          <w:t>2017–2020</w:t>
        </w:r>
        <w:r w:rsidR="007C29A2" w:rsidRPr="00864071">
          <w:rPr>
            <w:rStyle w:val="Hypertextovodkaz"/>
            <w:rFonts w:eastAsiaTheme="majorEastAsia"/>
            <w:noProof/>
          </w:rPr>
          <w:t>)</w:t>
        </w:r>
        <w:r w:rsidR="007C29A2">
          <w:rPr>
            <w:noProof/>
            <w:webHidden/>
          </w:rPr>
          <w:tab/>
        </w:r>
        <w:r w:rsidR="007C29A2">
          <w:rPr>
            <w:noProof/>
            <w:webHidden/>
          </w:rPr>
          <w:fldChar w:fldCharType="begin"/>
        </w:r>
        <w:r w:rsidR="007C29A2">
          <w:rPr>
            <w:noProof/>
            <w:webHidden/>
          </w:rPr>
          <w:instrText xml:space="preserve"> PAGEREF _Toc81738516 \h </w:instrText>
        </w:r>
        <w:r w:rsidR="007C29A2">
          <w:rPr>
            <w:noProof/>
            <w:webHidden/>
          </w:rPr>
        </w:r>
        <w:r w:rsidR="007C29A2">
          <w:rPr>
            <w:noProof/>
            <w:webHidden/>
          </w:rPr>
          <w:fldChar w:fldCharType="separate"/>
        </w:r>
        <w:r w:rsidR="007C29A2">
          <w:rPr>
            <w:noProof/>
            <w:webHidden/>
          </w:rPr>
          <w:t>160</w:t>
        </w:r>
        <w:r w:rsidR="007C29A2">
          <w:rPr>
            <w:noProof/>
            <w:webHidden/>
          </w:rPr>
          <w:fldChar w:fldCharType="end"/>
        </w:r>
      </w:hyperlink>
    </w:p>
    <w:p w14:paraId="4235DBA7" w14:textId="701A4766"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17" w:history="1">
        <w:r w:rsidR="007C29A2" w:rsidRPr="00864071">
          <w:rPr>
            <w:rStyle w:val="Hypertextovodkaz"/>
            <w:noProof/>
          </w:rPr>
          <w:t>Tabulka 89</w:t>
        </w:r>
        <w:r w:rsidR="007C29A2">
          <w:rPr>
            <w:rFonts w:asciiTheme="minorHAnsi" w:eastAsiaTheme="minorEastAsia" w:hAnsiTheme="minorHAnsi"/>
            <w:noProof/>
            <w:sz w:val="24"/>
            <w:szCs w:val="24"/>
            <w:lang w:val="cs-CZ" w:eastAsia="cs-CZ"/>
          </w:rPr>
          <w:tab/>
        </w:r>
        <w:r w:rsidR="007C29A2" w:rsidRPr="00864071">
          <w:rPr>
            <w:rStyle w:val="Hypertextovodkaz"/>
            <w:noProof/>
          </w:rPr>
          <w:t>Zahraniční obchod - Trávy na semeno</w:t>
        </w:r>
        <w:r w:rsidR="007C29A2">
          <w:rPr>
            <w:noProof/>
            <w:webHidden/>
          </w:rPr>
          <w:tab/>
        </w:r>
        <w:r w:rsidR="007C29A2">
          <w:rPr>
            <w:noProof/>
            <w:webHidden/>
          </w:rPr>
          <w:fldChar w:fldCharType="begin"/>
        </w:r>
        <w:r w:rsidR="007C29A2">
          <w:rPr>
            <w:noProof/>
            <w:webHidden/>
          </w:rPr>
          <w:instrText xml:space="preserve"> PAGEREF _Toc81738517 \h </w:instrText>
        </w:r>
        <w:r w:rsidR="007C29A2">
          <w:rPr>
            <w:noProof/>
            <w:webHidden/>
          </w:rPr>
        </w:r>
        <w:r w:rsidR="007C29A2">
          <w:rPr>
            <w:noProof/>
            <w:webHidden/>
          </w:rPr>
          <w:fldChar w:fldCharType="separate"/>
        </w:r>
        <w:r w:rsidR="007C29A2">
          <w:rPr>
            <w:noProof/>
            <w:webHidden/>
          </w:rPr>
          <w:t>161</w:t>
        </w:r>
        <w:r w:rsidR="007C29A2">
          <w:rPr>
            <w:noProof/>
            <w:webHidden/>
          </w:rPr>
          <w:fldChar w:fldCharType="end"/>
        </w:r>
      </w:hyperlink>
    </w:p>
    <w:p w14:paraId="27388084" w14:textId="2E37361E"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18" w:history="1">
        <w:r w:rsidR="007C29A2" w:rsidRPr="00864071">
          <w:rPr>
            <w:rStyle w:val="Hypertextovodkaz"/>
            <w:noProof/>
          </w:rPr>
          <w:t>Tabulka 90</w:t>
        </w:r>
        <w:r w:rsidR="007C29A2">
          <w:rPr>
            <w:rFonts w:asciiTheme="minorHAnsi" w:eastAsiaTheme="minorEastAsia" w:hAnsiTheme="minorHAnsi"/>
            <w:noProof/>
            <w:sz w:val="24"/>
            <w:szCs w:val="24"/>
            <w:lang w:val="cs-CZ" w:eastAsia="cs-CZ"/>
          </w:rPr>
          <w:tab/>
        </w:r>
        <w:r w:rsidR="007C29A2" w:rsidRPr="00864071">
          <w:rPr>
            <w:rStyle w:val="Hypertextovodkaz"/>
            <w:noProof/>
          </w:rPr>
          <w:t>Zahraniční obchod – hlavní partneři</w:t>
        </w:r>
        <w:r w:rsidR="007C29A2">
          <w:rPr>
            <w:noProof/>
            <w:webHidden/>
          </w:rPr>
          <w:tab/>
        </w:r>
        <w:r w:rsidR="007C29A2">
          <w:rPr>
            <w:noProof/>
            <w:webHidden/>
          </w:rPr>
          <w:fldChar w:fldCharType="begin"/>
        </w:r>
        <w:r w:rsidR="007C29A2">
          <w:rPr>
            <w:noProof/>
            <w:webHidden/>
          </w:rPr>
          <w:instrText xml:space="preserve"> PAGEREF _Toc81738518 \h </w:instrText>
        </w:r>
        <w:r w:rsidR="007C29A2">
          <w:rPr>
            <w:noProof/>
            <w:webHidden/>
          </w:rPr>
        </w:r>
        <w:r w:rsidR="007C29A2">
          <w:rPr>
            <w:noProof/>
            <w:webHidden/>
          </w:rPr>
          <w:fldChar w:fldCharType="separate"/>
        </w:r>
        <w:r w:rsidR="007C29A2">
          <w:rPr>
            <w:noProof/>
            <w:webHidden/>
          </w:rPr>
          <w:t>163</w:t>
        </w:r>
        <w:r w:rsidR="007C29A2">
          <w:rPr>
            <w:noProof/>
            <w:webHidden/>
          </w:rPr>
          <w:fldChar w:fldCharType="end"/>
        </w:r>
      </w:hyperlink>
    </w:p>
    <w:p w14:paraId="3DA7228B" w14:textId="5BA12240"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19" w:history="1">
        <w:r w:rsidR="007C29A2" w:rsidRPr="00864071">
          <w:rPr>
            <w:rStyle w:val="Hypertextovodkaz"/>
            <w:noProof/>
          </w:rPr>
          <w:t>Tabulka 91</w:t>
        </w:r>
        <w:r w:rsidR="007C29A2">
          <w:rPr>
            <w:rFonts w:asciiTheme="minorHAnsi" w:eastAsiaTheme="minorEastAsia" w:hAnsiTheme="minorHAnsi"/>
            <w:noProof/>
            <w:sz w:val="24"/>
            <w:szCs w:val="24"/>
            <w:lang w:val="cs-CZ" w:eastAsia="cs-CZ"/>
          </w:rPr>
          <w:tab/>
        </w:r>
        <w:r w:rsidR="007C29A2" w:rsidRPr="00864071">
          <w:rPr>
            <w:rStyle w:val="Hypertextovodkaz"/>
            <w:noProof/>
          </w:rPr>
          <w:t>Zahraniční obchod – hlavní partneři</w:t>
        </w:r>
        <w:r w:rsidR="007C29A2">
          <w:rPr>
            <w:noProof/>
            <w:webHidden/>
          </w:rPr>
          <w:tab/>
        </w:r>
        <w:r w:rsidR="007C29A2">
          <w:rPr>
            <w:noProof/>
            <w:webHidden/>
          </w:rPr>
          <w:fldChar w:fldCharType="begin"/>
        </w:r>
        <w:r w:rsidR="007C29A2">
          <w:rPr>
            <w:noProof/>
            <w:webHidden/>
          </w:rPr>
          <w:instrText xml:space="preserve"> PAGEREF _Toc81738519 \h </w:instrText>
        </w:r>
        <w:r w:rsidR="007C29A2">
          <w:rPr>
            <w:noProof/>
            <w:webHidden/>
          </w:rPr>
        </w:r>
        <w:r w:rsidR="007C29A2">
          <w:rPr>
            <w:noProof/>
            <w:webHidden/>
          </w:rPr>
          <w:fldChar w:fldCharType="separate"/>
        </w:r>
        <w:r w:rsidR="007C29A2">
          <w:rPr>
            <w:noProof/>
            <w:webHidden/>
          </w:rPr>
          <w:t>164</w:t>
        </w:r>
        <w:r w:rsidR="007C29A2">
          <w:rPr>
            <w:noProof/>
            <w:webHidden/>
          </w:rPr>
          <w:fldChar w:fldCharType="end"/>
        </w:r>
      </w:hyperlink>
    </w:p>
    <w:p w14:paraId="4FE4F920" w14:textId="2B57CC25"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20" w:history="1">
        <w:r w:rsidR="007C29A2" w:rsidRPr="00864071">
          <w:rPr>
            <w:rStyle w:val="Hypertextovodkaz"/>
            <w:noProof/>
          </w:rPr>
          <w:t>Tabulka 92</w:t>
        </w:r>
        <w:r w:rsidR="007C29A2">
          <w:rPr>
            <w:rFonts w:asciiTheme="minorHAnsi" w:eastAsiaTheme="minorEastAsia" w:hAnsiTheme="minorHAnsi"/>
            <w:noProof/>
            <w:sz w:val="24"/>
            <w:szCs w:val="24"/>
            <w:lang w:val="cs-CZ" w:eastAsia="cs-CZ"/>
          </w:rPr>
          <w:tab/>
        </w:r>
        <w:r w:rsidR="007C29A2" w:rsidRPr="00864071">
          <w:rPr>
            <w:rStyle w:val="Hypertextovodkaz"/>
            <w:noProof/>
          </w:rPr>
          <w:t>Zahraniční obchod – hlavní partneři</w:t>
        </w:r>
        <w:r w:rsidR="007C29A2">
          <w:rPr>
            <w:noProof/>
            <w:webHidden/>
          </w:rPr>
          <w:tab/>
        </w:r>
        <w:r w:rsidR="007C29A2">
          <w:rPr>
            <w:noProof/>
            <w:webHidden/>
          </w:rPr>
          <w:fldChar w:fldCharType="begin"/>
        </w:r>
        <w:r w:rsidR="007C29A2">
          <w:rPr>
            <w:noProof/>
            <w:webHidden/>
          </w:rPr>
          <w:instrText xml:space="preserve"> PAGEREF _Toc81738520 \h </w:instrText>
        </w:r>
        <w:r w:rsidR="007C29A2">
          <w:rPr>
            <w:noProof/>
            <w:webHidden/>
          </w:rPr>
        </w:r>
        <w:r w:rsidR="007C29A2">
          <w:rPr>
            <w:noProof/>
            <w:webHidden/>
          </w:rPr>
          <w:fldChar w:fldCharType="separate"/>
        </w:r>
        <w:r w:rsidR="007C29A2">
          <w:rPr>
            <w:noProof/>
            <w:webHidden/>
          </w:rPr>
          <w:t>165</w:t>
        </w:r>
        <w:r w:rsidR="007C29A2">
          <w:rPr>
            <w:noProof/>
            <w:webHidden/>
          </w:rPr>
          <w:fldChar w:fldCharType="end"/>
        </w:r>
      </w:hyperlink>
    </w:p>
    <w:p w14:paraId="1E36172B" w14:textId="49763E6E"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21" w:history="1">
        <w:r w:rsidR="007C29A2" w:rsidRPr="00864071">
          <w:rPr>
            <w:rStyle w:val="Hypertextovodkaz"/>
            <w:noProof/>
          </w:rPr>
          <w:t>Tabulka 93</w:t>
        </w:r>
        <w:r w:rsidR="007C29A2">
          <w:rPr>
            <w:rFonts w:asciiTheme="minorHAnsi" w:eastAsiaTheme="minorEastAsia" w:hAnsiTheme="minorHAnsi"/>
            <w:noProof/>
            <w:sz w:val="24"/>
            <w:szCs w:val="24"/>
            <w:lang w:val="cs-CZ" w:eastAsia="cs-CZ"/>
          </w:rPr>
          <w:tab/>
        </w:r>
        <w:r w:rsidR="007C29A2" w:rsidRPr="00864071">
          <w:rPr>
            <w:rStyle w:val="Hypertextovodkaz"/>
            <w:noProof/>
          </w:rPr>
          <w:t>Dotační podpory trav pěstovaných na semeno 2011-2020</w:t>
        </w:r>
        <w:r w:rsidR="007C29A2">
          <w:rPr>
            <w:noProof/>
            <w:webHidden/>
          </w:rPr>
          <w:tab/>
        </w:r>
        <w:r w:rsidR="007C29A2">
          <w:rPr>
            <w:noProof/>
            <w:webHidden/>
          </w:rPr>
          <w:fldChar w:fldCharType="begin"/>
        </w:r>
        <w:r w:rsidR="007C29A2">
          <w:rPr>
            <w:noProof/>
            <w:webHidden/>
          </w:rPr>
          <w:instrText xml:space="preserve"> PAGEREF _Toc81738521 \h </w:instrText>
        </w:r>
        <w:r w:rsidR="007C29A2">
          <w:rPr>
            <w:noProof/>
            <w:webHidden/>
          </w:rPr>
        </w:r>
        <w:r w:rsidR="007C29A2">
          <w:rPr>
            <w:noProof/>
            <w:webHidden/>
          </w:rPr>
          <w:fldChar w:fldCharType="separate"/>
        </w:r>
        <w:r w:rsidR="007C29A2">
          <w:rPr>
            <w:noProof/>
            <w:webHidden/>
          </w:rPr>
          <w:t>166</w:t>
        </w:r>
        <w:r w:rsidR="007C29A2">
          <w:rPr>
            <w:noProof/>
            <w:webHidden/>
          </w:rPr>
          <w:fldChar w:fldCharType="end"/>
        </w:r>
      </w:hyperlink>
    </w:p>
    <w:p w14:paraId="1C239E98" w14:textId="5839B5EB"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22" w:history="1">
        <w:r w:rsidR="007C29A2" w:rsidRPr="00864071">
          <w:rPr>
            <w:rStyle w:val="Hypertextovodkaz"/>
            <w:noProof/>
          </w:rPr>
          <w:t>Tabulka 94</w:t>
        </w:r>
        <w:r w:rsidR="007C29A2">
          <w:rPr>
            <w:rFonts w:asciiTheme="minorHAnsi" w:eastAsiaTheme="minorEastAsia" w:hAnsiTheme="minorHAnsi"/>
            <w:noProof/>
            <w:sz w:val="24"/>
            <w:szCs w:val="24"/>
            <w:lang w:val="cs-CZ" w:eastAsia="cs-CZ"/>
          </w:rPr>
          <w:tab/>
        </w:r>
        <w:r w:rsidR="007C29A2" w:rsidRPr="00864071">
          <w:rPr>
            <w:rStyle w:val="Hypertextovodkaz"/>
            <w:noProof/>
          </w:rPr>
          <w:t>Teorie změny – Trávy na semeno</w:t>
        </w:r>
        <w:r w:rsidR="007C29A2">
          <w:rPr>
            <w:noProof/>
            <w:webHidden/>
          </w:rPr>
          <w:tab/>
        </w:r>
        <w:r w:rsidR="007C29A2">
          <w:rPr>
            <w:noProof/>
            <w:webHidden/>
          </w:rPr>
          <w:fldChar w:fldCharType="begin"/>
        </w:r>
        <w:r w:rsidR="007C29A2">
          <w:rPr>
            <w:noProof/>
            <w:webHidden/>
          </w:rPr>
          <w:instrText xml:space="preserve"> PAGEREF _Toc81738522 \h </w:instrText>
        </w:r>
        <w:r w:rsidR="007C29A2">
          <w:rPr>
            <w:noProof/>
            <w:webHidden/>
          </w:rPr>
        </w:r>
        <w:r w:rsidR="007C29A2">
          <w:rPr>
            <w:noProof/>
            <w:webHidden/>
          </w:rPr>
          <w:fldChar w:fldCharType="separate"/>
        </w:r>
        <w:r w:rsidR="007C29A2">
          <w:rPr>
            <w:noProof/>
            <w:webHidden/>
          </w:rPr>
          <w:t>169</w:t>
        </w:r>
        <w:r w:rsidR="007C29A2">
          <w:rPr>
            <w:noProof/>
            <w:webHidden/>
          </w:rPr>
          <w:fldChar w:fldCharType="end"/>
        </w:r>
      </w:hyperlink>
    </w:p>
    <w:p w14:paraId="1D87FC1F" w14:textId="7E59E515"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23" w:history="1">
        <w:r w:rsidR="007C29A2" w:rsidRPr="00864071">
          <w:rPr>
            <w:rStyle w:val="Hypertextovodkaz"/>
            <w:noProof/>
          </w:rPr>
          <w:t>Tabulka 95</w:t>
        </w:r>
        <w:r w:rsidR="007C29A2">
          <w:rPr>
            <w:rFonts w:asciiTheme="minorHAnsi" w:eastAsiaTheme="minorEastAsia" w:hAnsiTheme="minorHAnsi"/>
            <w:noProof/>
            <w:sz w:val="24"/>
            <w:szCs w:val="24"/>
            <w:lang w:val="cs-CZ" w:eastAsia="cs-CZ"/>
          </w:rPr>
          <w:tab/>
        </w:r>
        <w:r w:rsidR="007C29A2" w:rsidRPr="00864071">
          <w:rPr>
            <w:rStyle w:val="Hypertextovodkaz"/>
            <w:noProof/>
          </w:rPr>
          <w:t>Ekonomika produkce mléka podle třetin v přepočtu na litr mléka</w:t>
        </w:r>
        <w:r w:rsidR="007C29A2">
          <w:rPr>
            <w:noProof/>
            <w:webHidden/>
          </w:rPr>
          <w:tab/>
        </w:r>
        <w:r w:rsidR="007C29A2">
          <w:rPr>
            <w:noProof/>
            <w:webHidden/>
          </w:rPr>
          <w:fldChar w:fldCharType="begin"/>
        </w:r>
        <w:r w:rsidR="007C29A2">
          <w:rPr>
            <w:noProof/>
            <w:webHidden/>
          </w:rPr>
          <w:instrText xml:space="preserve"> PAGEREF _Toc81738523 \h </w:instrText>
        </w:r>
        <w:r w:rsidR="007C29A2">
          <w:rPr>
            <w:noProof/>
            <w:webHidden/>
          </w:rPr>
        </w:r>
        <w:r w:rsidR="007C29A2">
          <w:rPr>
            <w:noProof/>
            <w:webHidden/>
          </w:rPr>
          <w:fldChar w:fldCharType="separate"/>
        </w:r>
        <w:r w:rsidR="007C29A2">
          <w:rPr>
            <w:noProof/>
            <w:webHidden/>
          </w:rPr>
          <w:t>174</w:t>
        </w:r>
        <w:r w:rsidR="007C29A2">
          <w:rPr>
            <w:noProof/>
            <w:webHidden/>
          </w:rPr>
          <w:fldChar w:fldCharType="end"/>
        </w:r>
      </w:hyperlink>
    </w:p>
    <w:p w14:paraId="04DFEF02" w14:textId="6F9DE956"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24" w:history="1">
        <w:r w:rsidR="007C29A2" w:rsidRPr="00864071">
          <w:rPr>
            <w:rStyle w:val="Hypertextovodkaz"/>
            <w:noProof/>
          </w:rPr>
          <w:t>Tabulka 96</w:t>
        </w:r>
        <w:r w:rsidR="007C29A2">
          <w:rPr>
            <w:rFonts w:asciiTheme="minorHAnsi" w:eastAsiaTheme="minorEastAsia" w:hAnsiTheme="minorHAnsi"/>
            <w:noProof/>
            <w:sz w:val="24"/>
            <w:szCs w:val="24"/>
            <w:lang w:val="cs-CZ" w:eastAsia="cs-CZ"/>
          </w:rPr>
          <w:tab/>
        </w:r>
        <w:r w:rsidR="007C29A2" w:rsidRPr="00864071">
          <w:rPr>
            <w:rStyle w:val="Hypertextovodkaz"/>
            <w:noProof/>
          </w:rPr>
          <w:t>Ekonomika produkce mléka v letech 2018 až 2020 s výhledem do roku 2030</w:t>
        </w:r>
        <w:r w:rsidR="007C29A2">
          <w:rPr>
            <w:noProof/>
            <w:webHidden/>
          </w:rPr>
          <w:tab/>
        </w:r>
        <w:r w:rsidR="007C29A2">
          <w:rPr>
            <w:noProof/>
            <w:webHidden/>
          </w:rPr>
          <w:fldChar w:fldCharType="begin"/>
        </w:r>
        <w:r w:rsidR="007C29A2">
          <w:rPr>
            <w:noProof/>
            <w:webHidden/>
          </w:rPr>
          <w:instrText xml:space="preserve"> PAGEREF _Toc81738524 \h </w:instrText>
        </w:r>
        <w:r w:rsidR="007C29A2">
          <w:rPr>
            <w:noProof/>
            <w:webHidden/>
          </w:rPr>
        </w:r>
        <w:r w:rsidR="007C29A2">
          <w:rPr>
            <w:noProof/>
            <w:webHidden/>
          </w:rPr>
          <w:fldChar w:fldCharType="separate"/>
        </w:r>
        <w:r w:rsidR="007C29A2">
          <w:rPr>
            <w:noProof/>
            <w:webHidden/>
          </w:rPr>
          <w:t>179</w:t>
        </w:r>
        <w:r w:rsidR="007C29A2">
          <w:rPr>
            <w:noProof/>
            <w:webHidden/>
          </w:rPr>
          <w:fldChar w:fldCharType="end"/>
        </w:r>
      </w:hyperlink>
    </w:p>
    <w:p w14:paraId="1DE0C69E" w14:textId="000CBD3C"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25" w:history="1">
        <w:r w:rsidR="007C29A2" w:rsidRPr="00864071">
          <w:rPr>
            <w:rStyle w:val="Hypertextovodkaz"/>
            <w:noProof/>
          </w:rPr>
          <w:t>Tabulka 97</w:t>
        </w:r>
        <w:r w:rsidR="007C29A2">
          <w:rPr>
            <w:rFonts w:asciiTheme="minorHAnsi" w:eastAsiaTheme="minorEastAsia" w:hAnsiTheme="minorHAnsi"/>
            <w:noProof/>
            <w:sz w:val="24"/>
            <w:szCs w:val="24"/>
            <w:lang w:val="cs-CZ" w:eastAsia="cs-CZ"/>
          </w:rPr>
          <w:tab/>
        </w:r>
        <w:r w:rsidR="007C29A2" w:rsidRPr="00864071">
          <w:rPr>
            <w:rStyle w:val="Hypertextovodkaz"/>
            <w:noProof/>
          </w:rPr>
          <w:t>Teorie změny - mléko</w:t>
        </w:r>
        <w:r w:rsidR="007C29A2">
          <w:rPr>
            <w:noProof/>
            <w:webHidden/>
          </w:rPr>
          <w:tab/>
        </w:r>
        <w:r w:rsidR="007C29A2">
          <w:rPr>
            <w:noProof/>
            <w:webHidden/>
          </w:rPr>
          <w:fldChar w:fldCharType="begin"/>
        </w:r>
        <w:r w:rsidR="007C29A2">
          <w:rPr>
            <w:noProof/>
            <w:webHidden/>
          </w:rPr>
          <w:instrText xml:space="preserve"> PAGEREF _Toc81738525 \h </w:instrText>
        </w:r>
        <w:r w:rsidR="007C29A2">
          <w:rPr>
            <w:noProof/>
            <w:webHidden/>
          </w:rPr>
        </w:r>
        <w:r w:rsidR="007C29A2">
          <w:rPr>
            <w:noProof/>
            <w:webHidden/>
          </w:rPr>
          <w:fldChar w:fldCharType="separate"/>
        </w:r>
        <w:r w:rsidR="007C29A2">
          <w:rPr>
            <w:noProof/>
            <w:webHidden/>
          </w:rPr>
          <w:t>182</w:t>
        </w:r>
        <w:r w:rsidR="007C29A2">
          <w:rPr>
            <w:noProof/>
            <w:webHidden/>
          </w:rPr>
          <w:fldChar w:fldCharType="end"/>
        </w:r>
      </w:hyperlink>
    </w:p>
    <w:p w14:paraId="5330594A" w14:textId="67897E96"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26" w:history="1">
        <w:r w:rsidR="007C29A2" w:rsidRPr="00864071">
          <w:rPr>
            <w:rStyle w:val="Hypertextovodkaz"/>
            <w:noProof/>
          </w:rPr>
          <w:t>Tabulka 98</w:t>
        </w:r>
        <w:r w:rsidR="007C29A2">
          <w:rPr>
            <w:rFonts w:asciiTheme="minorHAnsi" w:eastAsiaTheme="minorEastAsia" w:hAnsiTheme="minorHAnsi"/>
            <w:noProof/>
            <w:sz w:val="24"/>
            <w:szCs w:val="24"/>
            <w:lang w:val="cs-CZ" w:eastAsia="cs-CZ"/>
          </w:rPr>
          <w:tab/>
        </w:r>
        <w:r w:rsidR="007C29A2" w:rsidRPr="00864071">
          <w:rPr>
            <w:rStyle w:val="Hypertextovodkaz"/>
            <w:noProof/>
          </w:rPr>
          <w:t>Odhad investičních potřeb pro odvětví PRODUKCE MLÉKA na období let 2021-2027:</w:t>
        </w:r>
        <w:r w:rsidR="007C29A2">
          <w:rPr>
            <w:noProof/>
            <w:webHidden/>
          </w:rPr>
          <w:tab/>
        </w:r>
        <w:r w:rsidR="007C29A2">
          <w:rPr>
            <w:noProof/>
            <w:webHidden/>
          </w:rPr>
          <w:fldChar w:fldCharType="begin"/>
        </w:r>
        <w:r w:rsidR="007C29A2">
          <w:rPr>
            <w:noProof/>
            <w:webHidden/>
          </w:rPr>
          <w:instrText xml:space="preserve"> PAGEREF _Toc81738526 \h </w:instrText>
        </w:r>
        <w:r w:rsidR="007C29A2">
          <w:rPr>
            <w:noProof/>
            <w:webHidden/>
          </w:rPr>
        </w:r>
        <w:r w:rsidR="007C29A2">
          <w:rPr>
            <w:noProof/>
            <w:webHidden/>
          </w:rPr>
          <w:fldChar w:fldCharType="separate"/>
        </w:r>
        <w:r w:rsidR="007C29A2">
          <w:rPr>
            <w:noProof/>
            <w:webHidden/>
          </w:rPr>
          <w:t>184</w:t>
        </w:r>
        <w:r w:rsidR="007C29A2">
          <w:rPr>
            <w:noProof/>
            <w:webHidden/>
          </w:rPr>
          <w:fldChar w:fldCharType="end"/>
        </w:r>
      </w:hyperlink>
    </w:p>
    <w:p w14:paraId="00DE4713" w14:textId="2D3333AD"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27" w:history="1">
        <w:r w:rsidR="007C29A2" w:rsidRPr="00864071">
          <w:rPr>
            <w:rStyle w:val="Hypertextovodkaz"/>
            <w:noProof/>
          </w:rPr>
          <w:t>Tabulka 99</w:t>
        </w:r>
        <w:r w:rsidR="007C29A2">
          <w:rPr>
            <w:rFonts w:asciiTheme="minorHAnsi" w:eastAsiaTheme="minorEastAsia" w:hAnsiTheme="minorHAnsi"/>
            <w:noProof/>
            <w:sz w:val="24"/>
            <w:szCs w:val="24"/>
            <w:lang w:val="cs-CZ" w:eastAsia="cs-CZ"/>
          </w:rPr>
          <w:tab/>
        </w:r>
        <w:r w:rsidR="007C29A2" w:rsidRPr="00864071">
          <w:rPr>
            <w:rStyle w:val="Hypertextovodkaz"/>
            <w:noProof/>
          </w:rPr>
          <w:t>Ekonomika výkrmu skotu v letech 2016 až 2020</w:t>
        </w:r>
        <w:r w:rsidR="007C29A2">
          <w:rPr>
            <w:noProof/>
            <w:webHidden/>
          </w:rPr>
          <w:tab/>
        </w:r>
        <w:r w:rsidR="007C29A2">
          <w:rPr>
            <w:noProof/>
            <w:webHidden/>
          </w:rPr>
          <w:fldChar w:fldCharType="begin"/>
        </w:r>
        <w:r w:rsidR="007C29A2">
          <w:rPr>
            <w:noProof/>
            <w:webHidden/>
          </w:rPr>
          <w:instrText xml:space="preserve"> PAGEREF _Toc81738527 \h </w:instrText>
        </w:r>
        <w:r w:rsidR="007C29A2">
          <w:rPr>
            <w:noProof/>
            <w:webHidden/>
          </w:rPr>
        </w:r>
        <w:r w:rsidR="007C29A2">
          <w:rPr>
            <w:noProof/>
            <w:webHidden/>
          </w:rPr>
          <w:fldChar w:fldCharType="separate"/>
        </w:r>
        <w:r w:rsidR="007C29A2">
          <w:rPr>
            <w:noProof/>
            <w:webHidden/>
          </w:rPr>
          <w:t>192</w:t>
        </w:r>
        <w:r w:rsidR="007C29A2">
          <w:rPr>
            <w:noProof/>
            <w:webHidden/>
          </w:rPr>
          <w:fldChar w:fldCharType="end"/>
        </w:r>
      </w:hyperlink>
    </w:p>
    <w:p w14:paraId="6A59598C" w14:textId="2115113F"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28" w:history="1">
        <w:r w:rsidR="007C29A2" w:rsidRPr="00864071">
          <w:rPr>
            <w:rStyle w:val="Hypertextovodkaz"/>
            <w:noProof/>
          </w:rPr>
          <w:t>Tabulka 100</w:t>
        </w:r>
        <w:r w:rsidR="007C29A2">
          <w:rPr>
            <w:rFonts w:asciiTheme="minorHAnsi" w:eastAsiaTheme="minorEastAsia" w:hAnsiTheme="minorHAnsi"/>
            <w:noProof/>
            <w:sz w:val="24"/>
            <w:szCs w:val="24"/>
            <w:lang w:val="cs-CZ" w:eastAsia="cs-CZ"/>
          </w:rPr>
          <w:tab/>
        </w:r>
        <w:r w:rsidR="007C29A2" w:rsidRPr="00864071">
          <w:rPr>
            <w:rStyle w:val="Hypertextovodkaz"/>
            <w:noProof/>
          </w:rPr>
          <w:t>Ekonomika krav bez tržní produkce mléka v letech 2018 až 2020 s výhledem do roku 2030</w:t>
        </w:r>
        <w:r w:rsidR="007C29A2">
          <w:rPr>
            <w:noProof/>
            <w:webHidden/>
          </w:rPr>
          <w:tab/>
        </w:r>
        <w:r w:rsidR="007C29A2">
          <w:rPr>
            <w:noProof/>
            <w:webHidden/>
          </w:rPr>
          <w:fldChar w:fldCharType="begin"/>
        </w:r>
        <w:r w:rsidR="007C29A2">
          <w:rPr>
            <w:noProof/>
            <w:webHidden/>
          </w:rPr>
          <w:instrText xml:space="preserve"> PAGEREF _Toc81738528 \h </w:instrText>
        </w:r>
        <w:r w:rsidR="007C29A2">
          <w:rPr>
            <w:noProof/>
            <w:webHidden/>
          </w:rPr>
        </w:r>
        <w:r w:rsidR="007C29A2">
          <w:rPr>
            <w:noProof/>
            <w:webHidden/>
          </w:rPr>
          <w:fldChar w:fldCharType="separate"/>
        </w:r>
        <w:r w:rsidR="007C29A2">
          <w:rPr>
            <w:noProof/>
            <w:webHidden/>
          </w:rPr>
          <w:t>196</w:t>
        </w:r>
        <w:r w:rsidR="007C29A2">
          <w:rPr>
            <w:noProof/>
            <w:webHidden/>
          </w:rPr>
          <w:fldChar w:fldCharType="end"/>
        </w:r>
      </w:hyperlink>
    </w:p>
    <w:p w14:paraId="00CD522A" w14:textId="377AD717"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29" w:history="1">
        <w:r w:rsidR="007C29A2" w:rsidRPr="00864071">
          <w:rPr>
            <w:rStyle w:val="Hypertextovodkaz"/>
            <w:noProof/>
          </w:rPr>
          <w:t>Tabulka 101</w:t>
        </w:r>
        <w:r w:rsidR="007C29A2">
          <w:rPr>
            <w:rFonts w:asciiTheme="minorHAnsi" w:eastAsiaTheme="minorEastAsia" w:hAnsiTheme="minorHAnsi"/>
            <w:noProof/>
            <w:sz w:val="24"/>
            <w:szCs w:val="24"/>
            <w:lang w:val="cs-CZ" w:eastAsia="cs-CZ"/>
          </w:rPr>
          <w:tab/>
        </w:r>
        <w:r w:rsidR="007C29A2" w:rsidRPr="00864071">
          <w:rPr>
            <w:rStyle w:val="Hypertextovodkaz"/>
            <w:noProof/>
          </w:rPr>
          <w:t>Ekonomika výkrmu skotu v letech 2018 až 2020 s výhledem do roku 2030</w:t>
        </w:r>
        <w:r w:rsidR="007C29A2">
          <w:rPr>
            <w:noProof/>
            <w:webHidden/>
          </w:rPr>
          <w:tab/>
        </w:r>
        <w:r w:rsidR="007C29A2">
          <w:rPr>
            <w:noProof/>
            <w:webHidden/>
          </w:rPr>
          <w:fldChar w:fldCharType="begin"/>
        </w:r>
        <w:r w:rsidR="007C29A2">
          <w:rPr>
            <w:noProof/>
            <w:webHidden/>
          </w:rPr>
          <w:instrText xml:space="preserve"> PAGEREF _Toc81738529 \h </w:instrText>
        </w:r>
        <w:r w:rsidR="007C29A2">
          <w:rPr>
            <w:noProof/>
            <w:webHidden/>
          </w:rPr>
        </w:r>
        <w:r w:rsidR="007C29A2">
          <w:rPr>
            <w:noProof/>
            <w:webHidden/>
          </w:rPr>
          <w:fldChar w:fldCharType="separate"/>
        </w:r>
        <w:r w:rsidR="007C29A2">
          <w:rPr>
            <w:noProof/>
            <w:webHidden/>
          </w:rPr>
          <w:t>197</w:t>
        </w:r>
        <w:r w:rsidR="007C29A2">
          <w:rPr>
            <w:noProof/>
            <w:webHidden/>
          </w:rPr>
          <w:fldChar w:fldCharType="end"/>
        </w:r>
      </w:hyperlink>
    </w:p>
    <w:p w14:paraId="5FD5CF53" w14:textId="4E6634B2"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30" w:history="1">
        <w:r w:rsidR="007C29A2" w:rsidRPr="00864071">
          <w:rPr>
            <w:rStyle w:val="Hypertextovodkaz"/>
            <w:noProof/>
          </w:rPr>
          <w:t>Tabulka 102</w:t>
        </w:r>
        <w:r w:rsidR="007C29A2">
          <w:rPr>
            <w:rFonts w:asciiTheme="minorHAnsi" w:eastAsiaTheme="minorEastAsia" w:hAnsiTheme="minorHAnsi"/>
            <w:noProof/>
            <w:sz w:val="24"/>
            <w:szCs w:val="24"/>
            <w:lang w:val="cs-CZ" w:eastAsia="cs-CZ"/>
          </w:rPr>
          <w:tab/>
        </w:r>
        <w:r w:rsidR="007C29A2" w:rsidRPr="00864071">
          <w:rPr>
            <w:rStyle w:val="Hypertextovodkaz"/>
            <w:noProof/>
          </w:rPr>
          <w:t>Teorie změny – hovězí maso</w:t>
        </w:r>
        <w:r w:rsidR="007C29A2">
          <w:rPr>
            <w:noProof/>
            <w:webHidden/>
          </w:rPr>
          <w:tab/>
        </w:r>
        <w:r w:rsidR="007C29A2">
          <w:rPr>
            <w:noProof/>
            <w:webHidden/>
          </w:rPr>
          <w:fldChar w:fldCharType="begin"/>
        </w:r>
        <w:r w:rsidR="007C29A2">
          <w:rPr>
            <w:noProof/>
            <w:webHidden/>
          </w:rPr>
          <w:instrText xml:space="preserve"> PAGEREF _Toc81738530 \h </w:instrText>
        </w:r>
        <w:r w:rsidR="007C29A2">
          <w:rPr>
            <w:noProof/>
            <w:webHidden/>
          </w:rPr>
        </w:r>
        <w:r w:rsidR="007C29A2">
          <w:rPr>
            <w:noProof/>
            <w:webHidden/>
          </w:rPr>
          <w:fldChar w:fldCharType="separate"/>
        </w:r>
        <w:r w:rsidR="007C29A2">
          <w:rPr>
            <w:noProof/>
            <w:webHidden/>
          </w:rPr>
          <w:t>199</w:t>
        </w:r>
        <w:r w:rsidR="007C29A2">
          <w:rPr>
            <w:noProof/>
            <w:webHidden/>
          </w:rPr>
          <w:fldChar w:fldCharType="end"/>
        </w:r>
      </w:hyperlink>
    </w:p>
    <w:p w14:paraId="287F9A97" w14:textId="63D7A327"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31" w:history="1">
        <w:r w:rsidR="007C29A2" w:rsidRPr="00864071">
          <w:rPr>
            <w:rStyle w:val="Hypertextovodkaz"/>
            <w:noProof/>
          </w:rPr>
          <w:t>Tabulka 103</w:t>
        </w:r>
        <w:r w:rsidR="007C29A2">
          <w:rPr>
            <w:rFonts w:asciiTheme="minorHAnsi" w:eastAsiaTheme="minorEastAsia" w:hAnsiTheme="minorHAnsi"/>
            <w:noProof/>
            <w:sz w:val="24"/>
            <w:szCs w:val="24"/>
            <w:lang w:val="cs-CZ" w:eastAsia="cs-CZ"/>
          </w:rPr>
          <w:tab/>
        </w:r>
        <w:r w:rsidR="007C29A2" w:rsidRPr="00864071">
          <w:rPr>
            <w:rStyle w:val="Hypertextovodkaz"/>
            <w:noProof/>
          </w:rPr>
          <w:t>Odhad investičních potřeb pro odvětví CHOVU, ODCHOVU A VÝKRMU SKOTU na období let 2021-2027</w:t>
        </w:r>
        <w:r w:rsidR="007C29A2">
          <w:rPr>
            <w:noProof/>
            <w:webHidden/>
          </w:rPr>
          <w:tab/>
        </w:r>
        <w:r w:rsidR="007C29A2">
          <w:rPr>
            <w:noProof/>
            <w:webHidden/>
          </w:rPr>
          <w:fldChar w:fldCharType="begin"/>
        </w:r>
        <w:r w:rsidR="007C29A2">
          <w:rPr>
            <w:noProof/>
            <w:webHidden/>
          </w:rPr>
          <w:instrText xml:space="preserve"> PAGEREF _Toc81738531 \h </w:instrText>
        </w:r>
        <w:r w:rsidR="007C29A2">
          <w:rPr>
            <w:noProof/>
            <w:webHidden/>
          </w:rPr>
        </w:r>
        <w:r w:rsidR="007C29A2">
          <w:rPr>
            <w:noProof/>
            <w:webHidden/>
          </w:rPr>
          <w:fldChar w:fldCharType="separate"/>
        </w:r>
        <w:r w:rsidR="007C29A2">
          <w:rPr>
            <w:noProof/>
            <w:webHidden/>
          </w:rPr>
          <w:t>202</w:t>
        </w:r>
        <w:r w:rsidR="007C29A2">
          <w:rPr>
            <w:noProof/>
            <w:webHidden/>
          </w:rPr>
          <w:fldChar w:fldCharType="end"/>
        </w:r>
      </w:hyperlink>
    </w:p>
    <w:p w14:paraId="425A6653" w14:textId="3C5DDA30"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32" w:history="1">
        <w:r w:rsidR="007C29A2" w:rsidRPr="00864071">
          <w:rPr>
            <w:rStyle w:val="Hypertextovodkaz"/>
            <w:noProof/>
          </w:rPr>
          <w:t>Tabulka 104</w:t>
        </w:r>
        <w:r w:rsidR="007C29A2">
          <w:rPr>
            <w:rFonts w:asciiTheme="minorHAnsi" w:eastAsiaTheme="minorEastAsia" w:hAnsiTheme="minorHAnsi"/>
            <w:noProof/>
            <w:sz w:val="24"/>
            <w:szCs w:val="24"/>
            <w:lang w:val="cs-CZ" w:eastAsia="cs-CZ"/>
          </w:rPr>
          <w:tab/>
        </w:r>
        <w:r w:rsidR="007C29A2" w:rsidRPr="00864071">
          <w:rPr>
            <w:rStyle w:val="Hypertextovodkaz"/>
            <w:noProof/>
          </w:rPr>
          <w:t>Bilance výroby a spotřeby vepřového masa</w:t>
        </w:r>
        <w:r w:rsidR="007C29A2" w:rsidRPr="00864071">
          <w:rPr>
            <w:rStyle w:val="Hypertextovodkaz"/>
            <w:noProof/>
            <w:vertAlign w:val="superscript"/>
          </w:rPr>
          <w:t>1)</w:t>
        </w:r>
        <w:r w:rsidR="007C29A2">
          <w:rPr>
            <w:noProof/>
            <w:webHidden/>
          </w:rPr>
          <w:tab/>
        </w:r>
        <w:r w:rsidR="007C29A2">
          <w:rPr>
            <w:noProof/>
            <w:webHidden/>
          </w:rPr>
          <w:fldChar w:fldCharType="begin"/>
        </w:r>
        <w:r w:rsidR="007C29A2">
          <w:rPr>
            <w:noProof/>
            <w:webHidden/>
          </w:rPr>
          <w:instrText xml:space="preserve"> PAGEREF _Toc81738532 \h </w:instrText>
        </w:r>
        <w:r w:rsidR="007C29A2">
          <w:rPr>
            <w:noProof/>
            <w:webHidden/>
          </w:rPr>
        </w:r>
        <w:r w:rsidR="007C29A2">
          <w:rPr>
            <w:noProof/>
            <w:webHidden/>
          </w:rPr>
          <w:fldChar w:fldCharType="separate"/>
        </w:r>
        <w:r w:rsidR="007C29A2">
          <w:rPr>
            <w:noProof/>
            <w:webHidden/>
          </w:rPr>
          <w:t>206</w:t>
        </w:r>
        <w:r w:rsidR="007C29A2">
          <w:rPr>
            <w:noProof/>
            <w:webHidden/>
          </w:rPr>
          <w:fldChar w:fldCharType="end"/>
        </w:r>
      </w:hyperlink>
    </w:p>
    <w:p w14:paraId="21146555" w14:textId="12DAD31E"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33" w:history="1">
        <w:r w:rsidR="007C29A2" w:rsidRPr="00864071">
          <w:rPr>
            <w:rStyle w:val="Hypertextovodkaz"/>
            <w:noProof/>
          </w:rPr>
          <w:t>Tabulka 105</w:t>
        </w:r>
        <w:r w:rsidR="007C29A2">
          <w:rPr>
            <w:rFonts w:asciiTheme="minorHAnsi" w:eastAsiaTheme="minorEastAsia" w:hAnsiTheme="minorHAnsi"/>
            <w:noProof/>
            <w:sz w:val="24"/>
            <w:szCs w:val="24"/>
            <w:lang w:val="cs-CZ" w:eastAsia="cs-CZ"/>
          </w:rPr>
          <w:tab/>
        </w:r>
        <w:r w:rsidR="007C29A2" w:rsidRPr="00864071">
          <w:rPr>
            <w:rStyle w:val="Hypertextovodkaz"/>
            <w:noProof/>
          </w:rPr>
          <w:t>Ekonomika výkrmu prasat (náklady, přírůstky a realizační ceny z Výběrového šetření ÚZEI) v letech 2011 až 2020</w:t>
        </w:r>
        <w:r w:rsidR="007C29A2">
          <w:rPr>
            <w:noProof/>
            <w:webHidden/>
          </w:rPr>
          <w:tab/>
        </w:r>
        <w:r w:rsidR="007C29A2">
          <w:rPr>
            <w:noProof/>
            <w:webHidden/>
          </w:rPr>
          <w:fldChar w:fldCharType="begin"/>
        </w:r>
        <w:r w:rsidR="007C29A2">
          <w:rPr>
            <w:noProof/>
            <w:webHidden/>
          </w:rPr>
          <w:instrText xml:space="preserve"> PAGEREF _Toc81738533 \h </w:instrText>
        </w:r>
        <w:r w:rsidR="007C29A2">
          <w:rPr>
            <w:noProof/>
            <w:webHidden/>
          </w:rPr>
        </w:r>
        <w:r w:rsidR="007C29A2">
          <w:rPr>
            <w:noProof/>
            <w:webHidden/>
          </w:rPr>
          <w:fldChar w:fldCharType="separate"/>
        </w:r>
        <w:r w:rsidR="007C29A2">
          <w:rPr>
            <w:noProof/>
            <w:webHidden/>
          </w:rPr>
          <w:t>207</w:t>
        </w:r>
        <w:r w:rsidR="007C29A2">
          <w:rPr>
            <w:noProof/>
            <w:webHidden/>
          </w:rPr>
          <w:fldChar w:fldCharType="end"/>
        </w:r>
      </w:hyperlink>
    </w:p>
    <w:p w14:paraId="268025ED" w14:textId="6BF5CC92"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34" w:history="1">
        <w:r w:rsidR="007C29A2" w:rsidRPr="00864071">
          <w:rPr>
            <w:rStyle w:val="Hypertextovodkaz"/>
            <w:noProof/>
          </w:rPr>
          <w:t>Tabulka 106</w:t>
        </w:r>
        <w:r w:rsidR="007C29A2">
          <w:rPr>
            <w:rFonts w:asciiTheme="minorHAnsi" w:eastAsiaTheme="minorEastAsia" w:hAnsiTheme="minorHAnsi"/>
            <w:noProof/>
            <w:sz w:val="24"/>
            <w:szCs w:val="24"/>
            <w:lang w:val="cs-CZ" w:eastAsia="cs-CZ"/>
          </w:rPr>
          <w:tab/>
        </w:r>
        <w:r w:rsidR="007C29A2" w:rsidRPr="00864071">
          <w:rPr>
            <w:rStyle w:val="Hypertextovodkaz"/>
            <w:noProof/>
          </w:rPr>
          <w:t>Technický stav hodnocených stájí pro chov prasat podle kategorií (2017)</w:t>
        </w:r>
        <w:r w:rsidR="007C29A2">
          <w:rPr>
            <w:noProof/>
            <w:webHidden/>
          </w:rPr>
          <w:tab/>
        </w:r>
        <w:r w:rsidR="007C29A2">
          <w:rPr>
            <w:noProof/>
            <w:webHidden/>
          </w:rPr>
          <w:fldChar w:fldCharType="begin"/>
        </w:r>
        <w:r w:rsidR="007C29A2">
          <w:rPr>
            <w:noProof/>
            <w:webHidden/>
          </w:rPr>
          <w:instrText xml:space="preserve"> PAGEREF _Toc81738534 \h </w:instrText>
        </w:r>
        <w:r w:rsidR="007C29A2">
          <w:rPr>
            <w:noProof/>
            <w:webHidden/>
          </w:rPr>
        </w:r>
        <w:r w:rsidR="007C29A2">
          <w:rPr>
            <w:noProof/>
            <w:webHidden/>
          </w:rPr>
          <w:fldChar w:fldCharType="separate"/>
        </w:r>
        <w:r w:rsidR="007C29A2">
          <w:rPr>
            <w:noProof/>
            <w:webHidden/>
          </w:rPr>
          <w:t>209</w:t>
        </w:r>
        <w:r w:rsidR="007C29A2">
          <w:rPr>
            <w:noProof/>
            <w:webHidden/>
          </w:rPr>
          <w:fldChar w:fldCharType="end"/>
        </w:r>
      </w:hyperlink>
    </w:p>
    <w:p w14:paraId="1D3BC9D8" w14:textId="6AEC7AEB"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35" w:history="1">
        <w:r w:rsidR="007C29A2" w:rsidRPr="00864071">
          <w:rPr>
            <w:rStyle w:val="Hypertextovodkaz"/>
            <w:noProof/>
          </w:rPr>
          <w:t>Tabulka 107</w:t>
        </w:r>
        <w:r w:rsidR="007C29A2">
          <w:rPr>
            <w:rFonts w:asciiTheme="minorHAnsi" w:eastAsiaTheme="minorEastAsia" w:hAnsiTheme="minorHAnsi"/>
            <w:noProof/>
            <w:sz w:val="24"/>
            <w:szCs w:val="24"/>
            <w:lang w:val="cs-CZ" w:eastAsia="cs-CZ"/>
          </w:rPr>
          <w:tab/>
        </w:r>
        <w:r w:rsidR="007C29A2" w:rsidRPr="00864071">
          <w:rPr>
            <w:rStyle w:val="Hypertextovodkaz"/>
            <w:noProof/>
          </w:rPr>
          <w:t>Ukazatele plnění Strategie českého zemědělství do roku 2030</w:t>
        </w:r>
        <w:r w:rsidR="007C29A2">
          <w:rPr>
            <w:noProof/>
            <w:webHidden/>
          </w:rPr>
          <w:tab/>
        </w:r>
        <w:r w:rsidR="007C29A2">
          <w:rPr>
            <w:noProof/>
            <w:webHidden/>
          </w:rPr>
          <w:fldChar w:fldCharType="begin"/>
        </w:r>
        <w:r w:rsidR="007C29A2">
          <w:rPr>
            <w:noProof/>
            <w:webHidden/>
          </w:rPr>
          <w:instrText xml:space="preserve"> PAGEREF _Toc81738535 \h </w:instrText>
        </w:r>
        <w:r w:rsidR="007C29A2">
          <w:rPr>
            <w:noProof/>
            <w:webHidden/>
          </w:rPr>
        </w:r>
        <w:r w:rsidR="007C29A2">
          <w:rPr>
            <w:noProof/>
            <w:webHidden/>
          </w:rPr>
          <w:fldChar w:fldCharType="separate"/>
        </w:r>
        <w:r w:rsidR="007C29A2">
          <w:rPr>
            <w:noProof/>
            <w:webHidden/>
          </w:rPr>
          <w:t>214</w:t>
        </w:r>
        <w:r w:rsidR="007C29A2">
          <w:rPr>
            <w:noProof/>
            <w:webHidden/>
          </w:rPr>
          <w:fldChar w:fldCharType="end"/>
        </w:r>
      </w:hyperlink>
    </w:p>
    <w:p w14:paraId="19BB27A8" w14:textId="1AB8E038"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36" w:history="1">
        <w:r w:rsidR="007C29A2" w:rsidRPr="00864071">
          <w:rPr>
            <w:rStyle w:val="Hypertextovodkaz"/>
            <w:noProof/>
          </w:rPr>
          <w:t>Tabulka 108</w:t>
        </w:r>
        <w:r w:rsidR="007C29A2">
          <w:rPr>
            <w:rFonts w:asciiTheme="minorHAnsi" w:eastAsiaTheme="minorEastAsia" w:hAnsiTheme="minorHAnsi"/>
            <w:noProof/>
            <w:sz w:val="24"/>
            <w:szCs w:val="24"/>
            <w:lang w:val="cs-CZ" w:eastAsia="cs-CZ"/>
          </w:rPr>
          <w:tab/>
        </w:r>
        <w:r w:rsidR="007C29A2" w:rsidRPr="00864071">
          <w:rPr>
            <w:rStyle w:val="Hypertextovodkaz"/>
            <w:noProof/>
          </w:rPr>
          <w:t>Ekonomika výkrmu prasat podle třetin</w:t>
        </w:r>
        <w:r w:rsidR="007C29A2">
          <w:rPr>
            <w:noProof/>
            <w:webHidden/>
          </w:rPr>
          <w:tab/>
        </w:r>
        <w:r w:rsidR="007C29A2">
          <w:rPr>
            <w:noProof/>
            <w:webHidden/>
          </w:rPr>
          <w:fldChar w:fldCharType="begin"/>
        </w:r>
        <w:r w:rsidR="007C29A2">
          <w:rPr>
            <w:noProof/>
            <w:webHidden/>
          </w:rPr>
          <w:instrText xml:space="preserve"> PAGEREF _Toc81738536 \h </w:instrText>
        </w:r>
        <w:r w:rsidR="007C29A2">
          <w:rPr>
            <w:noProof/>
            <w:webHidden/>
          </w:rPr>
        </w:r>
        <w:r w:rsidR="007C29A2">
          <w:rPr>
            <w:noProof/>
            <w:webHidden/>
          </w:rPr>
          <w:fldChar w:fldCharType="separate"/>
        </w:r>
        <w:r w:rsidR="007C29A2">
          <w:rPr>
            <w:noProof/>
            <w:webHidden/>
          </w:rPr>
          <w:t>215</w:t>
        </w:r>
        <w:r w:rsidR="007C29A2">
          <w:rPr>
            <w:noProof/>
            <w:webHidden/>
          </w:rPr>
          <w:fldChar w:fldCharType="end"/>
        </w:r>
      </w:hyperlink>
    </w:p>
    <w:p w14:paraId="3BED16BF" w14:textId="260C2D3B"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37" w:history="1">
        <w:r w:rsidR="007C29A2" w:rsidRPr="00864071">
          <w:rPr>
            <w:rStyle w:val="Hypertextovodkaz"/>
            <w:noProof/>
          </w:rPr>
          <w:t>Tabulka 109</w:t>
        </w:r>
        <w:r w:rsidR="007C29A2">
          <w:rPr>
            <w:rFonts w:asciiTheme="minorHAnsi" w:eastAsiaTheme="minorEastAsia" w:hAnsiTheme="minorHAnsi"/>
            <w:noProof/>
            <w:sz w:val="24"/>
            <w:szCs w:val="24"/>
            <w:lang w:val="cs-CZ" w:eastAsia="cs-CZ"/>
          </w:rPr>
          <w:tab/>
        </w:r>
        <w:r w:rsidR="007C29A2" w:rsidRPr="00864071">
          <w:rPr>
            <w:rStyle w:val="Hypertextovodkaz"/>
            <w:noProof/>
          </w:rPr>
          <w:t>Ekonomika produkce vepřového masa v letech 2018 až 2020 s výhledem do roku 2030</w:t>
        </w:r>
        <w:r w:rsidR="007C29A2">
          <w:rPr>
            <w:noProof/>
            <w:webHidden/>
          </w:rPr>
          <w:tab/>
        </w:r>
        <w:r w:rsidR="007C29A2">
          <w:rPr>
            <w:noProof/>
            <w:webHidden/>
          </w:rPr>
          <w:fldChar w:fldCharType="begin"/>
        </w:r>
        <w:r w:rsidR="007C29A2">
          <w:rPr>
            <w:noProof/>
            <w:webHidden/>
          </w:rPr>
          <w:instrText xml:space="preserve"> PAGEREF _Toc81738537 \h </w:instrText>
        </w:r>
        <w:r w:rsidR="007C29A2">
          <w:rPr>
            <w:noProof/>
            <w:webHidden/>
          </w:rPr>
        </w:r>
        <w:r w:rsidR="007C29A2">
          <w:rPr>
            <w:noProof/>
            <w:webHidden/>
          </w:rPr>
          <w:fldChar w:fldCharType="separate"/>
        </w:r>
        <w:r w:rsidR="007C29A2">
          <w:rPr>
            <w:noProof/>
            <w:webHidden/>
          </w:rPr>
          <w:t>217</w:t>
        </w:r>
        <w:r w:rsidR="007C29A2">
          <w:rPr>
            <w:noProof/>
            <w:webHidden/>
          </w:rPr>
          <w:fldChar w:fldCharType="end"/>
        </w:r>
      </w:hyperlink>
    </w:p>
    <w:p w14:paraId="118E7881" w14:textId="1E7C9194"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38" w:history="1">
        <w:r w:rsidR="007C29A2" w:rsidRPr="00864071">
          <w:rPr>
            <w:rStyle w:val="Hypertextovodkaz"/>
            <w:noProof/>
          </w:rPr>
          <w:t>Tabulka 110</w:t>
        </w:r>
        <w:r w:rsidR="007C29A2">
          <w:rPr>
            <w:rFonts w:asciiTheme="minorHAnsi" w:eastAsiaTheme="minorEastAsia" w:hAnsiTheme="minorHAnsi"/>
            <w:noProof/>
            <w:sz w:val="24"/>
            <w:szCs w:val="24"/>
            <w:lang w:val="cs-CZ" w:eastAsia="cs-CZ"/>
          </w:rPr>
          <w:tab/>
        </w:r>
        <w:r w:rsidR="007C29A2" w:rsidRPr="00864071">
          <w:rPr>
            <w:rStyle w:val="Hypertextovodkaz"/>
            <w:noProof/>
          </w:rPr>
          <w:t>Teorie změny – chov prasat, vepřové maso</w:t>
        </w:r>
        <w:r w:rsidR="007C29A2">
          <w:rPr>
            <w:noProof/>
            <w:webHidden/>
          </w:rPr>
          <w:tab/>
        </w:r>
        <w:r w:rsidR="007C29A2">
          <w:rPr>
            <w:noProof/>
            <w:webHidden/>
          </w:rPr>
          <w:fldChar w:fldCharType="begin"/>
        </w:r>
        <w:r w:rsidR="007C29A2">
          <w:rPr>
            <w:noProof/>
            <w:webHidden/>
          </w:rPr>
          <w:instrText xml:space="preserve"> PAGEREF _Toc81738538 \h </w:instrText>
        </w:r>
        <w:r w:rsidR="007C29A2">
          <w:rPr>
            <w:noProof/>
            <w:webHidden/>
          </w:rPr>
        </w:r>
        <w:r w:rsidR="007C29A2">
          <w:rPr>
            <w:noProof/>
            <w:webHidden/>
          </w:rPr>
          <w:fldChar w:fldCharType="separate"/>
        </w:r>
        <w:r w:rsidR="007C29A2">
          <w:rPr>
            <w:noProof/>
            <w:webHidden/>
          </w:rPr>
          <w:t>219</w:t>
        </w:r>
        <w:r w:rsidR="007C29A2">
          <w:rPr>
            <w:noProof/>
            <w:webHidden/>
          </w:rPr>
          <w:fldChar w:fldCharType="end"/>
        </w:r>
      </w:hyperlink>
    </w:p>
    <w:p w14:paraId="21B19B8C" w14:textId="7BE8DFEF"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39" w:history="1">
        <w:r w:rsidR="007C29A2" w:rsidRPr="00864071">
          <w:rPr>
            <w:rStyle w:val="Hypertextovodkaz"/>
            <w:noProof/>
          </w:rPr>
          <w:t>Tabulka 111</w:t>
        </w:r>
        <w:r w:rsidR="007C29A2">
          <w:rPr>
            <w:rFonts w:asciiTheme="minorHAnsi" w:eastAsiaTheme="minorEastAsia" w:hAnsiTheme="minorHAnsi"/>
            <w:noProof/>
            <w:sz w:val="24"/>
            <w:szCs w:val="24"/>
            <w:lang w:val="cs-CZ" w:eastAsia="cs-CZ"/>
          </w:rPr>
          <w:tab/>
        </w:r>
        <w:r w:rsidR="007C29A2" w:rsidRPr="00864071">
          <w:rPr>
            <w:rStyle w:val="Hypertextovodkaz"/>
            <w:noProof/>
          </w:rPr>
          <w:t>Srovnání ekonomiky výkrmu kuřat v ČR a Polsku v roce 2017</w:t>
        </w:r>
        <w:r w:rsidR="007C29A2">
          <w:rPr>
            <w:noProof/>
            <w:webHidden/>
          </w:rPr>
          <w:tab/>
        </w:r>
        <w:r w:rsidR="007C29A2">
          <w:rPr>
            <w:noProof/>
            <w:webHidden/>
          </w:rPr>
          <w:fldChar w:fldCharType="begin"/>
        </w:r>
        <w:r w:rsidR="007C29A2">
          <w:rPr>
            <w:noProof/>
            <w:webHidden/>
          </w:rPr>
          <w:instrText xml:space="preserve"> PAGEREF _Toc81738539 \h </w:instrText>
        </w:r>
        <w:r w:rsidR="007C29A2">
          <w:rPr>
            <w:noProof/>
            <w:webHidden/>
          </w:rPr>
        </w:r>
        <w:r w:rsidR="007C29A2">
          <w:rPr>
            <w:noProof/>
            <w:webHidden/>
          </w:rPr>
          <w:fldChar w:fldCharType="separate"/>
        </w:r>
        <w:r w:rsidR="007C29A2">
          <w:rPr>
            <w:noProof/>
            <w:webHidden/>
          </w:rPr>
          <w:t>225</w:t>
        </w:r>
        <w:r w:rsidR="007C29A2">
          <w:rPr>
            <w:noProof/>
            <w:webHidden/>
          </w:rPr>
          <w:fldChar w:fldCharType="end"/>
        </w:r>
      </w:hyperlink>
    </w:p>
    <w:p w14:paraId="35A9038E" w14:textId="59B7FB48"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40" w:history="1">
        <w:r w:rsidR="007C29A2" w:rsidRPr="00864071">
          <w:rPr>
            <w:rStyle w:val="Hypertextovodkaz"/>
            <w:noProof/>
          </w:rPr>
          <w:t>Tabulka 112</w:t>
        </w:r>
        <w:r w:rsidR="007C29A2">
          <w:rPr>
            <w:rFonts w:asciiTheme="minorHAnsi" w:eastAsiaTheme="minorEastAsia" w:hAnsiTheme="minorHAnsi"/>
            <w:noProof/>
            <w:sz w:val="24"/>
            <w:szCs w:val="24"/>
            <w:lang w:val="cs-CZ" w:eastAsia="cs-CZ"/>
          </w:rPr>
          <w:tab/>
        </w:r>
        <w:r w:rsidR="007C29A2" w:rsidRPr="00864071">
          <w:rPr>
            <w:rStyle w:val="Hypertextovodkaz"/>
            <w:noProof/>
          </w:rPr>
          <w:t>Náklady primární produkce na kg vajec z obohacených klecí ve vybraných zemích EU v roce 2017</w:t>
        </w:r>
        <w:r w:rsidR="007C29A2">
          <w:rPr>
            <w:noProof/>
            <w:webHidden/>
          </w:rPr>
          <w:tab/>
        </w:r>
        <w:r w:rsidR="007C29A2">
          <w:rPr>
            <w:noProof/>
            <w:webHidden/>
          </w:rPr>
          <w:fldChar w:fldCharType="begin"/>
        </w:r>
        <w:r w:rsidR="007C29A2">
          <w:rPr>
            <w:noProof/>
            <w:webHidden/>
          </w:rPr>
          <w:instrText xml:space="preserve"> PAGEREF _Toc81738540 \h </w:instrText>
        </w:r>
        <w:r w:rsidR="007C29A2">
          <w:rPr>
            <w:noProof/>
            <w:webHidden/>
          </w:rPr>
        </w:r>
        <w:r w:rsidR="007C29A2">
          <w:rPr>
            <w:noProof/>
            <w:webHidden/>
          </w:rPr>
          <w:fldChar w:fldCharType="separate"/>
        </w:r>
        <w:r w:rsidR="007C29A2">
          <w:rPr>
            <w:noProof/>
            <w:webHidden/>
          </w:rPr>
          <w:t>226</w:t>
        </w:r>
        <w:r w:rsidR="007C29A2">
          <w:rPr>
            <w:noProof/>
            <w:webHidden/>
          </w:rPr>
          <w:fldChar w:fldCharType="end"/>
        </w:r>
      </w:hyperlink>
    </w:p>
    <w:p w14:paraId="2FFA332E" w14:textId="3692D6F2"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41" w:history="1">
        <w:r w:rsidR="007C29A2" w:rsidRPr="00864071">
          <w:rPr>
            <w:rStyle w:val="Hypertextovodkaz"/>
            <w:noProof/>
          </w:rPr>
          <w:t>Tabulka 113</w:t>
        </w:r>
        <w:r w:rsidR="007C29A2">
          <w:rPr>
            <w:rFonts w:asciiTheme="minorHAnsi" w:eastAsiaTheme="minorEastAsia" w:hAnsiTheme="minorHAnsi"/>
            <w:noProof/>
            <w:sz w:val="24"/>
            <w:szCs w:val="24"/>
            <w:lang w:val="cs-CZ" w:eastAsia="cs-CZ"/>
          </w:rPr>
          <w:tab/>
        </w:r>
        <w:r w:rsidR="007C29A2" w:rsidRPr="00864071">
          <w:rPr>
            <w:rStyle w:val="Hypertextovodkaz"/>
            <w:noProof/>
          </w:rPr>
          <w:t>Produkce konzumních vajec v zemědělských podnicích a domácích hospodářstvích</w:t>
        </w:r>
        <w:r w:rsidR="007C29A2">
          <w:rPr>
            <w:noProof/>
            <w:webHidden/>
          </w:rPr>
          <w:tab/>
        </w:r>
        <w:r w:rsidR="007C29A2">
          <w:rPr>
            <w:noProof/>
            <w:webHidden/>
          </w:rPr>
          <w:fldChar w:fldCharType="begin"/>
        </w:r>
        <w:r w:rsidR="007C29A2">
          <w:rPr>
            <w:noProof/>
            <w:webHidden/>
          </w:rPr>
          <w:instrText xml:space="preserve"> PAGEREF _Toc81738541 \h </w:instrText>
        </w:r>
        <w:r w:rsidR="007C29A2">
          <w:rPr>
            <w:noProof/>
            <w:webHidden/>
          </w:rPr>
        </w:r>
        <w:r w:rsidR="007C29A2">
          <w:rPr>
            <w:noProof/>
            <w:webHidden/>
          </w:rPr>
          <w:fldChar w:fldCharType="separate"/>
        </w:r>
        <w:r w:rsidR="007C29A2">
          <w:rPr>
            <w:noProof/>
            <w:webHidden/>
          </w:rPr>
          <w:t>227</w:t>
        </w:r>
        <w:r w:rsidR="007C29A2">
          <w:rPr>
            <w:noProof/>
            <w:webHidden/>
          </w:rPr>
          <w:fldChar w:fldCharType="end"/>
        </w:r>
      </w:hyperlink>
    </w:p>
    <w:p w14:paraId="2C8A4853" w14:textId="052D72F4"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42" w:history="1">
        <w:r w:rsidR="007C29A2" w:rsidRPr="00864071">
          <w:rPr>
            <w:rStyle w:val="Hypertextovodkaz"/>
            <w:noProof/>
          </w:rPr>
          <w:t>Tabulka 114</w:t>
        </w:r>
        <w:r w:rsidR="007C29A2">
          <w:rPr>
            <w:rFonts w:asciiTheme="minorHAnsi" w:eastAsiaTheme="minorEastAsia" w:hAnsiTheme="minorHAnsi"/>
            <w:noProof/>
            <w:sz w:val="24"/>
            <w:szCs w:val="24"/>
            <w:lang w:val="cs-CZ" w:eastAsia="cs-CZ"/>
          </w:rPr>
          <w:tab/>
        </w:r>
        <w:r w:rsidR="007C29A2" w:rsidRPr="00864071">
          <w:rPr>
            <w:rStyle w:val="Hypertextovodkaz"/>
            <w:noProof/>
          </w:rPr>
          <w:t>Zastoupení typů technologií v ustájení nosnic</w:t>
        </w:r>
        <w:r w:rsidR="007C29A2">
          <w:rPr>
            <w:noProof/>
            <w:webHidden/>
          </w:rPr>
          <w:tab/>
        </w:r>
        <w:r w:rsidR="007C29A2">
          <w:rPr>
            <w:noProof/>
            <w:webHidden/>
          </w:rPr>
          <w:fldChar w:fldCharType="begin"/>
        </w:r>
        <w:r w:rsidR="007C29A2">
          <w:rPr>
            <w:noProof/>
            <w:webHidden/>
          </w:rPr>
          <w:instrText xml:space="preserve"> PAGEREF _Toc81738542 \h </w:instrText>
        </w:r>
        <w:r w:rsidR="007C29A2">
          <w:rPr>
            <w:noProof/>
            <w:webHidden/>
          </w:rPr>
        </w:r>
        <w:r w:rsidR="007C29A2">
          <w:rPr>
            <w:noProof/>
            <w:webHidden/>
          </w:rPr>
          <w:fldChar w:fldCharType="separate"/>
        </w:r>
        <w:r w:rsidR="007C29A2">
          <w:rPr>
            <w:noProof/>
            <w:webHidden/>
          </w:rPr>
          <w:t>228</w:t>
        </w:r>
        <w:r w:rsidR="007C29A2">
          <w:rPr>
            <w:noProof/>
            <w:webHidden/>
          </w:rPr>
          <w:fldChar w:fldCharType="end"/>
        </w:r>
      </w:hyperlink>
    </w:p>
    <w:p w14:paraId="50055F1C" w14:textId="2DE60E58"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43" w:history="1">
        <w:r w:rsidR="007C29A2" w:rsidRPr="00864071">
          <w:rPr>
            <w:rStyle w:val="Hypertextovodkaz"/>
            <w:noProof/>
          </w:rPr>
          <w:t>Tabulka 115</w:t>
        </w:r>
        <w:r w:rsidR="007C29A2">
          <w:rPr>
            <w:rFonts w:asciiTheme="minorHAnsi" w:eastAsiaTheme="minorEastAsia" w:hAnsiTheme="minorHAnsi"/>
            <w:noProof/>
            <w:sz w:val="24"/>
            <w:szCs w:val="24"/>
            <w:lang w:val="cs-CZ" w:eastAsia="cs-CZ"/>
          </w:rPr>
          <w:tab/>
        </w:r>
        <w:r w:rsidR="007C29A2" w:rsidRPr="00864071">
          <w:rPr>
            <w:rStyle w:val="Hypertextovodkaz"/>
            <w:noProof/>
          </w:rPr>
          <w:t>Ekonomika výkrmu kuřat</w:t>
        </w:r>
        <w:r w:rsidR="007C29A2">
          <w:rPr>
            <w:noProof/>
            <w:webHidden/>
          </w:rPr>
          <w:tab/>
        </w:r>
        <w:r w:rsidR="007C29A2">
          <w:rPr>
            <w:noProof/>
            <w:webHidden/>
          </w:rPr>
          <w:fldChar w:fldCharType="begin"/>
        </w:r>
        <w:r w:rsidR="007C29A2">
          <w:rPr>
            <w:noProof/>
            <w:webHidden/>
          </w:rPr>
          <w:instrText xml:space="preserve"> PAGEREF _Toc81738543 \h </w:instrText>
        </w:r>
        <w:r w:rsidR="007C29A2">
          <w:rPr>
            <w:noProof/>
            <w:webHidden/>
          </w:rPr>
        </w:r>
        <w:r w:rsidR="007C29A2">
          <w:rPr>
            <w:noProof/>
            <w:webHidden/>
          </w:rPr>
          <w:fldChar w:fldCharType="separate"/>
        </w:r>
        <w:r w:rsidR="007C29A2">
          <w:rPr>
            <w:noProof/>
            <w:webHidden/>
          </w:rPr>
          <w:t>232</w:t>
        </w:r>
        <w:r w:rsidR="007C29A2">
          <w:rPr>
            <w:noProof/>
            <w:webHidden/>
          </w:rPr>
          <w:fldChar w:fldCharType="end"/>
        </w:r>
      </w:hyperlink>
    </w:p>
    <w:p w14:paraId="791E8F88" w14:textId="19882A3F"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44" w:history="1">
        <w:r w:rsidR="007C29A2" w:rsidRPr="00864071">
          <w:rPr>
            <w:rStyle w:val="Hypertextovodkaz"/>
            <w:noProof/>
          </w:rPr>
          <w:t>Tabulka 116</w:t>
        </w:r>
        <w:r w:rsidR="007C29A2">
          <w:rPr>
            <w:rFonts w:asciiTheme="minorHAnsi" w:eastAsiaTheme="minorEastAsia" w:hAnsiTheme="minorHAnsi"/>
            <w:noProof/>
            <w:sz w:val="24"/>
            <w:szCs w:val="24"/>
            <w:lang w:val="cs-CZ" w:eastAsia="cs-CZ"/>
          </w:rPr>
          <w:tab/>
        </w:r>
        <w:r w:rsidR="007C29A2" w:rsidRPr="00864071">
          <w:rPr>
            <w:rStyle w:val="Hypertextovodkaz"/>
            <w:noProof/>
          </w:rPr>
          <w:t>Ekonomika vajec</w:t>
        </w:r>
        <w:r w:rsidR="007C29A2">
          <w:rPr>
            <w:noProof/>
            <w:webHidden/>
          </w:rPr>
          <w:tab/>
        </w:r>
        <w:r w:rsidR="007C29A2">
          <w:rPr>
            <w:noProof/>
            <w:webHidden/>
          </w:rPr>
          <w:fldChar w:fldCharType="begin"/>
        </w:r>
        <w:r w:rsidR="007C29A2">
          <w:rPr>
            <w:noProof/>
            <w:webHidden/>
          </w:rPr>
          <w:instrText xml:space="preserve"> PAGEREF _Toc81738544 \h </w:instrText>
        </w:r>
        <w:r w:rsidR="007C29A2">
          <w:rPr>
            <w:noProof/>
            <w:webHidden/>
          </w:rPr>
        </w:r>
        <w:r w:rsidR="007C29A2">
          <w:rPr>
            <w:noProof/>
            <w:webHidden/>
          </w:rPr>
          <w:fldChar w:fldCharType="separate"/>
        </w:r>
        <w:r w:rsidR="007C29A2">
          <w:rPr>
            <w:noProof/>
            <w:webHidden/>
          </w:rPr>
          <w:t>232</w:t>
        </w:r>
        <w:r w:rsidR="007C29A2">
          <w:rPr>
            <w:noProof/>
            <w:webHidden/>
          </w:rPr>
          <w:fldChar w:fldCharType="end"/>
        </w:r>
      </w:hyperlink>
    </w:p>
    <w:p w14:paraId="247556DC" w14:textId="76863331"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45" w:history="1">
        <w:r w:rsidR="007C29A2" w:rsidRPr="00864071">
          <w:rPr>
            <w:rStyle w:val="Hypertextovodkaz"/>
            <w:noProof/>
          </w:rPr>
          <w:t>Tabulka 117</w:t>
        </w:r>
        <w:r w:rsidR="007C29A2">
          <w:rPr>
            <w:rFonts w:asciiTheme="minorHAnsi" w:eastAsiaTheme="minorEastAsia" w:hAnsiTheme="minorHAnsi"/>
            <w:noProof/>
            <w:sz w:val="24"/>
            <w:szCs w:val="24"/>
            <w:lang w:val="cs-CZ" w:eastAsia="cs-CZ"/>
          </w:rPr>
          <w:tab/>
        </w:r>
        <w:r w:rsidR="007C29A2" w:rsidRPr="00864071">
          <w:rPr>
            <w:rStyle w:val="Hypertextovodkaz"/>
            <w:noProof/>
          </w:rPr>
          <w:t>Rentabilita chovu drůbeže podle velikosti</w:t>
        </w:r>
        <w:r w:rsidR="007C29A2">
          <w:rPr>
            <w:noProof/>
            <w:webHidden/>
          </w:rPr>
          <w:tab/>
        </w:r>
        <w:r w:rsidR="007C29A2">
          <w:rPr>
            <w:noProof/>
            <w:webHidden/>
          </w:rPr>
          <w:fldChar w:fldCharType="begin"/>
        </w:r>
        <w:r w:rsidR="007C29A2">
          <w:rPr>
            <w:noProof/>
            <w:webHidden/>
          </w:rPr>
          <w:instrText xml:space="preserve"> PAGEREF _Toc81738545 \h </w:instrText>
        </w:r>
        <w:r w:rsidR="007C29A2">
          <w:rPr>
            <w:noProof/>
            <w:webHidden/>
          </w:rPr>
        </w:r>
        <w:r w:rsidR="007C29A2">
          <w:rPr>
            <w:noProof/>
            <w:webHidden/>
          </w:rPr>
          <w:fldChar w:fldCharType="separate"/>
        </w:r>
        <w:r w:rsidR="007C29A2">
          <w:rPr>
            <w:noProof/>
            <w:webHidden/>
          </w:rPr>
          <w:t>233</w:t>
        </w:r>
        <w:r w:rsidR="007C29A2">
          <w:rPr>
            <w:noProof/>
            <w:webHidden/>
          </w:rPr>
          <w:fldChar w:fldCharType="end"/>
        </w:r>
      </w:hyperlink>
    </w:p>
    <w:p w14:paraId="4491F28A" w14:textId="194692CB"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46" w:history="1">
        <w:r w:rsidR="007C29A2" w:rsidRPr="00864071">
          <w:rPr>
            <w:rStyle w:val="Hypertextovodkaz"/>
            <w:noProof/>
          </w:rPr>
          <w:t>Tabulka 118</w:t>
        </w:r>
        <w:r w:rsidR="007C29A2">
          <w:rPr>
            <w:rFonts w:asciiTheme="minorHAnsi" w:eastAsiaTheme="minorEastAsia" w:hAnsiTheme="minorHAnsi"/>
            <w:noProof/>
            <w:sz w:val="24"/>
            <w:szCs w:val="24"/>
            <w:lang w:val="cs-CZ" w:eastAsia="cs-CZ"/>
          </w:rPr>
          <w:tab/>
        </w:r>
        <w:r w:rsidR="007C29A2" w:rsidRPr="00864071">
          <w:rPr>
            <w:rStyle w:val="Hypertextovodkaz"/>
            <w:noProof/>
          </w:rPr>
          <w:t>Výše podpor v rámci DT 8.F.c.a. a 8.F.c.c. a produkční ukazatele chovu nosnic v ČR v letech 2012-2018</w:t>
        </w:r>
        <w:r w:rsidR="007C29A2">
          <w:rPr>
            <w:noProof/>
            <w:webHidden/>
          </w:rPr>
          <w:tab/>
        </w:r>
        <w:r w:rsidR="007C29A2">
          <w:rPr>
            <w:noProof/>
            <w:webHidden/>
          </w:rPr>
          <w:fldChar w:fldCharType="begin"/>
        </w:r>
        <w:r w:rsidR="007C29A2">
          <w:rPr>
            <w:noProof/>
            <w:webHidden/>
          </w:rPr>
          <w:instrText xml:space="preserve"> PAGEREF _Toc81738546 \h </w:instrText>
        </w:r>
        <w:r w:rsidR="007C29A2">
          <w:rPr>
            <w:noProof/>
            <w:webHidden/>
          </w:rPr>
        </w:r>
        <w:r w:rsidR="007C29A2">
          <w:rPr>
            <w:noProof/>
            <w:webHidden/>
          </w:rPr>
          <w:fldChar w:fldCharType="separate"/>
        </w:r>
        <w:r w:rsidR="007C29A2">
          <w:rPr>
            <w:noProof/>
            <w:webHidden/>
          </w:rPr>
          <w:t>238</w:t>
        </w:r>
        <w:r w:rsidR="007C29A2">
          <w:rPr>
            <w:noProof/>
            <w:webHidden/>
          </w:rPr>
          <w:fldChar w:fldCharType="end"/>
        </w:r>
      </w:hyperlink>
    </w:p>
    <w:p w14:paraId="2E126FF3" w14:textId="6E143A7B"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47" w:history="1">
        <w:r w:rsidR="007C29A2" w:rsidRPr="00864071">
          <w:rPr>
            <w:rStyle w:val="Hypertextovodkaz"/>
            <w:noProof/>
          </w:rPr>
          <w:t>Tabulka 119</w:t>
        </w:r>
        <w:r w:rsidR="007C29A2">
          <w:rPr>
            <w:rFonts w:asciiTheme="minorHAnsi" w:eastAsiaTheme="minorEastAsia" w:hAnsiTheme="minorHAnsi"/>
            <w:noProof/>
            <w:sz w:val="24"/>
            <w:szCs w:val="24"/>
            <w:lang w:val="cs-CZ" w:eastAsia="cs-CZ"/>
          </w:rPr>
          <w:tab/>
        </w:r>
        <w:r w:rsidR="007C29A2" w:rsidRPr="00864071">
          <w:rPr>
            <w:rStyle w:val="Hypertextovodkaz"/>
            <w:noProof/>
          </w:rPr>
          <w:t>Ekonomika produk ce drůbežího masa v letech 2018 až 2020 s výhledem do roku 2030</w:t>
        </w:r>
        <w:r w:rsidR="007C29A2">
          <w:rPr>
            <w:noProof/>
            <w:webHidden/>
          </w:rPr>
          <w:tab/>
        </w:r>
        <w:r w:rsidR="007C29A2">
          <w:rPr>
            <w:noProof/>
            <w:webHidden/>
          </w:rPr>
          <w:fldChar w:fldCharType="begin"/>
        </w:r>
        <w:r w:rsidR="007C29A2">
          <w:rPr>
            <w:noProof/>
            <w:webHidden/>
          </w:rPr>
          <w:instrText xml:space="preserve"> PAGEREF _Toc81738547 \h </w:instrText>
        </w:r>
        <w:r w:rsidR="007C29A2">
          <w:rPr>
            <w:noProof/>
            <w:webHidden/>
          </w:rPr>
        </w:r>
        <w:r w:rsidR="007C29A2">
          <w:rPr>
            <w:noProof/>
            <w:webHidden/>
          </w:rPr>
          <w:fldChar w:fldCharType="separate"/>
        </w:r>
        <w:r w:rsidR="007C29A2">
          <w:rPr>
            <w:noProof/>
            <w:webHidden/>
          </w:rPr>
          <w:t>239</w:t>
        </w:r>
        <w:r w:rsidR="007C29A2">
          <w:rPr>
            <w:noProof/>
            <w:webHidden/>
          </w:rPr>
          <w:fldChar w:fldCharType="end"/>
        </w:r>
      </w:hyperlink>
    </w:p>
    <w:p w14:paraId="145D92A0" w14:textId="29F78677"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48" w:history="1">
        <w:r w:rsidR="007C29A2" w:rsidRPr="00864071">
          <w:rPr>
            <w:rStyle w:val="Hypertextovodkaz"/>
            <w:noProof/>
          </w:rPr>
          <w:t>Tabulka 120</w:t>
        </w:r>
        <w:r w:rsidR="007C29A2">
          <w:rPr>
            <w:rFonts w:asciiTheme="minorHAnsi" w:eastAsiaTheme="minorEastAsia" w:hAnsiTheme="minorHAnsi"/>
            <w:noProof/>
            <w:sz w:val="24"/>
            <w:szCs w:val="24"/>
            <w:lang w:val="cs-CZ" w:eastAsia="cs-CZ"/>
          </w:rPr>
          <w:tab/>
        </w:r>
        <w:r w:rsidR="007C29A2" w:rsidRPr="00864071">
          <w:rPr>
            <w:rStyle w:val="Hypertextovodkaz"/>
            <w:noProof/>
          </w:rPr>
          <w:t>Ekonomika produkce vajec v letech 2018 až 2020 s výhledem do roku 2030</w:t>
        </w:r>
        <w:r w:rsidR="007C29A2">
          <w:rPr>
            <w:noProof/>
            <w:webHidden/>
          </w:rPr>
          <w:tab/>
        </w:r>
        <w:r w:rsidR="007C29A2">
          <w:rPr>
            <w:noProof/>
            <w:webHidden/>
          </w:rPr>
          <w:fldChar w:fldCharType="begin"/>
        </w:r>
        <w:r w:rsidR="007C29A2">
          <w:rPr>
            <w:noProof/>
            <w:webHidden/>
          </w:rPr>
          <w:instrText xml:space="preserve"> PAGEREF _Toc81738548 \h </w:instrText>
        </w:r>
        <w:r w:rsidR="007C29A2">
          <w:rPr>
            <w:noProof/>
            <w:webHidden/>
          </w:rPr>
        </w:r>
        <w:r w:rsidR="007C29A2">
          <w:rPr>
            <w:noProof/>
            <w:webHidden/>
          </w:rPr>
          <w:fldChar w:fldCharType="separate"/>
        </w:r>
        <w:r w:rsidR="007C29A2">
          <w:rPr>
            <w:noProof/>
            <w:webHidden/>
          </w:rPr>
          <w:t>239</w:t>
        </w:r>
        <w:r w:rsidR="007C29A2">
          <w:rPr>
            <w:noProof/>
            <w:webHidden/>
          </w:rPr>
          <w:fldChar w:fldCharType="end"/>
        </w:r>
      </w:hyperlink>
    </w:p>
    <w:p w14:paraId="64CEB354" w14:textId="56ADFE4C"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49" w:history="1">
        <w:r w:rsidR="007C29A2" w:rsidRPr="00864071">
          <w:rPr>
            <w:rStyle w:val="Hypertextovodkaz"/>
            <w:noProof/>
          </w:rPr>
          <w:t>Tabulka 121</w:t>
        </w:r>
        <w:r w:rsidR="007C29A2">
          <w:rPr>
            <w:rFonts w:asciiTheme="minorHAnsi" w:eastAsiaTheme="minorEastAsia" w:hAnsiTheme="minorHAnsi"/>
            <w:noProof/>
            <w:sz w:val="24"/>
            <w:szCs w:val="24"/>
            <w:lang w:val="cs-CZ" w:eastAsia="cs-CZ"/>
          </w:rPr>
          <w:tab/>
        </w:r>
        <w:r w:rsidR="007C29A2" w:rsidRPr="00864071">
          <w:rPr>
            <w:rStyle w:val="Hypertextovodkaz"/>
            <w:noProof/>
          </w:rPr>
          <w:t>Teorie změny - drůbeží maso</w:t>
        </w:r>
        <w:r w:rsidR="007C29A2">
          <w:rPr>
            <w:noProof/>
            <w:webHidden/>
          </w:rPr>
          <w:tab/>
        </w:r>
        <w:r w:rsidR="007C29A2">
          <w:rPr>
            <w:noProof/>
            <w:webHidden/>
          </w:rPr>
          <w:fldChar w:fldCharType="begin"/>
        </w:r>
        <w:r w:rsidR="007C29A2">
          <w:rPr>
            <w:noProof/>
            <w:webHidden/>
          </w:rPr>
          <w:instrText xml:space="preserve"> PAGEREF _Toc81738549 \h </w:instrText>
        </w:r>
        <w:r w:rsidR="007C29A2">
          <w:rPr>
            <w:noProof/>
            <w:webHidden/>
          </w:rPr>
        </w:r>
        <w:r w:rsidR="007C29A2">
          <w:rPr>
            <w:noProof/>
            <w:webHidden/>
          </w:rPr>
          <w:fldChar w:fldCharType="separate"/>
        </w:r>
        <w:r w:rsidR="007C29A2">
          <w:rPr>
            <w:noProof/>
            <w:webHidden/>
          </w:rPr>
          <w:t>241</w:t>
        </w:r>
        <w:r w:rsidR="007C29A2">
          <w:rPr>
            <w:noProof/>
            <w:webHidden/>
          </w:rPr>
          <w:fldChar w:fldCharType="end"/>
        </w:r>
      </w:hyperlink>
    </w:p>
    <w:p w14:paraId="68C287FD" w14:textId="600DA7F6"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50" w:history="1">
        <w:r w:rsidR="007C29A2" w:rsidRPr="00864071">
          <w:rPr>
            <w:rStyle w:val="Hypertextovodkaz"/>
            <w:noProof/>
          </w:rPr>
          <w:t>Tabulka 122</w:t>
        </w:r>
        <w:r w:rsidR="007C29A2">
          <w:rPr>
            <w:rFonts w:asciiTheme="minorHAnsi" w:eastAsiaTheme="minorEastAsia" w:hAnsiTheme="minorHAnsi"/>
            <w:noProof/>
            <w:sz w:val="24"/>
            <w:szCs w:val="24"/>
            <w:lang w:val="cs-CZ" w:eastAsia="cs-CZ"/>
          </w:rPr>
          <w:tab/>
        </w:r>
        <w:r w:rsidR="007C29A2" w:rsidRPr="00864071">
          <w:rPr>
            <w:rStyle w:val="Hypertextovodkaz"/>
            <w:noProof/>
          </w:rPr>
          <w:t>Teorie změny – chov nosnic</w:t>
        </w:r>
        <w:r w:rsidR="007C29A2">
          <w:rPr>
            <w:noProof/>
            <w:webHidden/>
          </w:rPr>
          <w:tab/>
        </w:r>
        <w:r w:rsidR="007C29A2">
          <w:rPr>
            <w:noProof/>
            <w:webHidden/>
          </w:rPr>
          <w:fldChar w:fldCharType="begin"/>
        </w:r>
        <w:r w:rsidR="007C29A2">
          <w:rPr>
            <w:noProof/>
            <w:webHidden/>
          </w:rPr>
          <w:instrText xml:space="preserve"> PAGEREF _Toc81738550 \h </w:instrText>
        </w:r>
        <w:r w:rsidR="007C29A2">
          <w:rPr>
            <w:noProof/>
            <w:webHidden/>
          </w:rPr>
        </w:r>
        <w:r w:rsidR="007C29A2">
          <w:rPr>
            <w:noProof/>
            <w:webHidden/>
          </w:rPr>
          <w:fldChar w:fldCharType="separate"/>
        </w:r>
        <w:r w:rsidR="007C29A2">
          <w:rPr>
            <w:noProof/>
            <w:webHidden/>
          </w:rPr>
          <w:t>243</w:t>
        </w:r>
        <w:r w:rsidR="007C29A2">
          <w:rPr>
            <w:noProof/>
            <w:webHidden/>
          </w:rPr>
          <w:fldChar w:fldCharType="end"/>
        </w:r>
      </w:hyperlink>
    </w:p>
    <w:p w14:paraId="09E7D306" w14:textId="2BE7D7B0"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51" w:history="1">
        <w:r w:rsidR="007C29A2" w:rsidRPr="00864071">
          <w:rPr>
            <w:rStyle w:val="Hypertextovodkaz"/>
            <w:noProof/>
          </w:rPr>
          <w:t>Tabulka 123</w:t>
        </w:r>
        <w:r w:rsidR="007C29A2">
          <w:rPr>
            <w:rFonts w:asciiTheme="minorHAnsi" w:eastAsiaTheme="minorEastAsia" w:hAnsiTheme="minorHAnsi"/>
            <w:noProof/>
            <w:sz w:val="24"/>
            <w:szCs w:val="24"/>
            <w:lang w:val="cs-CZ" w:eastAsia="cs-CZ"/>
          </w:rPr>
          <w:tab/>
        </w:r>
        <w:r w:rsidR="007C29A2" w:rsidRPr="00864071">
          <w:rPr>
            <w:rStyle w:val="Hypertextovodkaz"/>
            <w:noProof/>
          </w:rPr>
          <w:t>Stavy a produkce skopového masa</w:t>
        </w:r>
        <w:r w:rsidR="007C29A2">
          <w:rPr>
            <w:noProof/>
            <w:webHidden/>
          </w:rPr>
          <w:tab/>
        </w:r>
        <w:r w:rsidR="007C29A2">
          <w:rPr>
            <w:noProof/>
            <w:webHidden/>
          </w:rPr>
          <w:fldChar w:fldCharType="begin"/>
        </w:r>
        <w:r w:rsidR="007C29A2">
          <w:rPr>
            <w:noProof/>
            <w:webHidden/>
          </w:rPr>
          <w:instrText xml:space="preserve"> PAGEREF _Toc81738551 \h </w:instrText>
        </w:r>
        <w:r w:rsidR="007C29A2">
          <w:rPr>
            <w:noProof/>
            <w:webHidden/>
          </w:rPr>
        </w:r>
        <w:r w:rsidR="007C29A2">
          <w:rPr>
            <w:noProof/>
            <w:webHidden/>
          </w:rPr>
          <w:fldChar w:fldCharType="separate"/>
        </w:r>
        <w:r w:rsidR="007C29A2">
          <w:rPr>
            <w:noProof/>
            <w:webHidden/>
          </w:rPr>
          <w:t>253</w:t>
        </w:r>
        <w:r w:rsidR="007C29A2">
          <w:rPr>
            <w:noProof/>
            <w:webHidden/>
          </w:rPr>
          <w:fldChar w:fldCharType="end"/>
        </w:r>
      </w:hyperlink>
    </w:p>
    <w:p w14:paraId="1D97460D" w14:textId="21C5DEDD"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52" w:history="1">
        <w:r w:rsidR="007C29A2" w:rsidRPr="00864071">
          <w:rPr>
            <w:rStyle w:val="Hypertextovodkaz"/>
            <w:noProof/>
          </w:rPr>
          <w:t>Tabulka 124</w:t>
        </w:r>
        <w:r w:rsidR="007C29A2">
          <w:rPr>
            <w:rFonts w:asciiTheme="minorHAnsi" w:eastAsiaTheme="minorEastAsia" w:hAnsiTheme="minorHAnsi"/>
            <w:noProof/>
            <w:sz w:val="24"/>
            <w:szCs w:val="24"/>
            <w:lang w:val="cs-CZ" w:eastAsia="cs-CZ"/>
          </w:rPr>
          <w:tab/>
        </w:r>
        <w:r w:rsidR="007C29A2" w:rsidRPr="00864071">
          <w:rPr>
            <w:rStyle w:val="Hypertextovodkaz"/>
            <w:noProof/>
          </w:rPr>
          <w:t>Produkce kozího mléka a sýrů</w:t>
        </w:r>
        <w:r w:rsidR="007C29A2">
          <w:rPr>
            <w:noProof/>
            <w:webHidden/>
          </w:rPr>
          <w:tab/>
        </w:r>
        <w:r w:rsidR="007C29A2">
          <w:rPr>
            <w:noProof/>
            <w:webHidden/>
          </w:rPr>
          <w:fldChar w:fldCharType="begin"/>
        </w:r>
        <w:r w:rsidR="007C29A2">
          <w:rPr>
            <w:noProof/>
            <w:webHidden/>
          </w:rPr>
          <w:instrText xml:space="preserve"> PAGEREF _Toc81738552 \h </w:instrText>
        </w:r>
        <w:r w:rsidR="007C29A2">
          <w:rPr>
            <w:noProof/>
            <w:webHidden/>
          </w:rPr>
        </w:r>
        <w:r w:rsidR="007C29A2">
          <w:rPr>
            <w:noProof/>
            <w:webHidden/>
          </w:rPr>
          <w:fldChar w:fldCharType="separate"/>
        </w:r>
        <w:r w:rsidR="007C29A2">
          <w:rPr>
            <w:noProof/>
            <w:webHidden/>
          </w:rPr>
          <w:t>253</w:t>
        </w:r>
        <w:r w:rsidR="007C29A2">
          <w:rPr>
            <w:noProof/>
            <w:webHidden/>
          </w:rPr>
          <w:fldChar w:fldCharType="end"/>
        </w:r>
      </w:hyperlink>
    </w:p>
    <w:p w14:paraId="4F673564" w14:textId="23AC92DD"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53" w:history="1">
        <w:r w:rsidR="007C29A2" w:rsidRPr="00864071">
          <w:rPr>
            <w:rStyle w:val="Hypertextovodkaz"/>
            <w:noProof/>
          </w:rPr>
          <w:t>Tabulka 125</w:t>
        </w:r>
        <w:r w:rsidR="007C29A2">
          <w:rPr>
            <w:rFonts w:asciiTheme="minorHAnsi" w:eastAsiaTheme="minorEastAsia" w:hAnsiTheme="minorHAnsi"/>
            <w:noProof/>
            <w:sz w:val="24"/>
            <w:szCs w:val="24"/>
            <w:lang w:val="cs-CZ" w:eastAsia="cs-CZ"/>
          </w:rPr>
          <w:tab/>
        </w:r>
        <w:r w:rsidR="007C29A2" w:rsidRPr="00864071">
          <w:rPr>
            <w:rStyle w:val="Hypertextovodkaz"/>
            <w:noProof/>
          </w:rPr>
          <w:t>Produkce ovčího mléka a sýrů</w:t>
        </w:r>
        <w:r w:rsidR="007C29A2">
          <w:rPr>
            <w:noProof/>
            <w:webHidden/>
          </w:rPr>
          <w:tab/>
        </w:r>
        <w:r w:rsidR="007C29A2">
          <w:rPr>
            <w:noProof/>
            <w:webHidden/>
          </w:rPr>
          <w:fldChar w:fldCharType="begin"/>
        </w:r>
        <w:r w:rsidR="007C29A2">
          <w:rPr>
            <w:noProof/>
            <w:webHidden/>
          </w:rPr>
          <w:instrText xml:space="preserve"> PAGEREF _Toc81738553 \h </w:instrText>
        </w:r>
        <w:r w:rsidR="007C29A2">
          <w:rPr>
            <w:noProof/>
            <w:webHidden/>
          </w:rPr>
        </w:r>
        <w:r w:rsidR="007C29A2">
          <w:rPr>
            <w:noProof/>
            <w:webHidden/>
          </w:rPr>
          <w:fldChar w:fldCharType="separate"/>
        </w:r>
        <w:r w:rsidR="007C29A2">
          <w:rPr>
            <w:noProof/>
            <w:webHidden/>
          </w:rPr>
          <w:t>253</w:t>
        </w:r>
        <w:r w:rsidR="007C29A2">
          <w:rPr>
            <w:noProof/>
            <w:webHidden/>
          </w:rPr>
          <w:fldChar w:fldCharType="end"/>
        </w:r>
      </w:hyperlink>
    </w:p>
    <w:p w14:paraId="457820E8" w14:textId="5E4984B4"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54" w:history="1">
        <w:r w:rsidR="007C29A2" w:rsidRPr="00864071">
          <w:rPr>
            <w:rStyle w:val="Hypertextovodkaz"/>
            <w:noProof/>
          </w:rPr>
          <w:t>Tabulka 126</w:t>
        </w:r>
        <w:r w:rsidR="007C29A2">
          <w:rPr>
            <w:rFonts w:asciiTheme="minorHAnsi" w:eastAsiaTheme="minorEastAsia" w:hAnsiTheme="minorHAnsi"/>
            <w:noProof/>
            <w:sz w:val="24"/>
            <w:szCs w:val="24"/>
            <w:lang w:val="cs-CZ" w:eastAsia="cs-CZ"/>
          </w:rPr>
          <w:tab/>
        </w:r>
        <w:r w:rsidR="007C29A2" w:rsidRPr="00864071">
          <w:rPr>
            <w:rStyle w:val="Hypertextovodkaz"/>
            <w:noProof/>
          </w:rPr>
          <w:t>Rentabilita u chovu koz</w:t>
        </w:r>
        <w:r w:rsidR="007C29A2">
          <w:rPr>
            <w:noProof/>
            <w:webHidden/>
          </w:rPr>
          <w:tab/>
        </w:r>
        <w:r w:rsidR="007C29A2">
          <w:rPr>
            <w:noProof/>
            <w:webHidden/>
          </w:rPr>
          <w:fldChar w:fldCharType="begin"/>
        </w:r>
        <w:r w:rsidR="007C29A2">
          <w:rPr>
            <w:noProof/>
            <w:webHidden/>
          </w:rPr>
          <w:instrText xml:space="preserve"> PAGEREF _Toc81738554 \h </w:instrText>
        </w:r>
        <w:r w:rsidR="007C29A2">
          <w:rPr>
            <w:noProof/>
            <w:webHidden/>
          </w:rPr>
        </w:r>
        <w:r w:rsidR="007C29A2">
          <w:rPr>
            <w:noProof/>
            <w:webHidden/>
          </w:rPr>
          <w:fldChar w:fldCharType="separate"/>
        </w:r>
        <w:r w:rsidR="007C29A2">
          <w:rPr>
            <w:noProof/>
            <w:webHidden/>
          </w:rPr>
          <w:t>254</w:t>
        </w:r>
        <w:r w:rsidR="007C29A2">
          <w:rPr>
            <w:noProof/>
            <w:webHidden/>
          </w:rPr>
          <w:fldChar w:fldCharType="end"/>
        </w:r>
      </w:hyperlink>
    </w:p>
    <w:p w14:paraId="2C934D7B" w14:textId="52F2D385"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55" w:history="1">
        <w:r w:rsidR="007C29A2" w:rsidRPr="00864071">
          <w:rPr>
            <w:rStyle w:val="Hypertextovodkaz"/>
            <w:noProof/>
          </w:rPr>
          <w:t>Tabulka 127</w:t>
        </w:r>
        <w:r w:rsidR="007C29A2">
          <w:rPr>
            <w:rFonts w:asciiTheme="minorHAnsi" w:eastAsiaTheme="minorEastAsia" w:hAnsiTheme="minorHAnsi"/>
            <w:noProof/>
            <w:sz w:val="24"/>
            <w:szCs w:val="24"/>
            <w:lang w:val="cs-CZ" w:eastAsia="cs-CZ"/>
          </w:rPr>
          <w:tab/>
        </w:r>
        <w:r w:rsidR="007C29A2" w:rsidRPr="00864071">
          <w:rPr>
            <w:rStyle w:val="Hypertextovodkaz"/>
            <w:noProof/>
          </w:rPr>
          <w:t>Rentabilita v chovu ovcí</w:t>
        </w:r>
        <w:r w:rsidR="007C29A2">
          <w:rPr>
            <w:noProof/>
            <w:webHidden/>
          </w:rPr>
          <w:tab/>
        </w:r>
        <w:r w:rsidR="007C29A2">
          <w:rPr>
            <w:noProof/>
            <w:webHidden/>
          </w:rPr>
          <w:fldChar w:fldCharType="begin"/>
        </w:r>
        <w:r w:rsidR="007C29A2">
          <w:rPr>
            <w:noProof/>
            <w:webHidden/>
          </w:rPr>
          <w:instrText xml:space="preserve"> PAGEREF _Toc81738555 \h </w:instrText>
        </w:r>
        <w:r w:rsidR="007C29A2">
          <w:rPr>
            <w:noProof/>
            <w:webHidden/>
          </w:rPr>
        </w:r>
        <w:r w:rsidR="007C29A2">
          <w:rPr>
            <w:noProof/>
            <w:webHidden/>
          </w:rPr>
          <w:fldChar w:fldCharType="separate"/>
        </w:r>
        <w:r w:rsidR="007C29A2">
          <w:rPr>
            <w:noProof/>
            <w:webHidden/>
          </w:rPr>
          <w:t>254</w:t>
        </w:r>
        <w:r w:rsidR="007C29A2">
          <w:rPr>
            <w:noProof/>
            <w:webHidden/>
          </w:rPr>
          <w:fldChar w:fldCharType="end"/>
        </w:r>
      </w:hyperlink>
    </w:p>
    <w:p w14:paraId="2A10426C" w14:textId="3BFC3213"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56" w:history="1">
        <w:r w:rsidR="007C29A2" w:rsidRPr="00864071">
          <w:rPr>
            <w:rStyle w:val="Hypertextovodkaz"/>
            <w:noProof/>
          </w:rPr>
          <w:t>Tabulka 128</w:t>
        </w:r>
        <w:r w:rsidR="007C29A2">
          <w:rPr>
            <w:rFonts w:asciiTheme="minorHAnsi" w:eastAsiaTheme="minorEastAsia" w:hAnsiTheme="minorHAnsi"/>
            <w:noProof/>
            <w:sz w:val="24"/>
            <w:szCs w:val="24"/>
            <w:lang w:val="cs-CZ" w:eastAsia="cs-CZ"/>
          </w:rPr>
          <w:tab/>
        </w:r>
        <w:r w:rsidR="007C29A2" w:rsidRPr="00864071">
          <w:rPr>
            <w:rStyle w:val="Hypertextovodkaz"/>
            <w:noProof/>
          </w:rPr>
          <w:t>Podprogram 6.1 - Podpora genetických zdrojů zvířat</w:t>
        </w:r>
        <w:r w:rsidR="007C29A2">
          <w:rPr>
            <w:noProof/>
            <w:webHidden/>
          </w:rPr>
          <w:tab/>
        </w:r>
        <w:r w:rsidR="007C29A2">
          <w:rPr>
            <w:noProof/>
            <w:webHidden/>
          </w:rPr>
          <w:fldChar w:fldCharType="begin"/>
        </w:r>
        <w:r w:rsidR="007C29A2">
          <w:rPr>
            <w:noProof/>
            <w:webHidden/>
          </w:rPr>
          <w:instrText xml:space="preserve"> PAGEREF _Toc81738556 \h </w:instrText>
        </w:r>
        <w:r w:rsidR="007C29A2">
          <w:rPr>
            <w:noProof/>
            <w:webHidden/>
          </w:rPr>
        </w:r>
        <w:r w:rsidR="007C29A2">
          <w:rPr>
            <w:noProof/>
            <w:webHidden/>
          </w:rPr>
          <w:fldChar w:fldCharType="separate"/>
        </w:r>
        <w:r w:rsidR="007C29A2">
          <w:rPr>
            <w:noProof/>
            <w:webHidden/>
          </w:rPr>
          <w:t>257</w:t>
        </w:r>
        <w:r w:rsidR="007C29A2">
          <w:rPr>
            <w:noProof/>
            <w:webHidden/>
          </w:rPr>
          <w:fldChar w:fldCharType="end"/>
        </w:r>
      </w:hyperlink>
    </w:p>
    <w:p w14:paraId="4CD101CD" w14:textId="00898229"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57" w:history="1">
        <w:r w:rsidR="007C29A2" w:rsidRPr="00864071">
          <w:rPr>
            <w:rStyle w:val="Hypertextovodkaz"/>
            <w:noProof/>
          </w:rPr>
          <w:t>Tabulka 129</w:t>
        </w:r>
        <w:r w:rsidR="007C29A2">
          <w:rPr>
            <w:rFonts w:asciiTheme="minorHAnsi" w:eastAsiaTheme="minorEastAsia" w:hAnsiTheme="minorHAnsi"/>
            <w:noProof/>
            <w:sz w:val="24"/>
            <w:szCs w:val="24"/>
            <w:lang w:val="cs-CZ" w:eastAsia="cs-CZ"/>
          </w:rPr>
          <w:tab/>
        </w:r>
        <w:r w:rsidR="007C29A2" w:rsidRPr="00864071">
          <w:rPr>
            <w:rStyle w:val="Hypertextovodkaz"/>
            <w:noProof/>
          </w:rPr>
          <w:t>Ekonomika chovu ovcí v letech 2018 až 2020 s výhledem do 2030</w:t>
        </w:r>
        <w:r w:rsidR="007C29A2">
          <w:rPr>
            <w:noProof/>
            <w:webHidden/>
          </w:rPr>
          <w:tab/>
        </w:r>
        <w:r w:rsidR="007C29A2">
          <w:rPr>
            <w:noProof/>
            <w:webHidden/>
          </w:rPr>
          <w:fldChar w:fldCharType="begin"/>
        </w:r>
        <w:r w:rsidR="007C29A2">
          <w:rPr>
            <w:noProof/>
            <w:webHidden/>
          </w:rPr>
          <w:instrText xml:space="preserve"> PAGEREF _Toc81738557 \h </w:instrText>
        </w:r>
        <w:r w:rsidR="007C29A2">
          <w:rPr>
            <w:noProof/>
            <w:webHidden/>
          </w:rPr>
        </w:r>
        <w:r w:rsidR="007C29A2">
          <w:rPr>
            <w:noProof/>
            <w:webHidden/>
          </w:rPr>
          <w:fldChar w:fldCharType="separate"/>
        </w:r>
        <w:r w:rsidR="007C29A2">
          <w:rPr>
            <w:noProof/>
            <w:webHidden/>
          </w:rPr>
          <w:t>258</w:t>
        </w:r>
        <w:r w:rsidR="007C29A2">
          <w:rPr>
            <w:noProof/>
            <w:webHidden/>
          </w:rPr>
          <w:fldChar w:fldCharType="end"/>
        </w:r>
      </w:hyperlink>
    </w:p>
    <w:p w14:paraId="093EE3C7" w14:textId="6CE9C110"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58" w:history="1">
        <w:r w:rsidR="007C29A2" w:rsidRPr="00864071">
          <w:rPr>
            <w:rStyle w:val="Hypertextovodkaz"/>
            <w:noProof/>
          </w:rPr>
          <w:t>Tabulka 130</w:t>
        </w:r>
        <w:r w:rsidR="007C29A2">
          <w:rPr>
            <w:rFonts w:asciiTheme="minorHAnsi" w:eastAsiaTheme="minorEastAsia" w:hAnsiTheme="minorHAnsi"/>
            <w:noProof/>
            <w:sz w:val="24"/>
            <w:szCs w:val="24"/>
            <w:lang w:val="cs-CZ" w:eastAsia="cs-CZ"/>
          </w:rPr>
          <w:tab/>
        </w:r>
        <w:r w:rsidR="007C29A2" w:rsidRPr="00864071">
          <w:rPr>
            <w:rStyle w:val="Hypertextovodkaz"/>
            <w:noProof/>
          </w:rPr>
          <w:t>Ekonomika chovu koz v letech 2018 až 2020 s výhledem do 2030</w:t>
        </w:r>
        <w:r w:rsidR="007C29A2">
          <w:rPr>
            <w:noProof/>
            <w:webHidden/>
          </w:rPr>
          <w:tab/>
        </w:r>
        <w:r w:rsidR="007C29A2">
          <w:rPr>
            <w:noProof/>
            <w:webHidden/>
          </w:rPr>
          <w:fldChar w:fldCharType="begin"/>
        </w:r>
        <w:r w:rsidR="007C29A2">
          <w:rPr>
            <w:noProof/>
            <w:webHidden/>
          </w:rPr>
          <w:instrText xml:space="preserve"> PAGEREF _Toc81738558 \h </w:instrText>
        </w:r>
        <w:r w:rsidR="007C29A2">
          <w:rPr>
            <w:noProof/>
            <w:webHidden/>
          </w:rPr>
        </w:r>
        <w:r w:rsidR="007C29A2">
          <w:rPr>
            <w:noProof/>
            <w:webHidden/>
          </w:rPr>
          <w:fldChar w:fldCharType="separate"/>
        </w:r>
        <w:r w:rsidR="007C29A2">
          <w:rPr>
            <w:noProof/>
            <w:webHidden/>
          </w:rPr>
          <w:t>258</w:t>
        </w:r>
        <w:r w:rsidR="007C29A2">
          <w:rPr>
            <w:noProof/>
            <w:webHidden/>
          </w:rPr>
          <w:fldChar w:fldCharType="end"/>
        </w:r>
      </w:hyperlink>
    </w:p>
    <w:p w14:paraId="4CB4F5A6" w14:textId="6441DD76"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59" w:history="1">
        <w:r w:rsidR="007C29A2" w:rsidRPr="00864071">
          <w:rPr>
            <w:rStyle w:val="Hypertextovodkaz"/>
            <w:noProof/>
          </w:rPr>
          <w:t>Tabulka 131</w:t>
        </w:r>
        <w:r w:rsidR="007C29A2">
          <w:rPr>
            <w:rFonts w:asciiTheme="minorHAnsi" w:eastAsiaTheme="minorEastAsia" w:hAnsiTheme="minorHAnsi"/>
            <w:noProof/>
            <w:sz w:val="24"/>
            <w:szCs w:val="24"/>
            <w:lang w:val="cs-CZ" w:eastAsia="cs-CZ"/>
          </w:rPr>
          <w:tab/>
        </w:r>
        <w:r w:rsidR="007C29A2" w:rsidRPr="00864071">
          <w:rPr>
            <w:rStyle w:val="Hypertextovodkaz"/>
            <w:noProof/>
          </w:rPr>
          <w:t>Teorie změny – ovce a kozy</w:t>
        </w:r>
        <w:r w:rsidR="007C29A2">
          <w:rPr>
            <w:noProof/>
            <w:webHidden/>
          </w:rPr>
          <w:tab/>
        </w:r>
        <w:r w:rsidR="007C29A2">
          <w:rPr>
            <w:noProof/>
            <w:webHidden/>
          </w:rPr>
          <w:fldChar w:fldCharType="begin"/>
        </w:r>
        <w:r w:rsidR="007C29A2">
          <w:rPr>
            <w:noProof/>
            <w:webHidden/>
          </w:rPr>
          <w:instrText xml:space="preserve"> PAGEREF _Toc81738559 \h </w:instrText>
        </w:r>
        <w:r w:rsidR="007C29A2">
          <w:rPr>
            <w:noProof/>
            <w:webHidden/>
          </w:rPr>
        </w:r>
        <w:r w:rsidR="007C29A2">
          <w:rPr>
            <w:noProof/>
            <w:webHidden/>
          </w:rPr>
          <w:fldChar w:fldCharType="separate"/>
        </w:r>
        <w:r w:rsidR="007C29A2">
          <w:rPr>
            <w:noProof/>
            <w:webHidden/>
          </w:rPr>
          <w:t>258</w:t>
        </w:r>
        <w:r w:rsidR="007C29A2">
          <w:rPr>
            <w:noProof/>
            <w:webHidden/>
          </w:rPr>
          <w:fldChar w:fldCharType="end"/>
        </w:r>
      </w:hyperlink>
    </w:p>
    <w:p w14:paraId="5540CF86" w14:textId="560D0AEC"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60" w:history="1">
        <w:r w:rsidR="007C29A2" w:rsidRPr="00864071">
          <w:rPr>
            <w:rStyle w:val="Hypertextovodkaz"/>
            <w:noProof/>
          </w:rPr>
          <w:t>Tabulka 132</w:t>
        </w:r>
        <w:r w:rsidR="007C29A2">
          <w:rPr>
            <w:rFonts w:asciiTheme="minorHAnsi" w:eastAsiaTheme="minorEastAsia" w:hAnsiTheme="minorHAnsi"/>
            <w:noProof/>
            <w:sz w:val="24"/>
            <w:szCs w:val="24"/>
            <w:lang w:val="cs-CZ" w:eastAsia="cs-CZ"/>
          </w:rPr>
          <w:tab/>
        </w:r>
        <w:r w:rsidR="007C29A2" w:rsidRPr="00864071">
          <w:rPr>
            <w:rStyle w:val="Hypertextovodkaz"/>
            <w:noProof/>
          </w:rPr>
          <w:t>Stavy včelstev a počty včelařů v České republice od roku 2011</w:t>
        </w:r>
        <w:r w:rsidR="007C29A2">
          <w:rPr>
            <w:noProof/>
            <w:webHidden/>
          </w:rPr>
          <w:tab/>
        </w:r>
        <w:r w:rsidR="007C29A2">
          <w:rPr>
            <w:noProof/>
            <w:webHidden/>
          </w:rPr>
          <w:fldChar w:fldCharType="begin"/>
        </w:r>
        <w:r w:rsidR="007C29A2">
          <w:rPr>
            <w:noProof/>
            <w:webHidden/>
          </w:rPr>
          <w:instrText xml:space="preserve"> PAGEREF _Toc81738560 \h </w:instrText>
        </w:r>
        <w:r w:rsidR="007C29A2">
          <w:rPr>
            <w:noProof/>
            <w:webHidden/>
          </w:rPr>
        </w:r>
        <w:r w:rsidR="007C29A2">
          <w:rPr>
            <w:noProof/>
            <w:webHidden/>
          </w:rPr>
          <w:fldChar w:fldCharType="separate"/>
        </w:r>
        <w:r w:rsidR="007C29A2">
          <w:rPr>
            <w:noProof/>
            <w:webHidden/>
          </w:rPr>
          <w:t>266</w:t>
        </w:r>
        <w:r w:rsidR="007C29A2">
          <w:rPr>
            <w:noProof/>
            <w:webHidden/>
          </w:rPr>
          <w:fldChar w:fldCharType="end"/>
        </w:r>
      </w:hyperlink>
    </w:p>
    <w:p w14:paraId="326628F0" w14:textId="018EDBA2"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61" w:history="1">
        <w:r w:rsidR="007C29A2" w:rsidRPr="00864071">
          <w:rPr>
            <w:rStyle w:val="Hypertextovodkaz"/>
            <w:noProof/>
          </w:rPr>
          <w:t>Tabulka 133</w:t>
        </w:r>
        <w:r w:rsidR="007C29A2">
          <w:rPr>
            <w:rFonts w:asciiTheme="minorHAnsi" w:eastAsiaTheme="minorEastAsia" w:hAnsiTheme="minorHAnsi"/>
            <w:noProof/>
            <w:sz w:val="24"/>
            <w:szCs w:val="24"/>
            <w:lang w:val="cs-CZ" w:eastAsia="cs-CZ"/>
          </w:rPr>
          <w:tab/>
        </w:r>
        <w:r w:rsidR="007C29A2" w:rsidRPr="00864071">
          <w:rPr>
            <w:rStyle w:val="Hypertextovodkaz"/>
            <w:noProof/>
          </w:rPr>
          <w:t>Přísuny včelstev v České republice od roku 2011</w:t>
        </w:r>
        <w:r w:rsidR="007C29A2">
          <w:rPr>
            <w:noProof/>
            <w:webHidden/>
          </w:rPr>
          <w:tab/>
        </w:r>
        <w:r w:rsidR="007C29A2">
          <w:rPr>
            <w:noProof/>
            <w:webHidden/>
          </w:rPr>
          <w:fldChar w:fldCharType="begin"/>
        </w:r>
        <w:r w:rsidR="007C29A2">
          <w:rPr>
            <w:noProof/>
            <w:webHidden/>
          </w:rPr>
          <w:instrText xml:space="preserve"> PAGEREF _Toc81738561 \h </w:instrText>
        </w:r>
        <w:r w:rsidR="007C29A2">
          <w:rPr>
            <w:noProof/>
            <w:webHidden/>
          </w:rPr>
        </w:r>
        <w:r w:rsidR="007C29A2">
          <w:rPr>
            <w:noProof/>
            <w:webHidden/>
          </w:rPr>
          <w:fldChar w:fldCharType="separate"/>
        </w:r>
        <w:r w:rsidR="007C29A2">
          <w:rPr>
            <w:noProof/>
            <w:webHidden/>
          </w:rPr>
          <w:t>266</w:t>
        </w:r>
        <w:r w:rsidR="007C29A2">
          <w:rPr>
            <w:noProof/>
            <w:webHidden/>
          </w:rPr>
          <w:fldChar w:fldCharType="end"/>
        </w:r>
      </w:hyperlink>
    </w:p>
    <w:p w14:paraId="143D5030" w14:textId="0913FF6F" w:rsidR="007C29A2" w:rsidRDefault="00E07272" w:rsidP="007C29A2">
      <w:pPr>
        <w:pStyle w:val="Obsah4"/>
        <w:tabs>
          <w:tab w:val="left" w:pos="1920"/>
          <w:tab w:val="right" w:leader="dot" w:pos="9062"/>
        </w:tabs>
        <w:ind w:left="1276" w:hanging="1133"/>
        <w:rPr>
          <w:rFonts w:asciiTheme="minorHAnsi" w:eastAsiaTheme="minorEastAsia" w:hAnsiTheme="minorHAnsi"/>
          <w:noProof/>
          <w:sz w:val="24"/>
          <w:szCs w:val="24"/>
          <w:lang w:val="cs-CZ" w:eastAsia="cs-CZ"/>
        </w:rPr>
      </w:pPr>
      <w:hyperlink w:anchor="_Toc81738562" w:history="1">
        <w:r w:rsidR="007C29A2" w:rsidRPr="00864071">
          <w:rPr>
            <w:rStyle w:val="Hypertextovodkaz"/>
            <w:bCs/>
            <w:noProof/>
          </w:rPr>
          <w:t>Tabulka 134</w:t>
        </w:r>
        <w:r w:rsidR="007C29A2">
          <w:rPr>
            <w:rFonts w:asciiTheme="minorHAnsi" w:eastAsiaTheme="minorEastAsia" w:hAnsiTheme="minorHAnsi"/>
            <w:noProof/>
            <w:sz w:val="24"/>
            <w:szCs w:val="24"/>
            <w:lang w:val="cs-CZ" w:eastAsia="cs-CZ"/>
          </w:rPr>
          <w:tab/>
        </w:r>
        <w:r w:rsidR="007C29A2" w:rsidRPr="00864071">
          <w:rPr>
            <w:rStyle w:val="Hypertextovodkaz"/>
            <w:noProof/>
          </w:rPr>
          <w:t>Přehled o čerpání dotací dle nařízení Rady (ES) č. 797/2004 a dle nařízení Rady (ES) č. 1234/2007 a prováděcí nařízení Komise (EU) č. 1368/2015 v letech 2011 - 2020 (tis. Kč)</w:t>
        </w:r>
        <w:r w:rsidR="007C29A2">
          <w:rPr>
            <w:noProof/>
            <w:webHidden/>
          </w:rPr>
          <w:tab/>
        </w:r>
        <w:r w:rsidR="007C29A2">
          <w:rPr>
            <w:noProof/>
            <w:webHidden/>
          </w:rPr>
          <w:fldChar w:fldCharType="begin"/>
        </w:r>
        <w:r w:rsidR="007C29A2">
          <w:rPr>
            <w:noProof/>
            <w:webHidden/>
          </w:rPr>
          <w:instrText xml:space="preserve"> PAGEREF _Toc81738562 \h </w:instrText>
        </w:r>
        <w:r w:rsidR="007C29A2">
          <w:rPr>
            <w:noProof/>
            <w:webHidden/>
          </w:rPr>
        </w:r>
        <w:r w:rsidR="007C29A2">
          <w:rPr>
            <w:noProof/>
            <w:webHidden/>
          </w:rPr>
          <w:fldChar w:fldCharType="separate"/>
        </w:r>
        <w:r w:rsidR="007C29A2">
          <w:rPr>
            <w:noProof/>
            <w:webHidden/>
          </w:rPr>
          <w:t>269</w:t>
        </w:r>
        <w:r w:rsidR="007C29A2">
          <w:rPr>
            <w:noProof/>
            <w:webHidden/>
          </w:rPr>
          <w:fldChar w:fldCharType="end"/>
        </w:r>
      </w:hyperlink>
    </w:p>
    <w:p w14:paraId="5C562039" w14:textId="139D7DAD" w:rsidR="007C40A1" w:rsidRPr="00D95127" w:rsidRDefault="00483879" w:rsidP="007C29A2">
      <w:pPr>
        <w:pStyle w:val="UZEINadpis1stbezsla"/>
        <w:rPr>
          <w:rFonts w:cs="Times New Roman"/>
        </w:rPr>
      </w:pPr>
      <w:r>
        <w:rPr>
          <w:rFonts w:eastAsiaTheme="minorHAnsi" w:cs="Times New Roman"/>
          <w:b w:val="0"/>
          <w:color w:val="auto"/>
          <w:sz w:val="18"/>
          <w:szCs w:val="18"/>
          <w:lang w:val="en-GB" w:eastAsia="en-US"/>
        </w:rPr>
        <w:fldChar w:fldCharType="end"/>
      </w:r>
    </w:p>
    <w:p w14:paraId="156E2FFB" w14:textId="2476C6EA" w:rsidR="007C40A1" w:rsidRPr="00D95127" w:rsidRDefault="007C40A1" w:rsidP="007C29A2">
      <w:pPr>
        <w:pStyle w:val="UZEINadpis1stbezsla"/>
        <w:ind w:left="1134" w:hanging="992"/>
        <w:rPr>
          <w:rFonts w:cs="Times New Roman"/>
        </w:rPr>
      </w:pPr>
      <w:bookmarkStart w:id="15" w:name="_Toc81739171"/>
      <w:r w:rsidRPr="00D95127">
        <w:rPr>
          <w:rFonts w:cs="Times New Roman"/>
        </w:rPr>
        <w:t>Seznam grafů</w:t>
      </w:r>
      <w:bookmarkEnd w:id="15"/>
    </w:p>
    <w:p w14:paraId="028EB447" w14:textId="3608646F" w:rsidR="007C29A2" w:rsidRDefault="007C29A2" w:rsidP="007C29A2">
      <w:pPr>
        <w:pStyle w:val="Obsah4"/>
        <w:tabs>
          <w:tab w:val="left" w:pos="1440"/>
          <w:tab w:val="right" w:leader="dot" w:pos="9062"/>
        </w:tabs>
        <w:ind w:left="1134" w:hanging="992"/>
        <w:rPr>
          <w:rFonts w:asciiTheme="minorHAnsi" w:eastAsiaTheme="minorEastAsia" w:hAnsiTheme="minorHAnsi"/>
          <w:noProof/>
          <w:sz w:val="24"/>
          <w:szCs w:val="24"/>
          <w:lang w:val="cs-CZ" w:eastAsia="cs-CZ"/>
        </w:rPr>
      </w:pPr>
      <w:r>
        <w:rPr>
          <w:rFonts w:cs="Times New Roman"/>
          <w:lang w:val="cs-CZ"/>
        </w:rPr>
        <w:fldChar w:fldCharType="begin"/>
      </w:r>
      <w:r>
        <w:rPr>
          <w:rFonts w:cs="Times New Roman"/>
          <w:lang w:val="cs-CZ"/>
        </w:rPr>
        <w:instrText xml:space="preserve"> TOC \h \z \t "UZEI Graf;4" </w:instrText>
      </w:r>
      <w:r>
        <w:rPr>
          <w:rFonts w:cs="Times New Roman"/>
          <w:lang w:val="cs-CZ"/>
        </w:rPr>
        <w:fldChar w:fldCharType="separate"/>
      </w:r>
      <w:hyperlink w:anchor="_Toc81738777" w:history="1">
        <w:r w:rsidRPr="007B0677">
          <w:rPr>
            <w:rStyle w:val="Hypertextovodkaz"/>
            <w:noProof/>
          </w:rPr>
          <w:t>Graf 1</w:t>
        </w:r>
        <w:r>
          <w:rPr>
            <w:rFonts w:asciiTheme="minorHAnsi" w:eastAsiaTheme="minorEastAsia" w:hAnsiTheme="minorHAnsi"/>
            <w:noProof/>
            <w:sz w:val="24"/>
            <w:szCs w:val="24"/>
            <w:lang w:val="cs-CZ" w:eastAsia="cs-CZ"/>
          </w:rPr>
          <w:tab/>
        </w:r>
        <w:r w:rsidRPr="007B0677">
          <w:rPr>
            <w:rStyle w:val="Hypertextovodkaz"/>
            <w:rFonts w:cs="Times New Roman"/>
            <w:noProof/>
          </w:rPr>
          <w:t>Vývoj produkce ovoce v produkčních (intenzivních) ovocných sadech za 30 let v ČR</w:t>
        </w:r>
        <w:r>
          <w:rPr>
            <w:noProof/>
            <w:webHidden/>
          </w:rPr>
          <w:tab/>
        </w:r>
        <w:r>
          <w:rPr>
            <w:noProof/>
            <w:webHidden/>
          </w:rPr>
          <w:fldChar w:fldCharType="begin"/>
        </w:r>
        <w:r>
          <w:rPr>
            <w:noProof/>
            <w:webHidden/>
          </w:rPr>
          <w:instrText xml:space="preserve"> PAGEREF _Toc81738777 \h </w:instrText>
        </w:r>
        <w:r>
          <w:rPr>
            <w:noProof/>
            <w:webHidden/>
          </w:rPr>
        </w:r>
        <w:r>
          <w:rPr>
            <w:noProof/>
            <w:webHidden/>
          </w:rPr>
          <w:fldChar w:fldCharType="separate"/>
        </w:r>
        <w:r>
          <w:rPr>
            <w:noProof/>
            <w:webHidden/>
          </w:rPr>
          <w:t>10</w:t>
        </w:r>
        <w:r>
          <w:rPr>
            <w:noProof/>
            <w:webHidden/>
          </w:rPr>
          <w:fldChar w:fldCharType="end"/>
        </w:r>
      </w:hyperlink>
    </w:p>
    <w:p w14:paraId="37A6B054" w14:textId="04DFCA1D" w:rsidR="007C29A2" w:rsidRDefault="00E07272" w:rsidP="007C29A2">
      <w:pPr>
        <w:pStyle w:val="Obsah4"/>
        <w:tabs>
          <w:tab w:val="left" w:pos="1440"/>
          <w:tab w:val="right" w:leader="dot" w:pos="9062"/>
        </w:tabs>
        <w:ind w:left="1134" w:hanging="992"/>
        <w:rPr>
          <w:rFonts w:asciiTheme="minorHAnsi" w:eastAsiaTheme="minorEastAsia" w:hAnsiTheme="minorHAnsi"/>
          <w:noProof/>
          <w:sz w:val="24"/>
          <w:szCs w:val="24"/>
          <w:lang w:val="cs-CZ" w:eastAsia="cs-CZ"/>
        </w:rPr>
      </w:pPr>
      <w:hyperlink w:anchor="_Toc81738778" w:history="1">
        <w:r w:rsidR="007C29A2" w:rsidRPr="007B0677">
          <w:rPr>
            <w:rStyle w:val="Hypertextovodkaz"/>
            <w:noProof/>
          </w:rPr>
          <w:t>Graf 2</w:t>
        </w:r>
        <w:r w:rsidR="007C29A2">
          <w:rPr>
            <w:rFonts w:asciiTheme="minorHAnsi" w:eastAsiaTheme="minorEastAsia" w:hAnsiTheme="minorHAnsi"/>
            <w:noProof/>
            <w:sz w:val="24"/>
            <w:szCs w:val="24"/>
            <w:lang w:val="cs-CZ" w:eastAsia="cs-CZ"/>
          </w:rPr>
          <w:tab/>
        </w:r>
        <w:r w:rsidR="007C29A2" w:rsidRPr="007B0677">
          <w:rPr>
            <w:rStyle w:val="Hypertextovodkaz"/>
            <w:rFonts w:cs="Times New Roman"/>
            <w:noProof/>
          </w:rPr>
          <w:t>Dotační tituly ovoce s velmi vysokou pracností za roky 2011 až 2020 (vážený průměr)</w:t>
        </w:r>
        <w:r w:rsidR="007C29A2">
          <w:rPr>
            <w:noProof/>
            <w:webHidden/>
          </w:rPr>
          <w:tab/>
        </w:r>
        <w:r w:rsidR="007C29A2">
          <w:rPr>
            <w:noProof/>
            <w:webHidden/>
          </w:rPr>
          <w:fldChar w:fldCharType="begin"/>
        </w:r>
        <w:r w:rsidR="007C29A2">
          <w:rPr>
            <w:noProof/>
            <w:webHidden/>
          </w:rPr>
          <w:instrText xml:space="preserve"> PAGEREF _Toc81738778 \h </w:instrText>
        </w:r>
        <w:r w:rsidR="007C29A2">
          <w:rPr>
            <w:noProof/>
            <w:webHidden/>
          </w:rPr>
        </w:r>
        <w:r w:rsidR="007C29A2">
          <w:rPr>
            <w:noProof/>
            <w:webHidden/>
          </w:rPr>
          <w:fldChar w:fldCharType="separate"/>
        </w:r>
        <w:r w:rsidR="007C29A2">
          <w:rPr>
            <w:noProof/>
            <w:webHidden/>
          </w:rPr>
          <w:t>16</w:t>
        </w:r>
        <w:r w:rsidR="007C29A2">
          <w:rPr>
            <w:noProof/>
            <w:webHidden/>
          </w:rPr>
          <w:fldChar w:fldCharType="end"/>
        </w:r>
      </w:hyperlink>
    </w:p>
    <w:p w14:paraId="10C76AA0" w14:textId="75D63F49" w:rsidR="007C29A2" w:rsidRDefault="00E07272" w:rsidP="007C29A2">
      <w:pPr>
        <w:pStyle w:val="Obsah4"/>
        <w:tabs>
          <w:tab w:val="left" w:pos="1440"/>
          <w:tab w:val="right" w:leader="dot" w:pos="9062"/>
        </w:tabs>
        <w:ind w:left="1134" w:hanging="992"/>
        <w:rPr>
          <w:rFonts w:asciiTheme="minorHAnsi" w:eastAsiaTheme="minorEastAsia" w:hAnsiTheme="minorHAnsi"/>
          <w:noProof/>
          <w:sz w:val="24"/>
          <w:szCs w:val="24"/>
          <w:lang w:val="cs-CZ" w:eastAsia="cs-CZ"/>
        </w:rPr>
      </w:pPr>
      <w:hyperlink w:anchor="_Toc81738779" w:history="1">
        <w:r w:rsidR="007C29A2" w:rsidRPr="007B0677">
          <w:rPr>
            <w:rStyle w:val="Hypertextovodkaz"/>
            <w:noProof/>
          </w:rPr>
          <w:t>Graf 3</w:t>
        </w:r>
        <w:r w:rsidR="007C29A2">
          <w:rPr>
            <w:rFonts w:asciiTheme="minorHAnsi" w:eastAsiaTheme="minorEastAsia" w:hAnsiTheme="minorHAnsi"/>
            <w:noProof/>
            <w:sz w:val="24"/>
            <w:szCs w:val="24"/>
            <w:lang w:val="cs-CZ" w:eastAsia="cs-CZ"/>
          </w:rPr>
          <w:tab/>
        </w:r>
        <w:r w:rsidR="007C29A2" w:rsidRPr="007B0677">
          <w:rPr>
            <w:rStyle w:val="Hypertextovodkaz"/>
            <w:rFonts w:cs="Times New Roman"/>
            <w:noProof/>
          </w:rPr>
          <w:t>Dotační tituly ovoce s vysokou pracností za roky 2011 až 2020 (vážený průměr)</w:t>
        </w:r>
        <w:r w:rsidR="007C29A2">
          <w:rPr>
            <w:noProof/>
            <w:webHidden/>
          </w:rPr>
          <w:tab/>
        </w:r>
        <w:r w:rsidR="007C29A2">
          <w:rPr>
            <w:noProof/>
            <w:webHidden/>
          </w:rPr>
          <w:fldChar w:fldCharType="begin"/>
        </w:r>
        <w:r w:rsidR="007C29A2">
          <w:rPr>
            <w:noProof/>
            <w:webHidden/>
          </w:rPr>
          <w:instrText xml:space="preserve"> PAGEREF _Toc81738779 \h </w:instrText>
        </w:r>
        <w:r w:rsidR="007C29A2">
          <w:rPr>
            <w:noProof/>
            <w:webHidden/>
          </w:rPr>
        </w:r>
        <w:r w:rsidR="007C29A2">
          <w:rPr>
            <w:noProof/>
            <w:webHidden/>
          </w:rPr>
          <w:fldChar w:fldCharType="separate"/>
        </w:r>
        <w:r w:rsidR="007C29A2">
          <w:rPr>
            <w:noProof/>
            <w:webHidden/>
          </w:rPr>
          <w:t>17</w:t>
        </w:r>
        <w:r w:rsidR="007C29A2">
          <w:rPr>
            <w:noProof/>
            <w:webHidden/>
          </w:rPr>
          <w:fldChar w:fldCharType="end"/>
        </w:r>
      </w:hyperlink>
    </w:p>
    <w:p w14:paraId="4D523A04" w14:textId="6702D7FA" w:rsidR="007C29A2" w:rsidRDefault="00E07272" w:rsidP="007C29A2">
      <w:pPr>
        <w:pStyle w:val="Obsah4"/>
        <w:tabs>
          <w:tab w:val="left" w:pos="1440"/>
          <w:tab w:val="right" w:leader="dot" w:pos="9062"/>
        </w:tabs>
        <w:ind w:left="1134" w:hanging="992"/>
        <w:rPr>
          <w:rFonts w:asciiTheme="minorHAnsi" w:eastAsiaTheme="minorEastAsia" w:hAnsiTheme="minorHAnsi"/>
          <w:noProof/>
          <w:sz w:val="24"/>
          <w:szCs w:val="24"/>
          <w:lang w:val="cs-CZ" w:eastAsia="cs-CZ"/>
        </w:rPr>
      </w:pPr>
      <w:hyperlink w:anchor="_Toc81738780" w:history="1">
        <w:r w:rsidR="007C29A2" w:rsidRPr="007B0677">
          <w:rPr>
            <w:rStyle w:val="Hypertextovodkaz"/>
            <w:noProof/>
          </w:rPr>
          <w:t>Graf 4</w:t>
        </w:r>
        <w:r w:rsidR="007C29A2">
          <w:rPr>
            <w:rFonts w:asciiTheme="minorHAnsi" w:eastAsiaTheme="minorEastAsia" w:hAnsiTheme="minorHAnsi"/>
            <w:noProof/>
            <w:sz w:val="24"/>
            <w:szCs w:val="24"/>
            <w:lang w:val="cs-CZ" w:eastAsia="cs-CZ"/>
          </w:rPr>
          <w:tab/>
        </w:r>
        <w:r w:rsidR="007C29A2" w:rsidRPr="007B0677">
          <w:rPr>
            <w:rStyle w:val="Hypertextovodkaz"/>
            <w:rFonts w:cs="Times New Roman"/>
            <w:noProof/>
          </w:rPr>
          <w:t>Dotační tituly zeleniny s velmi vysokou pracností za roky 2011 až 2020 (vážený průměr)</w:t>
        </w:r>
        <w:r w:rsidR="007C29A2">
          <w:rPr>
            <w:noProof/>
            <w:webHidden/>
          </w:rPr>
          <w:tab/>
        </w:r>
        <w:r w:rsidR="007C29A2">
          <w:rPr>
            <w:noProof/>
            <w:webHidden/>
          </w:rPr>
          <w:fldChar w:fldCharType="begin"/>
        </w:r>
        <w:r w:rsidR="007C29A2">
          <w:rPr>
            <w:noProof/>
            <w:webHidden/>
          </w:rPr>
          <w:instrText xml:space="preserve"> PAGEREF _Toc81738780 \h </w:instrText>
        </w:r>
        <w:r w:rsidR="007C29A2">
          <w:rPr>
            <w:noProof/>
            <w:webHidden/>
          </w:rPr>
        </w:r>
        <w:r w:rsidR="007C29A2">
          <w:rPr>
            <w:noProof/>
            <w:webHidden/>
          </w:rPr>
          <w:fldChar w:fldCharType="separate"/>
        </w:r>
        <w:r w:rsidR="007C29A2">
          <w:rPr>
            <w:noProof/>
            <w:webHidden/>
          </w:rPr>
          <w:t>18</w:t>
        </w:r>
        <w:r w:rsidR="007C29A2">
          <w:rPr>
            <w:noProof/>
            <w:webHidden/>
          </w:rPr>
          <w:fldChar w:fldCharType="end"/>
        </w:r>
      </w:hyperlink>
    </w:p>
    <w:p w14:paraId="668886A4" w14:textId="6846FBDE" w:rsidR="007C29A2" w:rsidRDefault="00E07272" w:rsidP="007C29A2">
      <w:pPr>
        <w:pStyle w:val="Obsah4"/>
        <w:tabs>
          <w:tab w:val="left" w:pos="1440"/>
          <w:tab w:val="right" w:leader="dot" w:pos="9062"/>
        </w:tabs>
        <w:ind w:left="1134" w:hanging="992"/>
        <w:rPr>
          <w:rFonts w:asciiTheme="minorHAnsi" w:eastAsiaTheme="minorEastAsia" w:hAnsiTheme="minorHAnsi"/>
          <w:noProof/>
          <w:sz w:val="24"/>
          <w:szCs w:val="24"/>
          <w:lang w:val="cs-CZ" w:eastAsia="cs-CZ"/>
        </w:rPr>
      </w:pPr>
      <w:hyperlink w:anchor="_Toc81738781" w:history="1">
        <w:r w:rsidR="007C29A2" w:rsidRPr="007B0677">
          <w:rPr>
            <w:rStyle w:val="Hypertextovodkaz"/>
            <w:noProof/>
          </w:rPr>
          <w:t>Graf 5</w:t>
        </w:r>
        <w:r w:rsidR="007C29A2">
          <w:rPr>
            <w:rFonts w:asciiTheme="minorHAnsi" w:eastAsiaTheme="minorEastAsia" w:hAnsiTheme="minorHAnsi"/>
            <w:noProof/>
            <w:sz w:val="24"/>
            <w:szCs w:val="24"/>
            <w:lang w:val="cs-CZ" w:eastAsia="cs-CZ"/>
          </w:rPr>
          <w:tab/>
        </w:r>
        <w:r w:rsidR="007C29A2" w:rsidRPr="007B0677">
          <w:rPr>
            <w:rStyle w:val="Hypertextovodkaz"/>
            <w:rFonts w:cs="Times New Roman"/>
            <w:noProof/>
          </w:rPr>
          <w:t>Dotační tituly zeleniny s vysokou pracností za roky 2011 až 2020 (vážený průměr)</w:t>
        </w:r>
        <w:r w:rsidR="007C29A2">
          <w:rPr>
            <w:noProof/>
            <w:webHidden/>
          </w:rPr>
          <w:tab/>
        </w:r>
        <w:r w:rsidR="007C29A2">
          <w:rPr>
            <w:noProof/>
            <w:webHidden/>
          </w:rPr>
          <w:fldChar w:fldCharType="begin"/>
        </w:r>
        <w:r w:rsidR="007C29A2">
          <w:rPr>
            <w:noProof/>
            <w:webHidden/>
          </w:rPr>
          <w:instrText xml:space="preserve"> PAGEREF _Toc81738781 \h </w:instrText>
        </w:r>
        <w:r w:rsidR="007C29A2">
          <w:rPr>
            <w:noProof/>
            <w:webHidden/>
          </w:rPr>
        </w:r>
        <w:r w:rsidR="007C29A2">
          <w:rPr>
            <w:noProof/>
            <w:webHidden/>
          </w:rPr>
          <w:fldChar w:fldCharType="separate"/>
        </w:r>
        <w:r w:rsidR="007C29A2">
          <w:rPr>
            <w:noProof/>
            <w:webHidden/>
          </w:rPr>
          <w:t>18</w:t>
        </w:r>
        <w:r w:rsidR="007C29A2">
          <w:rPr>
            <w:noProof/>
            <w:webHidden/>
          </w:rPr>
          <w:fldChar w:fldCharType="end"/>
        </w:r>
      </w:hyperlink>
    </w:p>
    <w:p w14:paraId="1EA21D98" w14:textId="4FC81613" w:rsidR="007C29A2" w:rsidRDefault="00E07272" w:rsidP="007C29A2">
      <w:pPr>
        <w:pStyle w:val="Obsah4"/>
        <w:tabs>
          <w:tab w:val="left" w:pos="1440"/>
          <w:tab w:val="right" w:leader="dot" w:pos="9062"/>
        </w:tabs>
        <w:ind w:left="1134" w:hanging="992"/>
        <w:rPr>
          <w:rFonts w:asciiTheme="minorHAnsi" w:eastAsiaTheme="minorEastAsia" w:hAnsiTheme="minorHAnsi"/>
          <w:noProof/>
          <w:sz w:val="24"/>
          <w:szCs w:val="24"/>
          <w:lang w:val="cs-CZ" w:eastAsia="cs-CZ"/>
        </w:rPr>
      </w:pPr>
      <w:hyperlink w:anchor="_Toc81738782" w:history="1">
        <w:r w:rsidR="007C29A2" w:rsidRPr="007B0677">
          <w:rPr>
            <w:rStyle w:val="Hypertextovodkaz"/>
            <w:noProof/>
          </w:rPr>
          <w:t>Graf 6</w:t>
        </w:r>
        <w:r w:rsidR="007C29A2">
          <w:rPr>
            <w:rFonts w:asciiTheme="minorHAnsi" w:eastAsiaTheme="minorEastAsia" w:hAnsiTheme="minorHAnsi"/>
            <w:noProof/>
            <w:sz w:val="24"/>
            <w:szCs w:val="24"/>
            <w:lang w:val="cs-CZ" w:eastAsia="cs-CZ"/>
          </w:rPr>
          <w:tab/>
        </w:r>
        <w:r w:rsidR="007C29A2" w:rsidRPr="007B0677">
          <w:rPr>
            <w:rStyle w:val="Hypertextovodkaz"/>
            <w:rFonts w:cs="Times New Roman"/>
            <w:noProof/>
          </w:rPr>
          <w:t>Poměr hektarů vinic dle dotačního titulu v opatření Restrukturalizace za období 2013/14 až 2019/20</w:t>
        </w:r>
        <w:r w:rsidR="007C29A2">
          <w:rPr>
            <w:noProof/>
            <w:webHidden/>
          </w:rPr>
          <w:tab/>
        </w:r>
        <w:r w:rsidR="007C29A2">
          <w:rPr>
            <w:noProof/>
            <w:webHidden/>
          </w:rPr>
          <w:fldChar w:fldCharType="begin"/>
        </w:r>
        <w:r w:rsidR="007C29A2">
          <w:rPr>
            <w:noProof/>
            <w:webHidden/>
          </w:rPr>
          <w:instrText xml:space="preserve"> PAGEREF _Toc81738782 \h </w:instrText>
        </w:r>
        <w:r w:rsidR="007C29A2">
          <w:rPr>
            <w:noProof/>
            <w:webHidden/>
          </w:rPr>
        </w:r>
        <w:r w:rsidR="007C29A2">
          <w:rPr>
            <w:noProof/>
            <w:webHidden/>
          </w:rPr>
          <w:fldChar w:fldCharType="separate"/>
        </w:r>
        <w:r w:rsidR="007C29A2">
          <w:rPr>
            <w:noProof/>
            <w:webHidden/>
          </w:rPr>
          <w:t>37</w:t>
        </w:r>
        <w:r w:rsidR="007C29A2">
          <w:rPr>
            <w:noProof/>
            <w:webHidden/>
          </w:rPr>
          <w:fldChar w:fldCharType="end"/>
        </w:r>
      </w:hyperlink>
    </w:p>
    <w:p w14:paraId="4C5605CB" w14:textId="3563D7F5" w:rsidR="007C29A2" w:rsidRDefault="00E07272" w:rsidP="007C29A2">
      <w:pPr>
        <w:pStyle w:val="Obsah4"/>
        <w:tabs>
          <w:tab w:val="left" w:pos="1440"/>
          <w:tab w:val="right" w:leader="dot" w:pos="9062"/>
        </w:tabs>
        <w:ind w:left="1134" w:hanging="992"/>
        <w:rPr>
          <w:rFonts w:asciiTheme="minorHAnsi" w:eastAsiaTheme="minorEastAsia" w:hAnsiTheme="minorHAnsi"/>
          <w:noProof/>
          <w:sz w:val="24"/>
          <w:szCs w:val="24"/>
          <w:lang w:val="cs-CZ" w:eastAsia="cs-CZ"/>
        </w:rPr>
      </w:pPr>
      <w:hyperlink w:anchor="_Toc81738783" w:history="1">
        <w:r w:rsidR="007C29A2" w:rsidRPr="007B0677">
          <w:rPr>
            <w:rStyle w:val="Hypertextovodkaz"/>
            <w:noProof/>
          </w:rPr>
          <w:t>Graf 7</w:t>
        </w:r>
        <w:r w:rsidR="007C29A2">
          <w:rPr>
            <w:rFonts w:asciiTheme="minorHAnsi" w:eastAsiaTheme="minorEastAsia" w:hAnsiTheme="minorHAnsi"/>
            <w:noProof/>
            <w:sz w:val="24"/>
            <w:szCs w:val="24"/>
            <w:lang w:val="cs-CZ" w:eastAsia="cs-CZ"/>
          </w:rPr>
          <w:tab/>
        </w:r>
        <w:r w:rsidR="007C29A2" w:rsidRPr="007B0677">
          <w:rPr>
            <w:rStyle w:val="Hypertextovodkaz"/>
            <w:noProof/>
          </w:rPr>
          <w:t>Poměr počtů vyplacených žádostí za období 2013/2014 až 2019/2020 dle typu podpory v opatření Investice</w:t>
        </w:r>
        <w:r w:rsidR="007C29A2">
          <w:rPr>
            <w:noProof/>
            <w:webHidden/>
          </w:rPr>
          <w:tab/>
        </w:r>
        <w:r w:rsidR="007C29A2">
          <w:rPr>
            <w:noProof/>
            <w:webHidden/>
          </w:rPr>
          <w:fldChar w:fldCharType="begin"/>
        </w:r>
        <w:r w:rsidR="007C29A2">
          <w:rPr>
            <w:noProof/>
            <w:webHidden/>
          </w:rPr>
          <w:instrText xml:space="preserve"> PAGEREF _Toc81738783 \h </w:instrText>
        </w:r>
        <w:r w:rsidR="007C29A2">
          <w:rPr>
            <w:noProof/>
            <w:webHidden/>
          </w:rPr>
        </w:r>
        <w:r w:rsidR="007C29A2">
          <w:rPr>
            <w:noProof/>
            <w:webHidden/>
          </w:rPr>
          <w:fldChar w:fldCharType="separate"/>
        </w:r>
        <w:r w:rsidR="007C29A2">
          <w:rPr>
            <w:noProof/>
            <w:webHidden/>
          </w:rPr>
          <w:t>39</w:t>
        </w:r>
        <w:r w:rsidR="007C29A2">
          <w:rPr>
            <w:noProof/>
            <w:webHidden/>
          </w:rPr>
          <w:fldChar w:fldCharType="end"/>
        </w:r>
      </w:hyperlink>
    </w:p>
    <w:p w14:paraId="1B2911B8" w14:textId="1DDA699E" w:rsidR="007C29A2" w:rsidRDefault="00E07272" w:rsidP="007C29A2">
      <w:pPr>
        <w:pStyle w:val="Obsah4"/>
        <w:tabs>
          <w:tab w:val="left" w:pos="1440"/>
          <w:tab w:val="right" w:leader="dot" w:pos="9062"/>
        </w:tabs>
        <w:ind w:left="1134" w:hanging="992"/>
        <w:rPr>
          <w:rFonts w:asciiTheme="minorHAnsi" w:eastAsiaTheme="minorEastAsia" w:hAnsiTheme="minorHAnsi"/>
          <w:noProof/>
          <w:sz w:val="24"/>
          <w:szCs w:val="24"/>
          <w:lang w:val="cs-CZ" w:eastAsia="cs-CZ"/>
        </w:rPr>
      </w:pPr>
      <w:hyperlink w:anchor="_Toc81738784" w:history="1">
        <w:r w:rsidR="007C29A2" w:rsidRPr="007B0677">
          <w:rPr>
            <w:rStyle w:val="Hypertextovodkaz"/>
            <w:noProof/>
          </w:rPr>
          <w:t>Graf 8</w:t>
        </w:r>
        <w:r w:rsidR="007C29A2">
          <w:rPr>
            <w:rFonts w:asciiTheme="minorHAnsi" w:eastAsiaTheme="minorEastAsia" w:hAnsiTheme="minorHAnsi"/>
            <w:noProof/>
            <w:sz w:val="24"/>
            <w:szCs w:val="24"/>
            <w:lang w:val="cs-CZ" w:eastAsia="cs-CZ"/>
          </w:rPr>
          <w:tab/>
        </w:r>
        <w:r w:rsidR="007C29A2" w:rsidRPr="007B0677">
          <w:rPr>
            <w:rStyle w:val="Hypertextovodkaz"/>
            <w:noProof/>
          </w:rPr>
          <w:t>Vývoj struktury provozních podpor u pěstování hroznového vína 2011 až 2020</w:t>
        </w:r>
        <w:r w:rsidR="007C29A2">
          <w:rPr>
            <w:noProof/>
            <w:webHidden/>
          </w:rPr>
          <w:tab/>
        </w:r>
        <w:r w:rsidR="007C29A2">
          <w:rPr>
            <w:noProof/>
            <w:webHidden/>
          </w:rPr>
          <w:fldChar w:fldCharType="begin"/>
        </w:r>
        <w:r w:rsidR="007C29A2">
          <w:rPr>
            <w:noProof/>
            <w:webHidden/>
          </w:rPr>
          <w:instrText xml:space="preserve"> PAGEREF _Toc81738784 \h </w:instrText>
        </w:r>
        <w:r w:rsidR="007C29A2">
          <w:rPr>
            <w:noProof/>
            <w:webHidden/>
          </w:rPr>
        </w:r>
        <w:r w:rsidR="007C29A2">
          <w:rPr>
            <w:noProof/>
            <w:webHidden/>
          </w:rPr>
          <w:fldChar w:fldCharType="separate"/>
        </w:r>
        <w:r w:rsidR="007C29A2">
          <w:rPr>
            <w:noProof/>
            <w:webHidden/>
          </w:rPr>
          <w:t>40</w:t>
        </w:r>
        <w:r w:rsidR="007C29A2">
          <w:rPr>
            <w:noProof/>
            <w:webHidden/>
          </w:rPr>
          <w:fldChar w:fldCharType="end"/>
        </w:r>
      </w:hyperlink>
    </w:p>
    <w:p w14:paraId="11997293" w14:textId="7B54E783" w:rsidR="007C29A2" w:rsidRDefault="00E07272" w:rsidP="007C29A2">
      <w:pPr>
        <w:pStyle w:val="Obsah4"/>
        <w:tabs>
          <w:tab w:val="left" w:pos="1440"/>
          <w:tab w:val="right" w:leader="dot" w:pos="9062"/>
        </w:tabs>
        <w:ind w:left="1134" w:hanging="992"/>
        <w:rPr>
          <w:rFonts w:asciiTheme="minorHAnsi" w:eastAsiaTheme="minorEastAsia" w:hAnsiTheme="minorHAnsi"/>
          <w:noProof/>
          <w:sz w:val="24"/>
          <w:szCs w:val="24"/>
          <w:lang w:val="cs-CZ" w:eastAsia="cs-CZ"/>
        </w:rPr>
      </w:pPr>
      <w:hyperlink w:anchor="_Toc81738785" w:history="1">
        <w:r w:rsidR="007C29A2" w:rsidRPr="007B0677">
          <w:rPr>
            <w:rStyle w:val="Hypertextovodkaz"/>
            <w:noProof/>
          </w:rPr>
          <w:t>Graf 9</w:t>
        </w:r>
        <w:r w:rsidR="007C29A2">
          <w:rPr>
            <w:rFonts w:asciiTheme="minorHAnsi" w:eastAsiaTheme="minorEastAsia" w:hAnsiTheme="minorHAnsi"/>
            <w:noProof/>
            <w:sz w:val="24"/>
            <w:szCs w:val="24"/>
            <w:lang w:val="cs-CZ" w:eastAsia="cs-CZ"/>
          </w:rPr>
          <w:tab/>
        </w:r>
        <w:r w:rsidR="007C29A2" w:rsidRPr="007B0677">
          <w:rPr>
            <w:rStyle w:val="Hypertextovodkaz"/>
            <w:noProof/>
          </w:rPr>
          <w:t>Vývoj struktury provozních podpor u komodity brambory konzumní</w:t>
        </w:r>
        <w:r w:rsidR="007C29A2">
          <w:rPr>
            <w:noProof/>
            <w:webHidden/>
          </w:rPr>
          <w:tab/>
        </w:r>
        <w:r w:rsidR="007C29A2">
          <w:rPr>
            <w:noProof/>
            <w:webHidden/>
          </w:rPr>
          <w:fldChar w:fldCharType="begin"/>
        </w:r>
        <w:r w:rsidR="007C29A2">
          <w:rPr>
            <w:noProof/>
            <w:webHidden/>
          </w:rPr>
          <w:instrText xml:space="preserve"> PAGEREF _Toc81738785 \h </w:instrText>
        </w:r>
        <w:r w:rsidR="007C29A2">
          <w:rPr>
            <w:noProof/>
            <w:webHidden/>
          </w:rPr>
        </w:r>
        <w:r w:rsidR="007C29A2">
          <w:rPr>
            <w:noProof/>
            <w:webHidden/>
          </w:rPr>
          <w:fldChar w:fldCharType="separate"/>
        </w:r>
        <w:r w:rsidR="007C29A2">
          <w:rPr>
            <w:noProof/>
            <w:webHidden/>
          </w:rPr>
          <w:t>53</w:t>
        </w:r>
        <w:r w:rsidR="007C29A2">
          <w:rPr>
            <w:noProof/>
            <w:webHidden/>
          </w:rPr>
          <w:fldChar w:fldCharType="end"/>
        </w:r>
      </w:hyperlink>
    </w:p>
    <w:p w14:paraId="46CD23C1" w14:textId="7AA36719"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786" w:history="1">
        <w:r w:rsidR="007C29A2" w:rsidRPr="007B0677">
          <w:rPr>
            <w:rStyle w:val="Hypertextovodkaz"/>
            <w:noProof/>
          </w:rPr>
          <w:t>Graf 10</w:t>
        </w:r>
        <w:r w:rsidR="007C29A2">
          <w:rPr>
            <w:rFonts w:asciiTheme="minorHAnsi" w:eastAsiaTheme="minorEastAsia" w:hAnsiTheme="minorHAnsi"/>
            <w:noProof/>
            <w:sz w:val="24"/>
            <w:szCs w:val="24"/>
            <w:lang w:val="cs-CZ" w:eastAsia="cs-CZ"/>
          </w:rPr>
          <w:tab/>
        </w:r>
        <w:r w:rsidR="007C29A2" w:rsidRPr="007B0677">
          <w:rPr>
            <w:rStyle w:val="Hypertextovodkaz"/>
            <w:noProof/>
          </w:rPr>
          <w:t>Vývoj struktury provozních podpor u komodity brambory škrobové</w:t>
        </w:r>
        <w:r w:rsidR="007C29A2">
          <w:rPr>
            <w:noProof/>
            <w:webHidden/>
          </w:rPr>
          <w:tab/>
        </w:r>
        <w:r w:rsidR="007C29A2">
          <w:rPr>
            <w:noProof/>
            <w:webHidden/>
          </w:rPr>
          <w:fldChar w:fldCharType="begin"/>
        </w:r>
        <w:r w:rsidR="007C29A2">
          <w:rPr>
            <w:noProof/>
            <w:webHidden/>
          </w:rPr>
          <w:instrText xml:space="preserve"> PAGEREF _Toc81738786 \h </w:instrText>
        </w:r>
        <w:r w:rsidR="007C29A2">
          <w:rPr>
            <w:noProof/>
            <w:webHidden/>
          </w:rPr>
        </w:r>
        <w:r w:rsidR="007C29A2">
          <w:rPr>
            <w:noProof/>
            <w:webHidden/>
          </w:rPr>
          <w:fldChar w:fldCharType="separate"/>
        </w:r>
        <w:r w:rsidR="007C29A2">
          <w:rPr>
            <w:noProof/>
            <w:webHidden/>
          </w:rPr>
          <w:t>54</w:t>
        </w:r>
        <w:r w:rsidR="007C29A2">
          <w:rPr>
            <w:noProof/>
            <w:webHidden/>
          </w:rPr>
          <w:fldChar w:fldCharType="end"/>
        </w:r>
      </w:hyperlink>
    </w:p>
    <w:p w14:paraId="46E17F5A" w14:textId="35A85F5A"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787" w:history="1">
        <w:r w:rsidR="007C29A2" w:rsidRPr="007B0677">
          <w:rPr>
            <w:rStyle w:val="Hypertextovodkaz"/>
            <w:noProof/>
          </w:rPr>
          <w:t>Graf 11</w:t>
        </w:r>
        <w:r w:rsidR="007C29A2">
          <w:rPr>
            <w:rFonts w:asciiTheme="minorHAnsi" w:eastAsiaTheme="minorEastAsia" w:hAnsiTheme="minorHAnsi"/>
            <w:noProof/>
            <w:sz w:val="24"/>
            <w:szCs w:val="24"/>
            <w:lang w:val="cs-CZ" w:eastAsia="cs-CZ"/>
          </w:rPr>
          <w:tab/>
        </w:r>
        <w:r w:rsidR="007C29A2" w:rsidRPr="007B0677">
          <w:rPr>
            <w:rStyle w:val="Hypertextovodkaz"/>
            <w:noProof/>
          </w:rPr>
          <w:t>Vývoj struktury provozních podpor u komodity cukrová řepa</w:t>
        </w:r>
        <w:r w:rsidR="007C29A2">
          <w:rPr>
            <w:noProof/>
            <w:webHidden/>
          </w:rPr>
          <w:tab/>
        </w:r>
        <w:r w:rsidR="007C29A2">
          <w:rPr>
            <w:noProof/>
            <w:webHidden/>
          </w:rPr>
          <w:fldChar w:fldCharType="begin"/>
        </w:r>
        <w:r w:rsidR="007C29A2">
          <w:rPr>
            <w:noProof/>
            <w:webHidden/>
          </w:rPr>
          <w:instrText xml:space="preserve"> PAGEREF _Toc81738787 \h </w:instrText>
        </w:r>
        <w:r w:rsidR="007C29A2">
          <w:rPr>
            <w:noProof/>
            <w:webHidden/>
          </w:rPr>
        </w:r>
        <w:r w:rsidR="007C29A2">
          <w:rPr>
            <w:noProof/>
            <w:webHidden/>
          </w:rPr>
          <w:fldChar w:fldCharType="separate"/>
        </w:r>
        <w:r w:rsidR="007C29A2">
          <w:rPr>
            <w:noProof/>
            <w:webHidden/>
          </w:rPr>
          <w:t>71</w:t>
        </w:r>
        <w:r w:rsidR="007C29A2">
          <w:rPr>
            <w:noProof/>
            <w:webHidden/>
          </w:rPr>
          <w:fldChar w:fldCharType="end"/>
        </w:r>
      </w:hyperlink>
    </w:p>
    <w:p w14:paraId="53DF6A2C" w14:textId="0FA37B77"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788" w:history="1">
        <w:r w:rsidR="007C29A2" w:rsidRPr="007B0677">
          <w:rPr>
            <w:rStyle w:val="Hypertextovodkaz"/>
            <w:noProof/>
          </w:rPr>
          <w:t>Graf 12</w:t>
        </w:r>
        <w:r w:rsidR="007C29A2">
          <w:rPr>
            <w:rFonts w:asciiTheme="minorHAnsi" w:eastAsiaTheme="minorEastAsia" w:hAnsiTheme="minorHAnsi"/>
            <w:noProof/>
            <w:sz w:val="24"/>
            <w:szCs w:val="24"/>
            <w:lang w:val="cs-CZ" w:eastAsia="cs-CZ"/>
          </w:rPr>
          <w:tab/>
        </w:r>
        <w:r w:rsidR="007C29A2" w:rsidRPr="007B0677">
          <w:rPr>
            <w:rStyle w:val="Hypertextovodkaz"/>
            <w:noProof/>
          </w:rPr>
          <w:t>Vývoj struktury provozních podpor u komodity hrách</w:t>
        </w:r>
        <w:r w:rsidR="007C29A2">
          <w:rPr>
            <w:noProof/>
            <w:webHidden/>
          </w:rPr>
          <w:tab/>
        </w:r>
        <w:r w:rsidR="007C29A2">
          <w:rPr>
            <w:noProof/>
            <w:webHidden/>
          </w:rPr>
          <w:fldChar w:fldCharType="begin"/>
        </w:r>
        <w:r w:rsidR="007C29A2">
          <w:rPr>
            <w:noProof/>
            <w:webHidden/>
          </w:rPr>
          <w:instrText xml:space="preserve"> PAGEREF _Toc81738788 \h </w:instrText>
        </w:r>
        <w:r w:rsidR="007C29A2">
          <w:rPr>
            <w:noProof/>
            <w:webHidden/>
          </w:rPr>
        </w:r>
        <w:r w:rsidR="007C29A2">
          <w:rPr>
            <w:noProof/>
            <w:webHidden/>
          </w:rPr>
          <w:fldChar w:fldCharType="separate"/>
        </w:r>
        <w:r w:rsidR="007C29A2">
          <w:rPr>
            <w:noProof/>
            <w:webHidden/>
          </w:rPr>
          <w:t>84</w:t>
        </w:r>
        <w:r w:rsidR="007C29A2">
          <w:rPr>
            <w:noProof/>
            <w:webHidden/>
          </w:rPr>
          <w:fldChar w:fldCharType="end"/>
        </w:r>
      </w:hyperlink>
    </w:p>
    <w:p w14:paraId="3CF908F4" w14:textId="5A9A645F"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789" w:history="1">
        <w:r w:rsidR="007C29A2" w:rsidRPr="007B0677">
          <w:rPr>
            <w:rStyle w:val="Hypertextovodkaz"/>
            <w:noProof/>
          </w:rPr>
          <w:t>Graf 13</w:t>
        </w:r>
        <w:r w:rsidR="007C29A2">
          <w:rPr>
            <w:rFonts w:asciiTheme="minorHAnsi" w:eastAsiaTheme="minorEastAsia" w:hAnsiTheme="minorHAnsi"/>
            <w:noProof/>
            <w:sz w:val="24"/>
            <w:szCs w:val="24"/>
            <w:lang w:val="cs-CZ" w:eastAsia="cs-CZ"/>
          </w:rPr>
          <w:tab/>
        </w:r>
        <w:r w:rsidR="007C29A2" w:rsidRPr="007B0677">
          <w:rPr>
            <w:rStyle w:val="Hypertextovodkaz"/>
            <w:noProof/>
          </w:rPr>
          <w:t>Vývoj struktury provozních podpor u komodity hrách-peluška</w:t>
        </w:r>
        <w:r w:rsidR="007C29A2">
          <w:rPr>
            <w:noProof/>
            <w:webHidden/>
          </w:rPr>
          <w:tab/>
        </w:r>
        <w:r w:rsidR="007C29A2">
          <w:rPr>
            <w:noProof/>
            <w:webHidden/>
          </w:rPr>
          <w:fldChar w:fldCharType="begin"/>
        </w:r>
        <w:r w:rsidR="007C29A2">
          <w:rPr>
            <w:noProof/>
            <w:webHidden/>
          </w:rPr>
          <w:instrText xml:space="preserve"> PAGEREF _Toc81738789 \h </w:instrText>
        </w:r>
        <w:r w:rsidR="007C29A2">
          <w:rPr>
            <w:noProof/>
            <w:webHidden/>
          </w:rPr>
        </w:r>
        <w:r w:rsidR="007C29A2">
          <w:rPr>
            <w:noProof/>
            <w:webHidden/>
          </w:rPr>
          <w:fldChar w:fldCharType="separate"/>
        </w:r>
        <w:r w:rsidR="007C29A2">
          <w:rPr>
            <w:noProof/>
            <w:webHidden/>
          </w:rPr>
          <w:t>85</w:t>
        </w:r>
        <w:r w:rsidR="007C29A2">
          <w:rPr>
            <w:noProof/>
            <w:webHidden/>
          </w:rPr>
          <w:fldChar w:fldCharType="end"/>
        </w:r>
      </w:hyperlink>
    </w:p>
    <w:p w14:paraId="38D952DB" w14:textId="50D32490"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790" w:history="1">
        <w:r w:rsidR="007C29A2" w:rsidRPr="007B0677">
          <w:rPr>
            <w:rStyle w:val="Hypertextovodkaz"/>
            <w:noProof/>
          </w:rPr>
          <w:t>Graf 14</w:t>
        </w:r>
        <w:r w:rsidR="007C29A2">
          <w:rPr>
            <w:rFonts w:asciiTheme="minorHAnsi" w:eastAsiaTheme="minorEastAsia" w:hAnsiTheme="minorHAnsi"/>
            <w:noProof/>
            <w:sz w:val="24"/>
            <w:szCs w:val="24"/>
            <w:lang w:val="cs-CZ" w:eastAsia="cs-CZ"/>
          </w:rPr>
          <w:tab/>
        </w:r>
        <w:r w:rsidR="007C29A2" w:rsidRPr="007B0677">
          <w:rPr>
            <w:rStyle w:val="Hypertextovodkaz"/>
            <w:noProof/>
          </w:rPr>
          <w:t>Vývoj struktury provozních podpor u komodity bob</w:t>
        </w:r>
        <w:r w:rsidR="007C29A2">
          <w:rPr>
            <w:noProof/>
            <w:webHidden/>
          </w:rPr>
          <w:tab/>
        </w:r>
        <w:r w:rsidR="007C29A2">
          <w:rPr>
            <w:noProof/>
            <w:webHidden/>
          </w:rPr>
          <w:fldChar w:fldCharType="begin"/>
        </w:r>
        <w:r w:rsidR="007C29A2">
          <w:rPr>
            <w:noProof/>
            <w:webHidden/>
          </w:rPr>
          <w:instrText xml:space="preserve"> PAGEREF _Toc81738790 \h </w:instrText>
        </w:r>
        <w:r w:rsidR="007C29A2">
          <w:rPr>
            <w:noProof/>
            <w:webHidden/>
          </w:rPr>
        </w:r>
        <w:r w:rsidR="007C29A2">
          <w:rPr>
            <w:noProof/>
            <w:webHidden/>
          </w:rPr>
          <w:fldChar w:fldCharType="separate"/>
        </w:r>
        <w:r w:rsidR="007C29A2">
          <w:rPr>
            <w:noProof/>
            <w:webHidden/>
          </w:rPr>
          <w:t>86</w:t>
        </w:r>
        <w:r w:rsidR="007C29A2">
          <w:rPr>
            <w:noProof/>
            <w:webHidden/>
          </w:rPr>
          <w:fldChar w:fldCharType="end"/>
        </w:r>
      </w:hyperlink>
    </w:p>
    <w:p w14:paraId="044C69B6" w14:textId="45644E13"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791" w:history="1">
        <w:r w:rsidR="007C29A2" w:rsidRPr="007B0677">
          <w:rPr>
            <w:rStyle w:val="Hypertextovodkaz"/>
            <w:noProof/>
          </w:rPr>
          <w:t>Graf 15</w:t>
        </w:r>
        <w:r w:rsidR="007C29A2">
          <w:rPr>
            <w:rFonts w:asciiTheme="minorHAnsi" w:eastAsiaTheme="minorEastAsia" w:hAnsiTheme="minorHAnsi"/>
            <w:noProof/>
            <w:sz w:val="24"/>
            <w:szCs w:val="24"/>
            <w:lang w:val="cs-CZ" w:eastAsia="cs-CZ"/>
          </w:rPr>
          <w:tab/>
        </w:r>
        <w:r w:rsidR="007C29A2" w:rsidRPr="007B0677">
          <w:rPr>
            <w:rStyle w:val="Hypertextovodkaz"/>
            <w:noProof/>
          </w:rPr>
          <w:t>Vývoj struktury provozních podpor u komodity sója</w:t>
        </w:r>
        <w:r w:rsidR="007C29A2">
          <w:rPr>
            <w:noProof/>
            <w:webHidden/>
          </w:rPr>
          <w:tab/>
        </w:r>
        <w:r w:rsidR="007C29A2">
          <w:rPr>
            <w:noProof/>
            <w:webHidden/>
          </w:rPr>
          <w:fldChar w:fldCharType="begin"/>
        </w:r>
        <w:r w:rsidR="007C29A2">
          <w:rPr>
            <w:noProof/>
            <w:webHidden/>
          </w:rPr>
          <w:instrText xml:space="preserve"> PAGEREF _Toc81738791 \h </w:instrText>
        </w:r>
        <w:r w:rsidR="007C29A2">
          <w:rPr>
            <w:noProof/>
            <w:webHidden/>
          </w:rPr>
        </w:r>
        <w:r w:rsidR="007C29A2">
          <w:rPr>
            <w:noProof/>
            <w:webHidden/>
          </w:rPr>
          <w:fldChar w:fldCharType="separate"/>
        </w:r>
        <w:r w:rsidR="007C29A2">
          <w:rPr>
            <w:noProof/>
            <w:webHidden/>
          </w:rPr>
          <w:t>87</w:t>
        </w:r>
        <w:r w:rsidR="007C29A2">
          <w:rPr>
            <w:noProof/>
            <w:webHidden/>
          </w:rPr>
          <w:fldChar w:fldCharType="end"/>
        </w:r>
      </w:hyperlink>
    </w:p>
    <w:p w14:paraId="02802FE8" w14:textId="4BB2292B"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792" w:history="1">
        <w:r w:rsidR="007C29A2" w:rsidRPr="007B0677">
          <w:rPr>
            <w:rStyle w:val="Hypertextovodkaz"/>
            <w:noProof/>
          </w:rPr>
          <w:t>Graf 16</w:t>
        </w:r>
        <w:r w:rsidR="007C29A2">
          <w:rPr>
            <w:rFonts w:asciiTheme="minorHAnsi" w:eastAsiaTheme="minorEastAsia" w:hAnsiTheme="minorHAnsi"/>
            <w:noProof/>
            <w:sz w:val="24"/>
            <w:szCs w:val="24"/>
            <w:lang w:val="cs-CZ" w:eastAsia="cs-CZ"/>
          </w:rPr>
          <w:tab/>
        </w:r>
        <w:r w:rsidR="007C29A2" w:rsidRPr="007B0677">
          <w:rPr>
            <w:rStyle w:val="Hypertextovodkaz"/>
            <w:noProof/>
          </w:rPr>
          <w:t>Vývoj struktury provozních podpor u komodity vojtěška</w:t>
        </w:r>
        <w:r w:rsidR="007C29A2">
          <w:rPr>
            <w:noProof/>
            <w:webHidden/>
          </w:rPr>
          <w:tab/>
        </w:r>
        <w:r w:rsidR="007C29A2">
          <w:rPr>
            <w:noProof/>
            <w:webHidden/>
          </w:rPr>
          <w:fldChar w:fldCharType="begin"/>
        </w:r>
        <w:r w:rsidR="007C29A2">
          <w:rPr>
            <w:noProof/>
            <w:webHidden/>
          </w:rPr>
          <w:instrText xml:space="preserve"> PAGEREF _Toc81738792 \h </w:instrText>
        </w:r>
        <w:r w:rsidR="007C29A2">
          <w:rPr>
            <w:noProof/>
            <w:webHidden/>
          </w:rPr>
        </w:r>
        <w:r w:rsidR="007C29A2">
          <w:rPr>
            <w:noProof/>
            <w:webHidden/>
          </w:rPr>
          <w:fldChar w:fldCharType="separate"/>
        </w:r>
        <w:r w:rsidR="007C29A2">
          <w:rPr>
            <w:noProof/>
            <w:webHidden/>
          </w:rPr>
          <w:t>88</w:t>
        </w:r>
        <w:r w:rsidR="007C29A2">
          <w:rPr>
            <w:noProof/>
            <w:webHidden/>
          </w:rPr>
          <w:fldChar w:fldCharType="end"/>
        </w:r>
      </w:hyperlink>
    </w:p>
    <w:p w14:paraId="0ABA8105" w14:textId="794FAB48"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793" w:history="1">
        <w:r w:rsidR="007C29A2" w:rsidRPr="007B0677">
          <w:rPr>
            <w:rStyle w:val="Hypertextovodkaz"/>
            <w:noProof/>
          </w:rPr>
          <w:t>Graf 17</w:t>
        </w:r>
        <w:r w:rsidR="007C29A2">
          <w:rPr>
            <w:rFonts w:asciiTheme="minorHAnsi" w:eastAsiaTheme="minorEastAsia" w:hAnsiTheme="minorHAnsi"/>
            <w:noProof/>
            <w:sz w:val="24"/>
            <w:szCs w:val="24"/>
            <w:lang w:val="cs-CZ" w:eastAsia="cs-CZ"/>
          </w:rPr>
          <w:tab/>
        </w:r>
        <w:r w:rsidR="007C29A2" w:rsidRPr="007B0677">
          <w:rPr>
            <w:rStyle w:val="Hypertextovodkaz"/>
            <w:noProof/>
          </w:rPr>
          <w:t>Vývoj struktury provozních podpor u komodity jetel</w:t>
        </w:r>
        <w:r w:rsidR="007C29A2">
          <w:rPr>
            <w:noProof/>
            <w:webHidden/>
          </w:rPr>
          <w:tab/>
        </w:r>
        <w:r w:rsidR="007C29A2">
          <w:rPr>
            <w:noProof/>
            <w:webHidden/>
          </w:rPr>
          <w:fldChar w:fldCharType="begin"/>
        </w:r>
        <w:r w:rsidR="007C29A2">
          <w:rPr>
            <w:noProof/>
            <w:webHidden/>
          </w:rPr>
          <w:instrText xml:space="preserve"> PAGEREF _Toc81738793 \h </w:instrText>
        </w:r>
        <w:r w:rsidR="007C29A2">
          <w:rPr>
            <w:noProof/>
            <w:webHidden/>
          </w:rPr>
        </w:r>
        <w:r w:rsidR="007C29A2">
          <w:rPr>
            <w:noProof/>
            <w:webHidden/>
          </w:rPr>
          <w:fldChar w:fldCharType="separate"/>
        </w:r>
        <w:r w:rsidR="007C29A2">
          <w:rPr>
            <w:noProof/>
            <w:webHidden/>
          </w:rPr>
          <w:t>88</w:t>
        </w:r>
        <w:r w:rsidR="007C29A2">
          <w:rPr>
            <w:noProof/>
            <w:webHidden/>
          </w:rPr>
          <w:fldChar w:fldCharType="end"/>
        </w:r>
      </w:hyperlink>
    </w:p>
    <w:p w14:paraId="2FF456F7" w14:textId="093420DF"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794" w:history="1">
        <w:r w:rsidR="007C29A2" w:rsidRPr="007B0677">
          <w:rPr>
            <w:rStyle w:val="Hypertextovodkaz"/>
            <w:noProof/>
          </w:rPr>
          <w:t>Graf 18</w:t>
        </w:r>
        <w:r w:rsidR="007C29A2">
          <w:rPr>
            <w:rFonts w:asciiTheme="minorHAnsi" w:eastAsiaTheme="minorEastAsia" w:hAnsiTheme="minorHAnsi"/>
            <w:noProof/>
            <w:sz w:val="24"/>
            <w:szCs w:val="24"/>
            <w:lang w:val="cs-CZ" w:eastAsia="cs-CZ"/>
          </w:rPr>
          <w:tab/>
        </w:r>
        <w:r w:rsidR="007C29A2" w:rsidRPr="007B0677">
          <w:rPr>
            <w:rStyle w:val="Hypertextovodkaz"/>
            <w:noProof/>
          </w:rPr>
          <w:t>Vývoj struktury provozních podpor u komodity chmel</w:t>
        </w:r>
        <w:r w:rsidR="007C29A2">
          <w:rPr>
            <w:noProof/>
            <w:webHidden/>
          </w:rPr>
          <w:tab/>
        </w:r>
        <w:r w:rsidR="007C29A2">
          <w:rPr>
            <w:noProof/>
            <w:webHidden/>
          </w:rPr>
          <w:fldChar w:fldCharType="begin"/>
        </w:r>
        <w:r w:rsidR="007C29A2">
          <w:rPr>
            <w:noProof/>
            <w:webHidden/>
          </w:rPr>
          <w:instrText xml:space="preserve"> PAGEREF _Toc81738794 \h </w:instrText>
        </w:r>
        <w:r w:rsidR="007C29A2">
          <w:rPr>
            <w:noProof/>
            <w:webHidden/>
          </w:rPr>
        </w:r>
        <w:r w:rsidR="007C29A2">
          <w:rPr>
            <w:noProof/>
            <w:webHidden/>
          </w:rPr>
          <w:fldChar w:fldCharType="separate"/>
        </w:r>
        <w:r w:rsidR="007C29A2">
          <w:rPr>
            <w:noProof/>
            <w:webHidden/>
          </w:rPr>
          <w:t>100</w:t>
        </w:r>
        <w:r w:rsidR="007C29A2">
          <w:rPr>
            <w:noProof/>
            <w:webHidden/>
          </w:rPr>
          <w:fldChar w:fldCharType="end"/>
        </w:r>
      </w:hyperlink>
    </w:p>
    <w:p w14:paraId="4BB90A67" w14:textId="1CEC3584"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795" w:history="1">
        <w:r w:rsidR="007C29A2" w:rsidRPr="007B0677">
          <w:rPr>
            <w:rStyle w:val="Hypertextovodkaz"/>
            <w:noProof/>
          </w:rPr>
          <w:t>Graf 19</w:t>
        </w:r>
        <w:r w:rsidR="007C29A2">
          <w:rPr>
            <w:rFonts w:asciiTheme="minorHAnsi" w:eastAsiaTheme="minorEastAsia" w:hAnsiTheme="minorHAnsi"/>
            <w:noProof/>
            <w:sz w:val="24"/>
            <w:szCs w:val="24"/>
            <w:lang w:val="cs-CZ" w:eastAsia="cs-CZ"/>
          </w:rPr>
          <w:tab/>
        </w:r>
        <w:r w:rsidR="007C29A2" w:rsidRPr="007B0677">
          <w:rPr>
            <w:rStyle w:val="Hypertextovodkaz"/>
            <w:noProof/>
          </w:rPr>
          <w:t>Vývoj produkční plochy a hektarového výnosu obilovin (2011 - 2020)</w:t>
        </w:r>
        <w:r w:rsidR="007C29A2">
          <w:rPr>
            <w:noProof/>
            <w:webHidden/>
          </w:rPr>
          <w:tab/>
        </w:r>
        <w:r w:rsidR="007C29A2">
          <w:rPr>
            <w:noProof/>
            <w:webHidden/>
          </w:rPr>
          <w:fldChar w:fldCharType="begin"/>
        </w:r>
        <w:r w:rsidR="007C29A2">
          <w:rPr>
            <w:noProof/>
            <w:webHidden/>
          </w:rPr>
          <w:instrText xml:space="preserve"> PAGEREF _Toc81738795 \h </w:instrText>
        </w:r>
        <w:r w:rsidR="007C29A2">
          <w:rPr>
            <w:noProof/>
            <w:webHidden/>
          </w:rPr>
        </w:r>
        <w:r w:rsidR="007C29A2">
          <w:rPr>
            <w:noProof/>
            <w:webHidden/>
          </w:rPr>
          <w:fldChar w:fldCharType="separate"/>
        </w:r>
        <w:r w:rsidR="007C29A2">
          <w:rPr>
            <w:noProof/>
            <w:webHidden/>
          </w:rPr>
          <w:t>110</w:t>
        </w:r>
        <w:r w:rsidR="007C29A2">
          <w:rPr>
            <w:noProof/>
            <w:webHidden/>
          </w:rPr>
          <w:fldChar w:fldCharType="end"/>
        </w:r>
      </w:hyperlink>
    </w:p>
    <w:p w14:paraId="14D0E35B" w14:textId="160B7279"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796" w:history="1">
        <w:r w:rsidR="007C29A2" w:rsidRPr="007B0677">
          <w:rPr>
            <w:rStyle w:val="Hypertextovodkaz"/>
            <w:noProof/>
          </w:rPr>
          <w:t>Graf 20</w:t>
        </w:r>
        <w:r w:rsidR="007C29A2">
          <w:rPr>
            <w:rFonts w:asciiTheme="minorHAnsi" w:eastAsiaTheme="minorEastAsia" w:hAnsiTheme="minorHAnsi"/>
            <w:noProof/>
            <w:sz w:val="24"/>
            <w:szCs w:val="24"/>
            <w:lang w:val="cs-CZ" w:eastAsia="cs-CZ"/>
          </w:rPr>
          <w:tab/>
        </w:r>
        <w:r w:rsidR="007C29A2" w:rsidRPr="007B0677">
          <w:rPr>
            <w:rStyle w:val="Hypertextovodkaz"/>
            <w:noProof/>
          </w:rPr>
          <w:t>Vývoj produkce, spotřeby, exportu, importu a soběstačnosti obilovin (2011 – 2020)</w:t>
        </w:r>
        <w:r w:rsidR="007C29A2">
          <w:rPr>
            <w:noProof/>
            <w:webHidden/>
          </w:rPr>
          <w:tab/>
        </w:r>
        <w:r w:rsidR="007C29A2">
          <w:rPr>
            <w:noProof/>
            <w:webHidden/>
          </w:rPr>
          <w:fldChar w:fldCharType="begin"/>
        </w:r>
        <w:r w:rsidR="007C29A2">
          <w:rPr>
            <w:noProof/>
            <w:webHidden/>
          </w:rPr>
          <w:instrText xml:space="preserve"> PAGEREF _Toc81738796 \h </w:instrText>
        </w:r>
        <w:r w:rsidR="007C29A2">
          <w:rPr>
            <w:noProof/>
            <w:webHidden/>
          </w:rPr>
        </w:r>
        <w:r w:rsidR="007C29A2">
          <w:rPr>
            <w:noProof/>
            <w:webHidden/>
          </w:rPr>
          <w:fldChar w:fldCharType="separate"/>
        </w:r>
        <w:r w:rsidR="007C29A2">
          <w:rPr>
            <w:noProof/>
            <w:webHidden/>
          </w:rPr>
          <w:t>110</w:t>
        </w:r>
        <w:r w:rsidR="007C29A2">
          <w:rPr>
            <w:noProof/>
            <w:webHidden/>
          </w:rPr>
          <w:fldChar w:fldCharType="end"/>
        </w:r>
      </w:hyperlink>
    </w:p>
    <w:p w14:paraId="2CAED242" w14:textId="23BE1F4A"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797" w:history="1">
        <w:r w:rsidR="007C29A2" w:rsidRPr="007B0677">
          <w:rPr>
            <w:rStyle w:val="Hypertextovodkaz"/>
            <w:noProof/>
          </w:rPr>
          <w:t>Graf 21</w:t>
        </w:r>
        <w:r w:rsidR="007C29A2">
          <w:rPr>
            <w:rFonts w:asciiTheme="minorHAnsi" w:eastAsiaTheme="minorEastAsia" w:hAnsiTheme="minorHAnsi"/>
            <w:noProof/>
            <w:sz w:val="24"/>
            <w:szCs w:val="24"/>
            <w:lang w:val="cs-CZ" w:eastAsia="cs-CZ"/>
          </w:rPr>
          <w:tab/>
        </w:r>
        <w:r w:rsidR="007C29A2" w:rsidRPr="007B0677">
          <w:rPr>
            <w:rStyle w:val="Hypertextovodkaz"/>
            <w:noProof/>
          </w:rPr>
          <w:t>Vývoj produkční plochy a hektarového výnosu řepky olejné (2011 - 2020)</w:t>
        </w:r>
        <w:r w:rsidR="007C29A2">
          <w:rPr>
            <w:noProof/>
            <w:webHidden/>
          </w:rPr>
          <w:tab/>
        </w:r>
        <w:r w:rsidR="007C29A2">
          <w:rPr>
            <w:noProof/>
            <w:webHidden/>
          </w:rPr>
          <w:fldChar w:fldCharType="begin"/>
        </w:r>
        <w:r w:rsidR="007C29A2">
          <w:rPr>
            <w:noProof/>
            <w:webHidden/>
          </w:rPr>
          <w:instrText xml:space="preserve"> PAGEREF _Toc81738797 \h </w:instrText>
        </w:r>
        <w:r w:rsidR="007C29A2">
          <w:rPr>
            <w:noProof/>
            <w:webHidden/>
          </w:rPr>
        </w:r>
        <w:r w:rsidR="007C29A2">
          <w:rPr>
            <w:noProof/>
            <w:webHidden/>
          </w:rPr>
          <w:fldChar w:fldCharType="separate"/>
        </w:r>
        <w:r w:rsidR="007C29A2">
          <w:rPr>
            <w:noProof/>
            <w:webHidden/>
          </w:rPr>
          <w:t>127</w:t>
        </w:r>
        <w:r w:rsidR="007C29A2">
          <w:rPr>
            <w:noProof/>
            <w:webHidden/>
          </w:rPr>
          <w:fldChar w:fldCharType="end"/>
        </w:r>
      </w:hyperlink>
    </w:p>
    <w:p w14:paraId="49C4EA4B" w14:textId="7E710BAD"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798" w:history="1">
        <w:r w:rsidR="007C29A2" w:rsidRPr="007B0677">
          <w:rPr>
            <w:rStyle w:val="Hypertextovodkaz"/>
            <w:noProof/>
          </w:rPr>
          <w:t>Graf 22</w:t>
        </w:r>
        <w:r w:rsidR="007C29A2">
          <w:rPr>
            <w:rFonts w:asciiTheme="minorHAnsi" w:eastAsiaTheme="minorEastAsia" w:hAnsiTheme="minorHAnsi"/>
            <w:noProof/>
            <w:sz w:val="24"/>
            <w:szCs w:val="24"/>
            <w:lang w:val="cs-CZ" w:eastAsia="cs-CZ"/>
          </w:rPr>
          <w:tab/>
        </w:r>
        <w:r w:rsidR="007C29A2" w:rsidRPr="007B0677">
          <w:rPr>
            <w:rStyle w:val="Hypertextovodkaz"/>
            <w:noProof/>
          </w:rPr>
          <w:t>Vývoj produkce, spotřeby, exportu, importu a soběstačnosti řepky olejné (2011 – 2020)</w:t>
        </w:r>
        <w:r w:rsidR="007C29A2">
          <w:rPr>
            <w:noProof/>
            <w:webHidden/>
          </w:rPr>
          <w:tab/>
        </w:r>
        <w:r w:rsidR="007C29A2">
          <w:rPr>
            <w:noProof/>
            <w:webHidden/>
          </w:rPr>
          <w:fldChar w:fldCharType="begin"/>
        </w:r>
        <w:r w:rsidR="007C29A2">
          <w:rPr>
            <w:noProof/>
            <w:webHidden/>
          </w:rPr>
          <w:instrText xml:space="preserve"> PAGEREF _Toc81738798 \h </w:instrText>
        </w:r>
        <w:r w:rsidR="007C29A2">
          <w:rPr>
            <w:noProof/>
            <w:webHidden/>
          </w:rPr>
        </w:r>
        <w:r w:rsidR="007C29A2">
          <w:rPr>
            <w:noProof/>
            <w:webHidden/>
          </w:rPr>
          <w:fldChar w:fldCharType="separate"/>
        </w:r>
        <w:r w:rsidR="007C29A2">
          <w:rPr>
            <w:noProof/>
            <w:webHidden/>
          </w:rPr>
          <w:t>127</w:t>
        </w:r>
        <w:r w:rsidR="007C29A2">
          <w:rPr>
            <w:noProof/>
            <w:webHidden/>
          </w:rPr>
          <w:fldChar w:fldCharType="end"/>
        </w:r>
      </w:hyperlink>
    </w:p>
    <w:p w14:paraId="225D218E" w14:textId="7092DD0B"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799" w:history="1">
        <w:r w:rsidR="007C29A2" w:rsidRPr="007B0677">
          <w:rPr>
            <w:rStyle w:val="Hypertextovodkaz"/>
            <w:noProof/>
          </w:rPr>
          <w:t>Graf 23</w:t>
        </w:r>
        <w:r w:rsidR="007C29A2">
          <w:rPr>
            <w:rFonts w:asciiTheme="minorHAnsi" w:eastAsiaTheme="minorEastAsia" w:hAnsiTheme="minorHAnsi"/>
            <w:noProof/>
            <w:sz w:val="24"/>
            <w:szCs w:val="24"/>
            <w:lang w:val="cs-CZ" w:eastAsia="cs-CZ"/>
          </w:rPr>
          <w:tab/>
        </w:r>
        <w:r w:rsidR="007C29A2" w:rsidRPr="007B0677">
          <w:rPr>
            <w:rStyle w:val="Hypertextovodkaz"/>
            <w:noProof/>
          </w:rPr>
          <w:t>Vývoj produkční plochy a hektarového výnosu lnu na semeno (2011 - 2020)</w:t>
        </w:r>
        <w:r w:rsidR="007C29A2">
          <w:rPr>
            <w:noProof/>
            <w:webHidden/>
          </w:rPr>
          <w:tab/>
        </w:r>
        <w:r w:rsidR="007C29A2">
          <w:rPr>
            <w:noProof/>
            <w:webHidden/>
          </w:rPr>
          <w:fldChar w:fldCharType="begin"/>
        </w:r>
        <w:r w:rsidR="007C29A2">
          <w:rPr>
            <w:noProof/>
            <w:webHidden/>
          </w:rPr>
          <w:instrText xml:space="preserve"> PAGEREF _Toc81738799 \h </w:instrText>
        </w:r>
        <w:r w:rsidR="007C29A2">
          <w:rPr>
            <w:noProof/>
            <w:webHidden/>
          </w:rPr>
        </w:r>
        <w:r w:rsidR="007C29A2">
          <w:rPr>
            <w:noProof/>
            <w:webHidden/>
          </w:rPr>
          <w:fldChar w:fldCharType="separate"/>
        </w:r>
        <w:r w:rsidR="007C29A2">
          <w:rPr>
            <w:noProof/>
            <w:webHidden/>
          </w:rPr>
          <w:t>134</w:t>
        </w:r>
        <w:r w:rsidR="007C29A2">
          <w:rPr>
            <w:noProof/>
            <w:webHidden/>
          </w:rPr>
          <w:fldChar w:fldCharType="end"/>
        </w:r>
      </w:hyperlink>
    </w:p>
    <w:p w14:paraId="69DD040C" w14:textId="20F92355"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00" w:history="1">
        <w:r w:rsidR="007C29A2" w:rsidRPr="007B0677">
          <w:rPr>
            <w:rStyle w:val="Hypertextovodkaz"/>
            <w:noProof/>
          </w:rPr>
          <w:t>Graf 24</w:t>
        </w:r>
        <w:r w:rsidR="007C29A2">
          <w:rPr>
            <w:rFonts w:asciiTheme="minorHAnsi" w:eastAsiaTheme="minorEastAsia" w:hAnsiTheme="minorHAnsi"/>
            <w:noProof/>
            <w:sz w:val="24"/>
            <w:szCs w:val="24"/>
            <w:lang w:val="cs-CZ" w:eastAsia="cs-CZ"/>
          </w:rPr>
          <w:tab/>
        </w:r>
        <w:r w:rsidR="007C29A2" w:rsidRPr="007B0677">
          <w:rPr>
            <w:rStyle w:val="Hypertextovodkaz"/>
            <w:noProof/>
          </w:rPr>
          <w:t>Vývoj produkční plochy a hektarového výnosu konopí setého (2011 - 2020)</w:t>
        </w:r>
        <w:r w:rsidR="007C29A2">
          <w:rPr>
            <w:noProof/>
            <w:webHidden/>
          </w:rPr>
          <w:tab/>
        </w:r>
        <w:r w:rsidR="007C29A2">
          <w:rPr>
            <w:noProof/>
            <w:webHidden/>
          </w:rPr>
          <w:fldChar w:fldCharType="begin"/>
        </w:r>
        <w:r w:rsidR="007C29A2">
          <w:rPr>
            <w:noProof/>
            <w:webHidden/>
          </w:rPr>
          <w:instrText xml:space="preserve"> PAGEREF _Toc81738800 \h </w:instrText>
        </w:r>
        <w:r w:rsidR="007C29A2">
          <w:rPr>
            <w:noProof/>
            <w:webHidden/>
          </w:rPr>
        </w:r>
        <w:r w:rsidR="007C29A2">
          <w:rPr>
            <w:noProof/>
            <w:webHidden/>
          </w:rPr>
          <w:fldChar w:fldCharType="separate"/>
        </w:r>
        <w:r w:rsidR="007C29A2">
          <w:rPr>
            <w:noProof/>
            <w:webHidden/>
          </w:rPr>
          <w:t>134</w:t>
        </w:r>
        <w:r w:rsidR="007C29A2">
          <w:rPr>
            <w:noProof/>
            <w:webHidden/>
          </w:rPr>
          <w:fldChar w:fldCharType="end"/>
        </w:r>
      </w:hyperlink>
    </w:p>
    <w:p w14:paraId="5EF13ACA" w14:textId="5E42D02B"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01" w:history="1">
        <w:r w:rsidR="007C29A2" w:rsidRPr="007B0677">
          <w:rPr>
            <w:rStyle w:val="Hypertextovodkaz"/>
            <w:noProof/>
          </w:rPr>
          <w:t>Graf 25</w:t>
        </w:r>
        <w:r w:rsidR="007C29A2">
          <w:rPr>
            <w:rFonts w:asciiTheme="minorHAnsi" w:eastAsiaTheme="minorEastAsia" w:hAnsiTheme="minorHAnsi"/>
            <w:noProof/>
            <w:sz w:val="24"/>
            <w:szCs w:val="24"/>
            <w:lang w:val="cs-CZ" w:eastAsia="cs-CZ"/>
          </w:rPr>
          <w:tab/>
        </w:r>
        <w:r w:rsidR="007C29A2" w:rsidRPr="007B0677">
          <w:rPr>
            <w:rStyle w:val="Hypertextovodkaz"/>
            <w:noProof/>
          </w:rPr>
          <w:t>Zahraniční obchod - lněná semena, k setí (t)</w:t>
        </w:r>
        <w:r w:rsidR="007C29A2">
          <w:rPr>
            <w:noProof/>
            <w:webHidden/>
          </w:rPr>
          <w:tab/>
        </w:r>
        <w:r w:rsidR="007C29A2">
          <w:rPr>
            <w:noProof/>
            <w:webHidden/>
          </w:rPr>
          <w:fldChar w:fldCharType="begin"/>
        </w:r>
        <w:r w:rsidR="007C29A2">
          <w:rPr>
            <w:noProof/>
            <w:webHidden/>
          </w:rPr>
          <w:instrText xml:space="preserve"> PAGEREF _Toc81738801 \h </w:instrText>
        </w:r>
        <w:r w:rsidR="007C29A2">
          <w:rPr>
            <w:noProof/>
            <w:webHidden/>
          </w:rPr>
        </w:r>
        <w:r w:rsidR="007C29A2">
          <w:rPr>
            <w:noProof/>
            <w:webHidden/>
          </w:rPr>
          <w:fldChar w:fldCharType="separate"/>
        </w:r>
        <w:r w:rsidR="007C29A2">
          <w:rPr>
            <w:noProof/>
            <w:webHidden/>
          </w:rPr>
          <w:t>139</w:t>
        </w:r>
        <w:r w:rsidR="007C29A2">
          <w:rPr>
            <w:noProof/>
            <w:webHidden/>
          </w:rPr>
          <w:fldChar w:fldCharType="end"/>
        </w:r>
      </w:hyperlink>
    </w:p>
    <w:p w14:paraId="67694FF1" w14:textId="4926EFCC"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02" w:history="1">
        <w:r w:rsidR="007C29A2" w:rsidRPr="007B0677">
          <w:rPr>
            <w:rStyle w:val="Hypertextovodkaz"/>
            <w:noProof/>
          </w:rPr>
          <w:t>Graf 26</w:t>
        </w:r>
        <w:r w:rsidR="007C29A2">
          <w:rPr>
            <w:rFonts w:asciiTheme="minorHAnsi" w:eastAsiaTheme="minorEastAsia" w:hAnsiTheme="minorHAnsi"/>
            <w:noProof/>
            <w:sz w:val="24"/>
            <w:szCs w:val="24"/>
            <w:lang w:val="cs-CZ" w:eastAsia="cs-CZ"/>
          </w:rPr>
          <w:tab/>
        </w:r>
        <w:r w:rsidR="007C29A2" w:rsidRPr="007B0677">
          <w:rPr>
            <w:rStyle w:val="Hypertextovodkaz"/>
            <w:noProof/>
          </w:rPr>
          <w:t>Zahraniční obchod - lněná semena, k setí (mil. Kč)</w:t>
        </w:r>
        <w:r w:rsidR="007C29A2">
          <w:rPr>
            <w:noProof/>
            <w:webHidden/>
          </w:rPr>
          <w:tab/>
        </w:r>
        <w:r w:rsidR="007C29A2">
          <w:rPr>
            <w:noProof/>
            <w:webHidden/>
          </w:rPr>
          <w:fldChar w:fldCharType="begin"/>
        </w:r>
        <w:r w:rsidR="007C29A2">
          <w:rPr>
            <w:noProof/>
            <w:webHidden/>
          </w:rPr>
          <w:instrText xml:space="preserve"> PAGEREF _Toc81738802 \h </w:instrText>
        </w:r>
        <w:r w:rsidR="007C29A2">
          <w:rPr>
            <w:noProof/>
            <w:webHidden/>
          </w:rPr>
        </w:r>
        <w:r w:rsidR="007C29A2">
          <w:rPr>
            <w:noProof/>
            <w:webHidden/>
          </w:rPr>
          <w:fldChar w:fldCharType="separate"/>
        </w:r>
        <w:r w:rsidR="007C29A2">
          <w:rPr>
            <w:noProof/>
            <w:webHidden/>
          </w:rPr>
          <w:t>139</w:t>
        </w:r>
        <w:r w:rsidR="007C29A2">
          <w:rPr>
            <w:noProof/>
            <w:webHidden/>
          </w:rPr>
          <w:fldChar w:fldCharType="end"/>
        </w:r>
      </w:hyperlink>
    </w:p>
    <w:p w14:paraId="4E2CB45B" w14:textId="462AF365"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03" w:history="1">
        <w:r w:rsidR="007C29A2" w:rsidRPr="007B0677">
          <w:rPr>
            <w:rStyle w:val="Hypertextovodkaz"/>
            <w:noProof/>
          </w:rPr>
          <w:t>Graf 27</w:t>
        </w:r>
        <w:r w:rsidR="007C29A2">
          <w:rPr>
            <w:rFonts w:asciiTheme="minorHAnsi" w:eastAsiaTheme="minorEastAsia" w:hAnsiTheme="minorHAnsi"/>
            <w:noProof/>
            <w:sz w:val="24"/>
            <w:szCs w:val="24"/>
            <w:lang w:val="cs-CZ" w:eastAsia="cs-CZ"/>
          </w:rPr>
          <w:tab/>
        </w:r>
        <w:r w:rsidR="007C29A2" w:rsidRPr="007B0677">
          <w:rPr>
            <w:rStyle w:val="Hypertextovodkaz"/>
            <w:noProof/>
          </w:rPr>
          <w:t>Zahraniční obchod - lněná semena (kromě semen k setí) (t)</w:t>
        </w:r>
        <w:r w:rsidR="007C29A2">
          <w:rPr>
            <w:noProof/>
            <w:webHidden/>
          </w:rPr>
          <w:tab/>
        </w:r>
        <w:r w:rsidR="007C29A2">
          <w:rPr>
            <w:noProof/>
            <w:webHidden/>
          </w:rPr>
          <w:fldChar w:fldCharType="begin"/>
        </w:r>
        <w:r w:rsidR="007C29A2">
          <w:rPr>
            <w:noProof/>
            <w:webHidden/>
          </w:rPr>
          <w:instrText xml:space="preserve"> PAGEREF _Toc81738803 \h </w:instrText>
        </w:r>
        <w:r w:rsidR="007C29A2">
          <w:rPr>
            <w:noProof/>
            <w:webHidden/>
          </w:rPr>
        </w:r>
        <w:r w:rsidR="007C29A2">
          <w:rPr>
            <w:noProof/>
            <w:webHidden/>
          </w:rPr>
          <w:fldChar w:fldCharType="separate"/>
        </w:r>
        <w:r w:rsidR="007C29A2">
          <w:rPr>
            <w:noProof/>
            <w:webHidden/>
          </w:rPr>
          <w:t>141</w:t>
        </w:r>
        <w:r w:rsidR="007C29A2">
          <w:rPr>
            <w:noProof/>
            <w:webHidden/>
          </w:rPr>
          <w:fldChar w:fldCharType="end"/>
        </w:r>
      </w:hyperlink>
    </w:p>
    <w:p w14:paraId="240FDECD" w14:textId="7A584608"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04" w:history="1">
        <w:r w:rsidR="007C29A2" w:rsidRPr="007B0677">
          <w:rPr>
            <w:rStyle w:val="Hypertextovodkaz"/>
            <w:noProof/>
          </w:rPr>
          <w:t>Graf 28</w:t>
        </w:r>
        <w:r w:rsidR="007C29A2">
          <w:rPr>
            <w:rFonts w:asciiTheme="minorHAnsi" w:eastAsiaTheme="minorEastAsia" w:hAnsiTheme="minorHAnsi"/>
            <w:noProof/>
            <w:sz w:val="24"/>
            <w:szCs w:val="24"/>
            <w:lang w:val="cs-CZ" w:eastAsia="cs-CZ"/>
          </w:rPr>
          <w:tab/>
        </w:r>
        <w:r w:rsidR="007C29A2" w:rsidRPr="007B0677">
          <w:rPr>
            <w:rStyle w:val="Hypertextovodkaz"/>
            <w:noProof/>
          </w:rPr>
          <w:t>Zahraniční obchod - lněná semena (kromě semen k setí) (mil. Kč)</w:t>
        </w:r>
        <w:r w:rsidR="007C29A2">
          <w:rPr>
            <w:noProof/>
            <w:webHidden/>
          </w:rPr>
          <w:tab/>
        </w:r>
        <w:r w:rsidR="007C29A2">
          <w:rPr>
            <w:noProof/>
            <w:webHidden/>
          </w:rPr>
          <w:fldChar w:fldCharType="begin"/>
        </w:r>
        <w:r w:rsidR="007C29A2">
          <w:rPr>
            <w:noProof/>
            <w:webHidden/>
          </w:rPr>
          <w:instrText xml:space="preserve"> PAGEREF _Toc81738804 \h </w:instrText>
        </w:r>
        <w:r w:rsidR="007C29A2">
          <w:rPr>
            <w:noProof/>
            <w:webHidden/>
          </w:rPr>
        </w:r>
        <w:r w:rsidR="007C29A2">
          <w:rPr>
            <w:noProof/>
            <w:webHidden/>
          </w:rPr>
          <w:fldChar w:fldCharType="separate"/>
        </w:r>
        <w:r w:rsidR="007C29A2">
          <w:rPr>
            <w:noProof/>
            <w:webHidden/>
          </w:rPr>
          <w:t>141</w:t>
        </w:r>
        <w:r w:rsidR="007C29A2">
          <w:rPr>
            <w:noProof/>
            <w:webHidden/>
          </w:rPr>
          <w:fldChar w:fldCharType="end"/>
        </w:r>
      </w:hyperlink>
    </w:p>
    <w:p w14:paraId="0FE32CDA" w14:textId="7A809E70"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05" w:history="1">
        <w:r w:rsidR="007C29A2" w:rsidRPr="007B0677">
          <w:rPr>
            <w:rStyle w:val="Hypertextovodkaz"/>
            <w:noProof/>
          </w:rPr>
          <w:t>Graf 29</w:t>
        </w:r>
        <w:r w:rsidR="007C29A2">
          <w:rPr>
            <w:rFonts w:asciiTheme="minorHAnsi" w:eastAsiaTheme="minorEastAsia" w:hAnsiTheme="minorHAnsi"/>
            <w:noProof/>
            <w:sz w:val="24"/>
            <w:szCs w:val="24"/>
            <w:lang w:val="cs-CZ" w:eastAsia="cs-CZ"/>
          </w:rPr>
          <w:tab/>
        </w:r>
        <w:r w:rsidR="007C29A2" w:rsidRPr="007B0677">
          <w:rPr>
            <w:rStyle w:val="Hypertextovodkaz"/>
            <w:noProof/>
          </w:rPr>
          <w:t>Zahraniční obchod – len ostatní (t)</w:t>
        </w:r>
        <w:r w:rsidR="007C29A2">
          <w:rPr>
            <w:noProof/>
            <w:webHidden/>
          </w:rPr>
          <w:tab/>
        </w:r>
        <w:r w:rsidR="007C29A2">
          <w:rPr>
            <w:noProof/>
            <w:webHidden/>
          </w:rPr>
          <w:fldChar w:fldCharType="begin"/>
        </w:r>
        <w:r w:rsidR="007C29A2">
          <w:rPr>
            <w:noProof/>
            <w:webHidden/>
          </w:rPr>
          <w:instrText xml:space="preserve"> PAGEREF _Toc81738805 \h </w:instrText>
        </w:r>
        <w:r w:rsidR="007C29A2">
          <w:rPr>
            <w:noProof/>
            <w:webHidden/>
          </w:rPr>
        </w:r>
        <w:r w:rsidR="007C29A2">
          <w:rPr>
            <w:noProof/>
            <w:webHidden/>
          </w:rPr>
          <w:fldChar w:fldCharType="separate"/>
        </w:r>
        <w:r w:rsidR="007C29A2">
          <w:rPr>
            <w:noProof/>
            <w:webHidden/>
          </w:rPr>
          <w:t>143</w:t>
        </w:r>
        <w:r w:rsidR="007C29A2">
          <w:rPr>
            <w:noProof/>
            <w:webHidden/>
          </w:rPr>
          <w:fldChar w:fldCharType="end"/>
        </w:r>
      </w:hyperlink>
    </w:p>
    <w:p w14:paraId="193C5A86" w14:textId="7587FE4C"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06" w:history="1">
        <w:r w:rsidR="007C29A2" w:rsidRPr="007B0677">
          <w:rPr>
            <w:rStyle w:val="Hypertextovodkaz"/>
            <w:noProof/>
          </w:rPr>
          <w:t>Graf 30</w:t>
        </w:r>
        <w:r w:rsidR="007C29A2">
          <w:rPr>
            <w:rFonts w:asciiTheme="minorHAnsi" w:eastAsiaTheme="minorEastAsia" w:hAnsiTheme="minorHAnsi"/>
            <w:noProof/>
            <w:sz w:val="24"/>
            <w:szCs w:val="24"/>
            <w:lang w:val="cs-CZ" w:eastAsia="cs-CZ"/>
          </w:rPr>
          <w:tab/>
        </w:r>
        <w:r w:rsidR="007C29A2" w:rsidRPr="007B0677">
          <w:rPr>
            <w:rStyle w:val="Hypertextovodkaz"/>
            <w:noProof/>
          </w:rPr>
          <w:t>Zahraniční obchod – len ostatní (mil. Kč)</w:t>
        </w:r>
        <w:r w:rsidR="007C29A2">
          <w:rPr>
            <w:noProof/>
            <w:webHidden/>
          </w:rPr>
          <w:tab/>
        </w:r>
        <w:r w:rsidR="007C29A2">
          <w:rPr>
            <w:noProof/>
            <w:webHidden/>
          </w:rPr>
          <w:fldChar w:fldCharType="begin"/>
        </w:r>
        <w:r w:rsidR="007C29A2">
          <w:rPr>
            <w:noProof/>
            <w:webHidden/>
          </w:rPr>
          <w:instrText xml:space="preserve"> PAGEREF _Toc81738806 \h </w:instrText>
        </w:r>
        <w:r w:rsidR="007C29A2">
          <w:rPr>
            <w:noProof/>
            <w:webHidden/>
          </w:rPr>
        </w:r>
        <w:r w:rsidR="007C29A2">
          <w:rPr>
            <w:noProof/>
            <w:webHidden/>
          </w:rPr>
          <w:fldChar w:fldCharType="separate"/>
        </w:r>
        <w:r w:rsidR="007C29A2">
          <w:rPr>
            <w:noProof/>
            <w:webHidden/>
          </w:rPr>
          <w:t>143</w:t>
        </w:r>
        <w:r w:rsidR="007C29A2">
          <w:rPr>
            <w:noProof/>
            <w:webHidden/>
          </w:rPr>
          <w:fldChar w:fldCharType="end"/>
        </w:r>
      </w:hyperlink>
    </w:p>
    <w:p w14:paraId="3B698A6A" w14:textId="6F90437E"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07" w:history="1">
        <w:r w:rsidR="007C29A2" w:rsidRPr="007B0677">
          <w:rPr>
            <w:rStyle w:val="Hypertextovodkaz"/>
            <w:noProof/>
          </w:rPr>
          <w:t>Graf 31</w:t>
        </w:r>
        <w:r w:rsidR="007C29A2">
          <w:rPr>
            <w:rFonts w:asciiTheme="minorHAnsi" w:eastAsiaTheme="minorEastAsia" w:hAnsiTheme="minorHAnsi"/>
            <w:noProof/>
            <w:sz w:val="24"/>
            <w:szCs w:val="24"/>
            <w:lang w:val="cs-CZ" w:eastAsia="cs-CZ"/>
          </w:rPr>
          <w:tab/>
        </w:r>
        <w:r w:rsidR="007C29A2" w:rsidRPr="007B0677">
          <w:rPr>
            <w:rStyle w:val="Hypertextovodkaz"/>
            <w:noProof/>
          </w:rPr>
          <w:t>Zahraniční obchod – Konopí (t)</w:t>
        </w:r>
        <w:r w:rsidR="007C29A2">
          <w:rPr>
            <w:noProof/>
            <w:webHidden/>
          </w:rPr>
          <w:tab/>
        </w:r>
        <w:r w:rsidR="007C29A2">
          <w:rPr>
            <w:noProof/>
            <w:webHidden/>
          </w:rPr>
          <w:fldChar w:fldCharType="begin"/>
        </w:r>
        <w:r w:rsidR="007C29A2">
          <w:rPr>
            <w:noProof/>
            <w:webHidden/>
          </w:rPr>
          <w:instrText xml:space="preserve"> PAGEREF _Toc81738807 \h </w:instrText>
        </w:r>
        <w:r w:rsidR="007C29A2">
          <w:rPr>
            <w:noProof/>
            <w:webHidden/>
          </w:rPr>
        </w:r>
        <w:r w:rsidR="007C29A2">
          <w:rPr>
            <w:noProof/>
            <w:webHidden/>
          </w:rPr>
          <w:fldChar w:fldCharType="separate"/>
        </w:r>
        <w:r w:rsidR="007C29A2">
          <w:rPr>
            <w:noProof/>
            <w:webHidden/>
          </w:rPr>
          <w:t>145</w:t>
        </w:r>
        <w:r w:rsidR="007C29A2">
          <w:rPr>
            <w:noProof/>
            <w:webHidden/>
          </w:rPr>
          <w:fldChar w:fldCharType="end"/>
        </w:r>
      </w:hyperlink>
    </w:p>
    <w:p w14:paraId="5AEFE623" w14:textId="50E047A7"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08" w:history="1">
        <w:r w:rsidR="007C29A2" w:rsidRPr="007B0677">
          <w:rPr>
            <w:rStyle w:val="Hypertextovodkaz"/>
            <w:noProof/>
          </w:rPr>
          <w:t>Graf 32</w:t>
        </w:r>
        <w:r w:rsidR="007C29A2">
          <w:rPr>
            <w:rFonts w:asciiTheme="minorHAnsi" w:eastAsiaTheme="minorEastAsia" w:hAnsiTheme="minorHAnsi"/>
            <w:noProof/>
            <w:sz w:val="24"/>
            <w:szCs w:val="24"/>
            <w:lang w:val="cs-CZ" w:eastAsia="cs-CZ"/>
          </w:rPr>
          <w:tab/>
        </w:r>
        <w:r w:rsidR="007C29A2" w:rsidRPr="007B0677">
          <w:rPr>
            <w:rStyle w:val="Hypertextovodkaz"/>
            <w:noProof/>
          </w:rPr>
          <w:t>Zahraniční obchod – Konopí (mil. Kč)</w:t>
        </w:r>
        <w:r w:rsidR="007C29A2">
          <w:rPr>
            <w:noProof/>
            <w:webHidden/>
          </w:rPr>
          <w:tab/>
        </w:r>
        <w:r w:rsidR="007C29A2">
          <w:rPr>
            <w:noProof/>
            <w:webHidden/>
          </w:rPr>
          <w:fldChar w:fldCharType="begin"/>
        </w:r>
        <w:r w:rsidR="007C29A2">
          <w:rPr>
            <w:noProof/>
            <w:webHidden/>
          </w:rPr>
          <w:instrText xml:space="preserve"> PAGEREF _Toc81738808 \h </w:instrText>
        </w:r>
        <w:r w:rsidR="007C29A2">
          <w:rPr>
            <w:noProof/>
            <w:webHidden/>
          </w:rPr>
        </w:r>
        <w:r w:rsidR="007C29A2">
          <w:rPr>
            <w:noProof/>
            <w:webHidden/>
          </w:rPr>
          <w:fldChar w:fldCharType="separate"/>
        </w:r>
        <w:r w:rsidR="007C29A2">
          <w:rPr>
            <w:noProof/>
            <w:webHidden/>
          </w:rPr>
          <w:t>145</w:t>
        </w:r>
        <w:r w:rsidR="007C29A2">
          <w:rPr>
            <w:noProof/>
            <w:webHidden/>
          </w:rPr>
          <w:fldChar w:fldCharType="end"/>
        </w:r>
      </w:hyperlink>
    </w:p>
    <w:p w14:paraId="405CC08E" w14:textId="5AEB6541"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09" w:history="1">
        <w:r w:rsidR="007C29A2" w:rsidRPr="007B0677">
          <w:rPr>
            <w:rStyle w:val="Hypertextovodkaz"/>
            <w:noProof/>
          </w:rPr>
          <w:t>Graf 33</w:t>
        </w:r>
        <w:r w:rsidR="007C29A2">
          <w:rPr>
            <w:rFonts w:asciiTheme="minorHAnsi" w:eastAsiaTheme="minorEastAsia" w:hAnsiTheme="minorHAnsi"/>
            <w:noProof/>
            <w:sz w:val="24"/>
            <w:szCs w:val="24"/>
            <w:lang w:val="cs-CZ" w:eastAsia="cs-CZ"/>
          </w:rPr>
          <w:tab/>
        </w:r>
        <w:r w:rsidR="007C29A2" w:rsidRPr="007B0677">
          <w:rPr>
            <w:rStyle w:val="Hypertextovodkaz"/>
            <w:noProof/>
          </w:rPr>
          <w:t>Zahraniční obchod - Konopná semena, též drcená, kromě semen k setí (t)</w:t>
        </w:r>
        <w:r w:rsidR="007C29A2">
          <w:rPr>
            <w:noProof/>
            <w:webHidden/>
          </w:rPr>
          <w:tab/>
        </w:r>
        <w:r w:rsidR="007C29A2">
          <w:rPr>
            <w:noProof/>
            <w:webHidden/>
          </w:rPr>
          <w:fldChar w:fldCharType="begin"/>
        </w:r>
        <w:r w:rsidR="007C29A2">
          <w:rPr>
            <w:noProof/>
            <w:webHidden/>
          </w:rPr>
          <w:instrText xml:space="preserve"> PAGEREF _Toc81738809 \h </w:instrText>
        </w:r>
        <w:r w:rsidR="007C29A2">
          <w:rPr>
            <w:noProof/>
            <w:webHidden/>
          </w:rPr>
        </w:r>
        <w:r w:rsidR="007C29A2">
          <w:rPr>
            <w:noProof/>
            <w:webHidden/>
          </w:rPr>
          <w:fldChar w:fldCharType="separate"/>
        </w:r>
        <w:r w:rsidR="007C29A2">
          <w:rPr>
            <w:noProof/>
            <w:webHidden/>
          </w:rPr>
          <w:t>147</w:t>
        </w:r>
        <w:r w:rsidR="007C29A2">
          <w:rPr>
            <w:noProof/>
            <w:webHidden/>
          </w:rPr>
          <w:fldChar w:fldCharType="end"/>
        </w:r>
      </w:hyperlink>
    </w:p>
    <w:p w14:paraId="4153DA62" w14:textId="166FC82A"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10" w:history="1">
        <w:r w:rsidR="007C29A2" w:rsidRPr="007B0677">
          <w:rPr>
            <w:rStyle w:val="Hypertextovodkaz"/>
            <w:noProof/>
          </w:rPr>
          <w:t>Graf 34</w:t>
        </w:r>
        <w:r w:rsidR="007C29A2">
          <w:rPr>
            <w:rFonts w:asciiTheme="minorHAnsi" w:eastAsiaTheme="minorEastAsia" w:hAnsiTheme="minorHAnsi"/>
            <w:noProof/>
            <w:sz w:val="24"/>
            <w:szCs w:val="24"/>
            <w:lang w:val="cs-CZ" w:eastAsia="cs-CZ"/>
          </w:rPr>
          <w:tab/>
        </w:r>
        <w:r w:rsidR="007C29A2" w:rsidRPr="007B0677">
          <w:rPr>
            <w:rStyle w:val="Hypertextovodkaz"/>
            <w:noProof/>
          </w:rPr>
          <w:t xml:space="preserve">Zahraniční obchod - Konopná semena, též drcená, kromě </w:t>
        </w:r>
        <w:r w:rsidR="007C29A2" w:rsidRPr="007B0677">
          <w:rPr>
            <w:rStyle w:val="Hypertextovodkaz"/>
            <w:rFonts w:cs="Times New Roman"/>
            <w:i/>
            <w:noProof/>
          </w:rPr>
          <w:t>semen k setí (mil. Kč)</w:t>
        </w:r>
        <w:r w:rsidR="007C29A2">
          <w:rPr>
            <w:noProof/>
            <w:webHidden/>
          </w:rPr>
          <w:tab/>
        </w:r>
        <w:r w:rsidR="007C29A2">
          <w:rPr>
            <w:noProof/>
            <w:webHidden/>
          </w:rPr>
          <w:fldChar w:fldCharType="begin"/>
        </w:r>
        <w:r w:rsidR="007C29A2">
          <w:rPr>
            <w:noProof/>
            <w:webHidden/>
          </w:rPr>
          <w:instrText xml:space="preserve"> PAGEREF _Toc81738810 \h </w:instrText>
        </w:r>
        <w:r w:rsidR="007C29A2">
          <w:rPr>
            <w:noProof/>
            <w:webHidden/>
          </w:rPr>
        </w:r>
        <w:r w:rsidR="007C29A2">
          <w:rPr>
            <w:noProof/>
            <w:webHidden/>
          </w:rPr>
          <w:fldChar w:fldCharType="separate"/>
        </w:r>
        <w:r w:rsidR="007C29A2">
          <w:rPr>
            <w:noProof/>
            <w:webHidden/>
          </w:rPr>
          <w:t>147</w:t>
        </w:r>
        <w:r w:rsidR="007C29A2">
          <w:rPr>
            <w:noProof/>
            <w:webHidden/>
          </w:rPr>
          <w:fldChar w:fldCharType="end"/>
        </w:r>
      </w:hyperlink>
    </w:p>
    <w:p w14:paraId="48EDB06D" w14:textId="0CD28869"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11" w:history="1">
        <w:r w:rsidR="007C29A2" w:rsidRPr="007B0677">
          <w:rPr>
            <w:rStyle w:val="Hypertextovodkaz"/>
            <w:noProof/>
          </w:rPr>
          <w:t>Graf 35</w:t>
        </w:r>
        <w:r w:rsidR="007C29A2">
          <w:rPr>
            <w:rFonts w:asciiTheme="minorHAnsi" w:eastAsiaTheme="minorEastAsia" w:hAnsiTheme="minorHAnsi"/>
            <w:noProof/>
            <w:sz w:val="24"/>
            <w:szCs w:val="24"/>
            <w:lang w:val="cs-CZ" w:eastAsia="cs-CZ"/>
          </w:rPr>
          <w:tab/>
        </w:r>
        <w:r w:rsidR="007C29A2" w:rsidRPr="007B0677">
          <w:rPr>
            <w:rStyle w:val="Hypertextovodkaz"/>
            <w:noProof/>
          </w:rPr>
          <w:t>Vývoj struktury provozních podpor u komodity len</w:t>
        </w:r>
        <w:r w:rsidR="007C29A2">
          <w:rPr>
            <w:noProof/>
            <w:webHidden/>
          </w:rPr>
          <w:tab/>
        </w:r>
        <w:r w:rsidR="007C29A2">
          <w:rPr>
            <w:noProof/>
            <w:webHidden/>
          </w:rPr>
          <w:fldChar w:fldCharType="begin"/>
        </w:r>
        <w:r w:rsidR="007C29A2">
          <w:rPr>
            <w:noProof/>
            <w:webHidden/>
          </w:rPr>
          <w:instrText xml:space="preserve"> PAGEREF _Toc81738811 \h </w:instrText>
        </w:r>
        <w:r w:rsidR="007C29A2">
          <w:rPr>
            <w:noProof/>
            <w:webHidden/>
          </w:rPr>
        </w:r>
        <w:r w:rsidR="007C29A2">
          <w:rPr>
            <w:noProof/>
            <w:webHidden/>
          </w:rPr>
          <w:fldChar w:fldCharType="separate"/>
        </w:r>
        <w:r w:rsidR="007C29A2">
          <w:rPr>
            <w:noProof/>
            <w:webHidden/>
          </w:rPr>
          <w:t>149</w:t>
        </w:r>
        <w:r w:rsidR="007C29A2">
          <w:rPr>
            <w:noProof/>
            <w:webHidden/>
          </w:rPr>
          <w:fldChar w:fldCharType="end"/>
        </w:r>
      </w:hyperlink>
    </w:p>
    <w:p w14:paraId="619622BB" w14:textId="70A3BAEF"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12" w:history="1">
        <w:r w:rsidR="007C29A2" w:rsidRPr="007B0677">
          <w:rPr>
            <w:rStyle w:val="Hypertextovodkaz"/>
            <w:noProof/>
          </w:rPr>
          <w:t>Graf 36</w:t>
        </w:r>
        <w:r w:rsidR="007C29A2">
          <w:rPr>
            <w:rFonts w:asciiTheme="minorHAnsi" w:eastAsiaTheme="minorEastAsia" w:hAnsiTheme="minorHAnsi"/>
            <w:noProof/>
            <w:sz w:val="24"/>
            <w:szCs w:val="24"/>
            <w:lang w:val="cs-CZ" w:eastAsia="cs-CZ"/>
          </w:rPr>
          <w:tab/>
        </w:r>
        <w:r w:rsidR="007C29A2" w:rsidRPr="007B0677">
          <w:rPr>
            <w:rStyle w:val="Hypertextovodkaz"/>
            <w:noProof/>
          </w:rPr>
          <w:t>Vývoj struktury provozních podpor u komodity konopí</w:t>
        </w:r>
        <w:r w:rsidR="007C29A2">
          <w:rPr>
            <w:noProof/>
            <w:webHidden/>
          </w:rPr>
          <w:tab/>
        </w:r>
        <w:r w:rsidR="007C29A2">
          <w:rPr>
            <w:noProof/>
            <w:webHidden/>
          </w:rPr>
          <w:fldChar w:fldCharType="begin"/>
        </w:r>
        <w:r w:rsidR="007C29A2">
          <w:rPr>
            <w:noProof/>
            <w:webHidden/>
          </w:rPr>
          <w:instrText xml:space="preserve"> PAGEREF _Toc81738812 \h </w:instrText>
        </w:r>
        <w:r w:rsidR="007C29A2">
          <w:rPr>
            <w:noProof/>
            <w:webHidden/>
          </w:rPr>
        </w:r>
        <w:r w:rsidR="007C29A2">
          <w:rPr>
            <w:noProof/>
            <w:webHidden/>
          </w:rPr>
          <w:fldChar w:fldCharType="separate"/>
        </w:r>
        <w:r w:rsidR="007C29A2">
          <w:rPr>
            <w:noProof/>
            <w:webHidden/>
          </w:rPr>
          <w:t>150</w:t>
        </w:r>
        <w:r w:rsidR="007C29A2">
          <w:rPr>
            <w:noProof/>
            <w:webHidden/>
          </w:rPr>
          <w:fldChar w:fldCharType="end"/>
        </w:r>
      </w:hyperlink>
    </w:p>
    <w:p w14:paraId="57BF57AB" w14:textId="73F64832"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13" w:history="1">
        <w:r w:rsidR="007C29A2" w:rsidRPr="007B0677">
          <w:rPr>
            <w:rStyle w:val="Hypertextovodkaz"/>
            <w:rFonts w:eastAsia="Calibri"/>
            <w:noProof/>
          </w:rPr>
          <w:t>Graf 37</w:t>
        </w:r>
        <w:r w:rsidR="007C29A2">
          <w:rPr>
            <w:rFonts w:asciiTheme="minorHAnsi" w:eastAsiaTheme="minorEastAsia" w:hAnsiTheme="minorHAnsi"/>
            <w:noProof/>
            <w:sz w:val="24"/>
            <w:szCs w:val="24"/>
            <w:lang w:val="cs-CZ" w:eastAsia="cs-CZ"/>
          </w:rPr>
          <w:tab/>
        </w:r>
        <w:r w:rsidR="007C29A2" w:rsidRPr="007B0677">
          <w:rPr>
            <w:rStyle w:val="Hypertextovodkaz"/>
            <w:rFonts w:eastAsia="Calibri"/>
            <w:noProof/>
          </w:rPr>
          <w:t>Plocha trav na semeno – vybrané druhy</w:t>
        </w:r>
        <w:r w:rsidR="007C29A2">
          <w:rPr>
            <w:noProof/>
            <w:webHidden/>
          </w:rPr>
          <w:tab/>
        </w:r>
        <w:r w:rsidR="007C29A2">
          <w:rPr>
            <w:noProof/>
            <w:webHidden/>
          </w:rPr>
          <w:fldChar w:fldCharType="begin"/>
        </w:r>
        <w:r w:rsidR="007C29A2">
          <w:rPr>
            <w:noProof/>
            <w:webHidden/>
          </w:rPr>
          <w:instrText xml:space="preserve"> PAGEREF _Toc81738813 \h </w:instrText>
        </w:r>
        <w:r w:rsidR="007C29A2">
          <w:rPr>
            <w:noProof/>
            <w:webHidden/>
          </w:rPr>
        </w:r>
        <w:r w:rsidR="007C29A2">
          <w:rPr>
            <w:noProof/>
            <w:webHidden/>
          </w:rPr>
          <w:fldChar w:fldCharType="separate"/>
        </w:r>
        <w:r w:rsidR="007C29A2">
          <w:rPr>
            <w:noProof/>
            <w:webHidden/>
          </w:rPr>
          <w:t>157</w:t>
        </w:r>
        <w:r w:rsidR="007C29A2">
          <w:rPr>
            <w:noProof/>
            <w:webHidden/>
          </w:rPr>
          <w:fldChar w:fldCharType="end"/>
        </w:r>
      </w:hyperlink>
    </w:p>
    <w:p w14:paraId="62931F00" w14:textId="7FB7DA6B"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14" w:history="1">
        <w:r w:rsidR="007C29A2" w:rsidRPr="007B0677">
          <w:rPr>
            <w:rStyle w:val="Hypertextovodkaz"/>
            <w:noProof/>
          </w:rPr>
          <w:t>Graf 38</w:t>
        </w:r>
        <w:r w:rsidR="007C29A2">
          <w:rPr>
            <w:rFonts w:asciiTheme="minorHAnsi" w:eastAsiaTheme="minorEastAsia" w:hAnsiTheme="minorHAnsi"/>
            <w:noProof/>
            <w:sz w:val="24"/>
            <w:szCs w:val="24"/>
            <w:lang w:val="cs-CZ" w:eastAsia="cs-CZ"/>
          </w:rPr>
          <w:tab/>
        </w:r>
        <w:r w:rsidR="007C29A2" w:rsidRPr="007B0677">
          <w:rPr>
            <w:rStyle w:val="Hypertextovodkaz"/>
            <w:noProof/>
          </w:rPr>
          <w:t>Plocha jetelovin (vybrané druhy</w:t>
        </w:r>
        <w:r w:rsidR="007C29A2" w:rsidRPr="007B0677">
          <w:rPr>
            <w:rStyle w:val="Hypertextovodkaz"/>
            <w:bCs/>
            <w:noProof/>
          </w:rPr>
          <w:t>)</w:t>
        </w:r>
        <w:r w:rsidR="007C29A2">
          <w:rPr>
            <w:noProof/>
            <w:webHidden/>
          </w:rPr>
          <w:tab/>
        </w:r>
        <w:r w:rsidR="007C29A2">
          <w:rPr>
            <w:noProof/>
            <w:webHidden/>
          </w:rPr>
          <w:fldChar w:fldCharType="begin"/>
        </w:r>
        <w:r w:rsidR="007C29A2">
          <w:rPr>
            <w:noProof/>
            <w:webHidden/>
          </w:rPr>
          <w:instrText xml:space="preserve"> PAGEREF _Toc81738814 \h </w:instrText>
        </w:r>
        <w:r w:rsidR="007C29A2">
          <w:rPr>
            <w:noProof/>
            <w:webHidden/>
          </w:rPr>
        </w:r>
        <w:r w:rsidR="007C29A2">
          <w:rPr>
            <w:noProof/>
            <w:webHidden/>
          </w:rPr>
          <w:fldChar w:fldCharType="separate"/>
        </w:r>
        <w:r w:rsidR="007C29A2">
          <w:rPr>
            <w:noProof/>
            <w:webHidden/>
          </w:rPr>
          <w:t>158</w:t>
        </w:r>
        <w:r w:rsidR="007C29A2">
          <w:rPr>
            <w:noProof/>
            <w:webHidden/>
          </w:rPr>
          <w:fldChar w:fldCharType="end"/>
        </w:r>
      </w:hyperlink>
    </w:p>
    <w:p w14:paraId="411921B6" w14:textId="344C679A"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15" w:history="1">
        <w:r w:rsidR="007C29A2" w:rsidRPr="007B0677">
          <w:rPr>
            <w:rStyle w:val="Hypertextovodkaz"/>
            <w:noProof/>
          </w:rPr>
          <w:t>Graf 39</w:t>
        </w:r>
        <w:r w:rsidR="007C29A2">
          <w:rPr>
            <w:rFonts w:asciiTheme="minorHAnsi" w:eastAsiaTheme="minorEastAsia" w:hAnsiTheme="minorHAnsi"/>
            <w:noProof/>
            <w:sz w:val="24"/>
            <w:szCs w:val="24"/>
            <w:lang w:val="cs-CZ" w:eastAsia="cs-CZ"/>
          </w:rPr>
          <w:tab/>
        </w:r>
        <w:r w:rsidR="007C29A2" w:rsidRPr="007B0677">
          <w:rPr>
            <w:rStyle w:val="Hypertextovodkaz"/>
            <w:noProof/>
          </w:rPr>
          <w:t>Průměrné výnosy trav a jetelovin</w:t>
        </w:r>
        <w:r w:rsidR="007C29A2">
          <w:rPr>
            <w:noProof/>
            <w:webHidden/>
          </w:rPr>
          <w:tab/>
        </w:r>
        <w:r w:rsidR="007C29A2">
          <w:rPr>
            <w:noProof/>
            <w:webHidden/>
          </w:rPr>
          <w:fldChar w:fldCharType="begin"/>
        </w:r>
        <w:r w:rsidR="007C29A2">
          <w:rPr>
            <w:noProof/>
            <w:webHidden/>
          </w:rPr>
          <w:instrText xml:space="preserve"> PAGEREF _Toc81738815 \h </w:instrText>
        </w:r>
        <w:r w:rsidR="007C29A2">
          <w:rPr>
            <w:noProof/>
            <w:webHidden/>
          </w:rPr>
        </w:r>
        <w:r w:rsidR="007C29A2">
          <w:rPr>
            <w:noProof/>
            <w:webHidden/>
          </w:rPr>
          <w:fldChar w:fldCharType="separate"/>
        </w:r>
        <w:r w:rsidR="007C29A2">
          <w:rPr>
            <w:noProof/>
            <w:webHidden/>
          </w:rPr>
          <w:t>159</w:t>
        </w:r>
        <w:r w:rsidR="007C29A2">
          <w:rPr>
            <w:noProof/>
            <w:webHidden/>
          </w:rPr>
          <w:fldChar w:fldCharType="end"/>
        </w:r>
      </w:hyperlink>
    </w:p>
    <w:p w14:paraId="7C2F0D5E" w14:textId="06B3B13D"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16" w:history="1">
        <w:r w:rsidR="007C29A2" w:rsidRPr="007B0677">
          <w:rPr>
            <w:rStyle w:val="Hypertextovodkaz"/>
            <w:noProof/>
          </w:rPr>
          <w:t>Graf 40</w:t>
        </w:r>
        <w:r w:rsidR="007C29A2">
          <w:rPr>
            <w:rFonts w:asciiTheme="minorHAnsi" w:eastAsiaTheme="minorEastAsia" w:hAnsiTheme="minorHAnsi"/>
            <w:noProof/>
            <w:sz w:val="24"/>
            <w:szCs w:val="24"/>
            <w:lang w:val="cs-CZ" w:eastAsia="cs-CZ"/>
          </w:rPr>
          <w:tab/>
        </w:r>
        <w:r w:rsidR="007C29A2" w:rsidRPr="007B0677">
          <w:rPr>
            <w:rStyle w:val="Hypertextovodkaz"/>
            <w:noProof/>
          </w:rPr>
          <w:t>Vývoj Cash flow u standardní technologie pěstování kostřavy luční na semeno (narůstajícím způsobem)</w:t>
        </w:r>
        <w:r w:rsidR="007C29A2">
          <w:rPr>
            <w:noProof/>
            <w:webHidden/>
          </w:rPr>
          <w:tab/>
        </w:r>
        <w:r w:rsidR="007C29A2">
          <w:rPr>
            <w:noProof/>
            <w:webHidden/>
          </w:rPr>
          <w:fldChar w:fldCharType="begin"/>
        </w:r>
        <w:r w:rsidR="007C29A2">
          <w:rPr>
            <w:noProof/>
            <w:webHidden/>
          </w:rPr>
          <w:instrText xml:space="preserve"> PAGEREF _Toc81738816 \h </w:instrText>
        </w:r>
        <w:r w:rsidR="007C29A2">
          <w:rPr>
            <w:noProof/>
            <w:webHidden/>
          </w:rPr>
        </w:r>
        <w:r w:rsidR="007C29A2">
          <w:rPr>
            <w:noProof/>
            <w:webHidden/>
          </w:rPr>
          <w:fldChar w:fldCharType="separate"/>
        </w:r>
        <w:r w:rsidR="007C29A2">
          <w:rPr>
            <w:noProof/>
            <w:webHidden/>
          </w:rPr>
          <w:t>161</w:t>
        </w:r>
        <w:r w:rsidR="007C29A2">
          <w:rPr>
            <w:noProof/>
            <w:webHidden/>
          </w:rPr>
          <w:fldChar w:fldCharType="end"/>
        </w:r>
      </w:hyperlink>
    </w:p>
    <w:p w14:paraId="3420CF94" w14:textId="4CEA6712"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17" w:history="1">
        <w:r w:rsidR="007C29A2" w:rsidRPr="007B0677">
          <w:rPr>
            <w:rStyle w:val="Hypertextovodkaz"/>
            <w:noProof/>
          </w:rPr>
          <w:t>Graf 41</w:t>
        </w:r>
        <w:r w:rsidR="007C29A2">
          <w:rPr>
            <w:rFonts w:asciiTheme="minorHAnsi" w:eastAsiaTheme="minorEastAsia" w:hAnsiTheme="minorHAnsi"/>
            <w:noProof/>
            <w:sz w:val="24"/>
            <w:szCs w:val="24"/>
            <w:lang w:val="cs-CZ" w:eastAsia="cs-CZ"/>
          </w:rPr>
          <w:tab/>
        </w:r>
        <w:r w:rsidR="007C29A2" w:rsidRPr="007B0677">
          <w:rPr>
            <w:rStyle w:val="Hypertextovodkaz"/>
            <w:noProof/>
          </w:rPr>
          <w:t>Zahraniční obchod - Trávy na semeno (t)</w:t>
        </w:r>
        <w:r w:rsidR="007C29A2">
          <w:rPr>
            <w:noProof/>
            <w:webHidden/>
          </w:rPr>
          <w:tab/>
        </w:r>
        <w:r w:rsidR="007C29A2">
          <w:rPr>
            <w:noProof/>
            <w:webHidden/>
          </w:rPr>
          <w:fldChar w:fldCharType="begin"/>
        </w:r>
        <w:r w:rsidR="007C29A2">
          <w:rPr>
            <w:noProof/>
            <w:webHidden/>
          </w:rPr>
          <w:instrText xml:space="preserve"> PAGEREF _Toc81738817 \h </w:instrText>
        </w:r>
        <w:r w:rsidR="007C29A2">
          <w:rPr>
            <w:noProof/>
            <w:webHidden/>
          </w:rPr>
        </w:r>
        <w:r w:rsidR="007C29A2">
          <w:rPr>
            <w:noProof/>
            <w:webHidden/>
          </w:rPr>
          <w:fldChar w:fldCharType="separate"/>
        </w:r>
        <w:r w:rsidR="007C29A2">
          <w:rPr>
            <w:noProof/>
            <w:webHidden/>
          </w:rPr>
          <w:t>162</w:t>
        </w:r>
        <w:r w:rsidR="007C29A2">
          <w:rPr>
            <w:noProof/>
            <w:webHidden/>
          </w:rPr>
          <w:fldChar w:fldCharType="end"/>
        </w:r>
      </w:hyperlink>
    </w:p>
    <w:p w14:paraId="69C82120" w14:textId="01E2D67C"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18" w:history="1">
        <w:r w:rsidR="007C29A2" w:rsidRPr="007B0677">
          <w:rPr>
            <w:rStyle w:val="Hypertextovodkaz"/>
            <w:noProof/>
          </w:rPr>
          <w:t>Graf 42</w:t>
        </w:r>
        <w:r w:rsidR="007C29A2">
          <w:rPr>
            <w:rFonts w:asciiTheme="minorHAnsi" w:eastAsiaTheme="minorEastAsia" w:hAnsiTheme="minorHAnsi"/>
            <w:noProof/>
            <w:sz w:val="24"/>
            <w:szCs w:val="24"/>
            <w:lang w:val="cs-CZ" w:eastAsia="cs-CZ"/>
          </w:rPr>
          <w:tab/>
        </w:r>
        <w:r w:rsidR="007C29A2" w:rsidRPr="007B0677">
          <w:rPr>
            <w:rStyle w:val="Hypertextovodkaz"/>
            <w:noProof/>
          </w:rPr>
          <w:t>Zahraniční obchod - Trávy na semeno (mil. Kč)</w:t>
        </w:r>
        <w:r w:rsidR="007C29A2">
          <w:rPr>
            <w:noProof/>
            <w:webHidden/>
          </w:rPr>
          <w:tab/>
        </w:r>
        <w:r w:rsidR="007C29A2">
          <w:rPr>
            <w:noProof/>
            <w:webHidden/>
          </w:rPr>
          <w:fldChar w:fldCharType="begin"/>
        </w:r>
        <w:r w:rsidR="007C29A2">
          <w:rPr>
            <w:noProof/>
            <w:webHidden/>
          </w:rPr>
          <w:instrText xml:space="preserve"> PAGEREF _Toc81738818 \h </w:instrText>
        </w:r>
        <w:r w:rsidR="007C29A2">
          <w:rPr>
            <w:noProof/>
            <w:webHidden/>
          </w:rPr>
        </w:r>
        <w:r w:rsidR="007C29A2">
          <w:rPr>
            <w:noProof/>
            <w:webHidden/>
          </w:rPr>
          <w:fldChar w:fldCharType="separate"/>
        </w:r>
        <w:r w:rsidR="007C29A2">
          <w:rPr>
            <w:noProof/>
            <w:webHidden/>
          </w:rPr>
          <w:t>163</w:t>
        </w:r>
        <w:r w:rsidR="007C29A2">
          <w:rPr>
            <w:noProof/>
            <w:webHidden/>
          </w:rPr>
          <w:fldChar w:fldCharType="end"/>
        </w:r>
      </w:hyperlink>
    </w:p>
    <w:p w14:paraId="3DABC9F4" w14:textId="64C68FC4"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19" w:history="1">
        <w:r w:rsidR="007C29A2" w:rsidRPr="007B0677">
          <w:rPr>
            <w:rStyle w:val="Hypertextovodkaz"/>
            <w:noProof/>
          </w:rPr>
          <w:t>Graf 43</w:t>
        </w:r>
        <w:r w:rsidR="007C29A2">
          <w:rPr>
            <w:rFonts w:asciiTheme="minorHAnsi" w:eastAsiaTheme="minorEastAsia" w:hAnsiTheme="minorHAnsi"/>
            <w:noProof/>
            <w:sz w:val="24"/>
            <w:szCs w:val="24"/>
            <w:lang w:val="cs-CZ" w:eastAsia="cs-CZ"/>
          </w:rPr>
          <w:tab/>
        </w:r>
        <w:r w:rsidR="007C29A2" w:rsidRPr="007B0677">
          <w:rPr>
            <w:rStyle w:val="Hypertextovodkaz"/>
            <w:rFonts w:eastAsiaTheme="majorEastAsia"/>
            <w:noProof/>
          </w:rPr>
          <w:t>Vývoj struktury provozních podpor u komodity trávy na semeno</w:t>
        </w:r>
        <w:r w:rsidR="007C29A2">
          <w:rPr>
            <w:noProof/>
            <w:webHidden/>
          </w:rPr>
          <w:tab/>
        </w:r>
        <w:r w:rsidR="007C29A2">
          <w:rPr>
            <w:noProof/>
            <w:webHidden/>
          </w:rPr>
          <w:fldChar w:fldCharType="begin"/>
        </w:r>
        <w:r w:rsidR="007C29A2">
          <w:rPr>
            <w:noProof/>
            <w:webHidden/>
          </w:rPr>
          <w:instrText xml:space="preserve"> PAGEREF _Toc81738819 \h </w:instrText>
        </w:r>
        <w:r w:rsidR="007C29A2">
          <w:rPr>
            <w:noProof/>
            <w:webHidden/>
          </w:rPr>
        </w:r>
        <w:r w:rsidR="007C29A2">
          <w:rPr>
            <w:noProof/>
            <w:webHidden/>
          </w:rPr>
          <w:fldChar w:fldCharType="separate"/>
        </w:r>
        <w:r w:rsidR="007C29A2">
          <w:rPr>
            <w:noProof/>
            <w:webHidden/>
          </w:rPr>
          <w:t>167</w:t>
        </w:r>
        <w:r w:rsidR="007C29A2">
          <w:rPr>
            <w:noProof/>
            <w:webHidden/>
          </w:rPr>
          <w:fldChar w:fldCharType="end"/>
        </w:r>
      </w:hyperlink>
    </w:p>
    <w:p w14:paraId="026F5CC0" w14:textId="2B4C51D5"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20" w:history="1">
        <w:r w:rsidR="007C29A2" w:rsidRPr="007B0677">
          <w:rPr>
            <w:rStyle w:val="Hypertextovodkaz"/>
            <w:noProof/>
          </w:rPr>
          <w:t>Graf 44</w:t>
        </w:r>
        <w:r w:rsidR="007C29A2">
          <w:rPr>
            <w:rFonts w:asciiTheme="minorHAnsi" w:eastAsiaTheme="minorEastAsia" w:hAnsiTheme="minorHAnsi"/>
            <w:noProof/>
            <w:sz w:val="24"/>
            <w:szCs w:val="24"/>
            <w:lang w:val="cs-CZ" w:eastAsia="cs-CZ"/>
          </w:rPr>
          <w:tab/>
        </w:r>
        <w:r w:rsidR="007C29A2" w:rsidRPr="007B0677">
          <w:rPr>
            <w:rStyle w:val="Hypertextovodkaz"/>
            <w:noProof/>
          </w:rPr>
          <w:t>Mléčná užitkovost a rentabilita na typických farmách v roce 2019</w:t>
        </w:r>
        <w:r w:rsidR="007C29A2">
          <w:rPr>
            <w:noProof/>
            <w:webHidden/>
          </w:rPr>
          <w:tab/>
        </w:r>
        <w:r w:rsidR="007C29A2">
          <w:rPr>
            <w:noProof/>
            <w:webHidden/>
          </w:rPr>
          <w:fldChar w:fldCharType="begin"/>
        </w:r>
        <w:r w:rsidR="007C29A2">
          <w:rPr>
            <w:noProof/>
            <w:webHidden/>
          </w:rPr>
          <w:instrText xml:space="preserve"> PAGEREF _Toc81738820 \h </w:instrText>
        </w:r>
        <w:r w:rsidR="007C29A2">
          <w:rPr>
            <w:noProof/>
            <w:webHidden/>
          </w:rPr>
        </w:r>
        <w:r w:rsidR="007C29A2">
          <w:rPr>
            <w:noProof/>
            <w:webHidden/>
          </w:rPr>
          <w:fldChar w:fldCharType="separate"/>
        </w:r>
        <w:r w:rsidR="007C29A2">
          <w:rPr>
            <w:noProof/>
            <w:webHidden/>
          </w:rPr>
          <w:t>173</w:t>
        </w:r>
        <w:r w:rsidR="007C29A2">
          <w:rPr>
            <w:noProof/>
            <w:webHidden/>
          </w:rPr>
          <w:fldChar w:fldCharType="end"/>
        </w:r>
      </w:hyperlink>
    </w:p>
    <w:p w14:paraId="0545F3B1" w14:textId="54532E6C"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21" w:history="1">
        <w:r w:rsidR="007C29A2" w:rsidRPr="007B0677">
          <w:rPr>
            <w:rStyle w:val="Hypertextovodkaz"/>
            <w:noProof/>
          </w:rPr>
          <w:t>Graf 45</w:t>
        </w:r>
        <w:r w:rsidR="007C29A2">
          <w:rPr>
            <w:rFonts w:asciiTheme="minorHAnsi" w:eastAsiaTheme="minorEastAsia" w:hAnsiTheme="minorHAnsi"/>
            <w:noProof/>
            <w:sz w:val="24"/>
            <w:szCs w:val="24"/>
            <w:lang w:val="cs-CZ" w:eastAsia="cs-CZ"/>
          </w:rPr>
          <w:tab/>
        </w:r>
        <w:r w:rsidR="007C29A2" w:rsidRPr="007B0677">
          <w:rPr>
            <w:rStyle w:val="Hypertextovodkaz"/>
            <w:noProof/>
          </w:rPr>
          <w:t>Produktivita kapitálu na typických farmách v roce 2019</w:t>
        </w:r>
        <w:r w:rsidR="007C29A2">
          <w:rPr>
            <w:noProof/>
            <w:webHidden/>
          </w:rPr>
          <w:tab/>
        </w:r>
        <w:r w:rsidR="007C29A2">
          <w:rPr>
            <w:noProof/>
            <w:webHidden/>
          </w:rPr>
          <w:fldChar w:fldCharType="begin"/>
        </w:r>
        <w:r w:rsidR="007C29A2">
          <w:rPr>
            <w:noProof/>
            <w:webHidden/>
          </w:rPr>
          <w:instrText xml:space="preserve"> PAGEREF _Toc81738821 \h </w:instrText>
        </w:r>
        <w:r w:rsidR="007C29A2">
          <w:rPr>
            <w:noProof/>
            <w:webHidden/>
          </w:rPr>
        </w:r>
        <w:r w:rsidR="007C29A2">
          <w:rPr>
            <w:noProof/>
            <w:webHidden/>
          </w:rPr>
          <w:fldChar w:fldCharType="separate"/>
        </w:r>
        <w:r w:rsidR="007C29A2">
          <w:rPr>
            <w:noProof/>
            <w:webHidden/>
          </w:rPr>
          <w:t>176</w:t>
        </w:r>
        <w:r w:rsidR="007C29A2">
          <w:rPr>
            <w:noProof/>
            <w:webHidden/>
          </w:rPr>
          <w:fldChar w:fldCharType="end"/>
        </w:r>
      </w:hyperlink>
    </w:p>
    <w:p w14:paraId="67A27AC8" w14:textId="74DF8D3F"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22" w:history="1">
        <w:r w:rsidR="007C29A2" w:rsidRPr="007B0677">
          <w:rPr>
            <w:rStyle w:val="Hypertextovodkaz"/>
            <w:noProof/>
          </w:rPr>
          <w:t>Graf 46</w:t>
        </w:r>
        <w:r w:rsidR="007C29A2">
          <w:rPr>
            <w:rFonts w:asciiTheme="minorHAnsi" w:eastAsiaTheme="minorEastAsia" w:hAnsiTheme="minorHAnsi"/>
            <w:noProof/>
            <w:sz w:val="24"/>
            <w:szCs w:val="24"/>
            <w:lang w:val="cs-CZ" w:eastAsia="cs-CZ"/>
          </w:rPr>
          <w:tab/>
        </w:r>
        <w:r w:rsidR="007C29A2" w:rsidRPr="007B0677">
          <w:rPr>
            <w:rStyle w:val="Hypertextovodkaz"/>
            <w:noProof/>
          </w:rPr>
          <w:t>Vývoj struktury provozních podpor u komodity mléko</w:t>
        </w:r>
        <w:r w:rsidR="007C29A2">
          <w:rPr>
            <w:noProof/>
            <w:webHidden/>
          </w:rPr>
          <w:tab/>
        </w:r>
        <w:r w:rsidR="007C29A2">
          <w:rPr>
            <w:noProof/>
            <w:webHidden/>
          </w:rPr>
          <w:fldChar w:fldCharType="begin"/>
        </w:r>
        <w:r w:rsidR="007C29A2">
          <w:rPr>
            <w:noProof/>
            <w:webHidden/>
          </w:rPr>
          <w:instrText xml:space="preserve"> PAGEREF _Toc81738822 \h </w:instrText>
        </w:r>
        <w:r w:rsidR="007C29A2">
          <w:rPr>
            <w:noProof/>
            <w:webHidden/>
          </w:rPr>
        </w:r>
        <w:r w:rsidR="007C29A2">
          <w:rPr>
            <w:noProof/>
            <w:webHidden/>
          </w:rPr>
          <w:fldChar w:fldCharType="separate"/>
        </w:r>
        <w:r w:rsidR="007C29A2">
          <w:rPr>
            <w:noProof/>
            <w:webHidden/>
          </w:rPr>
          <w:t>179</w:t>
        </w:r>
        <w:r w:rsidR="007C29A2">
          <w:rPr>
            <w:noProof/>
            <w:webHidden/>
          </w:rPr>
          <w:fldChar w:fldCharType="end"/>
        </w:r>
      </w:hyperlink>
    </w:p>
    <w:p w14:paraId="5F4D454E" w14:textId="6080556C"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23" w:history="1">
        <w:r w:rsidR="007C29A2" w:rsidRPr="007B0677">
          <w:rPr>
            <w:rStyle w:val="Hypertextovodkaz"/>
            <w:noProof/>
          </w:rPr>
          <w:t>Graf 47</w:t>
        </w:r>
        <w:r w:rsidR="007C29A2">
          <w:rPr>
            <w:rFonts w:asciiTheme="minorHAnsi" w:eastAsiaTheme="minorEastAsia" w:hAnsiTheme="minorHAnsi"/>
            <w:noProof/>
            <w:sz w:val="24"/>
            <w:szCs w:val="24"/>
            <w:lang w:val="cs-CZ" w:eastAsia="cs-CZ"/>
          </w:rPr>
          <w:tab/>
        </w:r>
        <w:r w:rsidR="007C29A2" w:rsidRPr="007B0677">
          <w:rPr>
            <w:rStyle w:val="Hypertextovodkaz"/>
            <w:noProof/>
          </w:rPr>
          <w:t>Změna stavů skotu, z toho krav BTPM a dojených krav za období 2011-2020 v %</w:t>
        </w:r>
        <w:r w:rsidR="007C29A2">
          <w:rPr>
            <w:noProof/>
            <w:webHidden/>
          </w:rPr>
          <w:tab/>
        </w:r>
        <w:r w:rsidR="007C29A2">
          <w:rPr>
            <w:noProof/>
            <w:webHidden/>
          </w:rPr>
          <w:fldChar w:fldCharType="begin"/>
        </w:r>
        <w:r w:rsidR="007C29A2">
          <w:rPr>
            <w:noProof/>
            <w:webHidden/>
          </w:rPr>
          <w:instrText xml:space="preserve"> PAGEREF _Toc81738823 \h </w:instrText>
        </w:r>
        <w:r w:rsidR="007C29A2">
          <w:rPr>
            <w:noProof/>
            <w:webHidden/>
          </w:rPr>
        </w:r>
        <w:r w:rsidR="007C29A2">
          <w:rPr>
            <w:noProof/>
            <w:webHidden/>
          </w:rPr>
          <w:fldChar w:fldCharType="separate"/>
        </w:r>
        <w:r w:rsidR="007C29A2">
          <w:rPr>
            <w:noProof/>
            <w:webHidden/>
          </w:rPr>
          <w:t>188</w:t>
        </w:r>
        <w:r w:rsidR="007C29A2">
          <w:rPr>
            <w:noProof/>
            <w:webHidden/>
          </w:rPr>
          <w:fldChar w:fldCharType="end"/>
        </w:r>
      </w:hyperlink>
    </w:p>
    <w:p w14:paraId="32689927" w14:textId="245AA0C4"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24" w:history="1">
        <w:r w:rsidR="007C29A2" w:rsidRPr="007B0677">
          <w:rPr>
            <w:rStyle w:val="Hypertextovodkaz"/>
            <w:noProof/>
          </w:rPr>
          <w:t>Graf 48</w:t>
        </w:r>
        <w:r w:rsidR="007C29A2">
          <w:rPr>
            <w:rFonts w:asciiTheme="minorHAnsi" w:eastAsiaTheme="minorEastAsia" w:hAnsiTheme="minorHAnsi"/>
            <w:noProof/>
            <w:sz w:val="24"/>
            <w:szCs w:val="24"/>
            <w:lang w:val="cs-CZ" w:eastAsia="cs-CZ"/>
          </w:rPr>
          <w:tab/>
        </w:r>
        <w:r w:rsidR="007C29A2" w:rsidRPr="007B0677">
          <w:rPr>
            <w:rStyle w:val="Hypertextovodkaz"/>
            <w:noProof/>
          </w:rPr>
          <w:t>Zatížení skotu celkem v zemích EU v roce 2018 a vývoj zatížení skotu v ČR v ks/100 ha z.p.</w:t>
        </w:r>
        <w:r w:rsidR="007C29A2">
          <w:rPr>
            <w:noProof/>
            <w:webHidden/>
          </w:rPr>
          <w:tab/>
        </w:r>
        <w:r w:rsidR="007C29A2">
          <w:rPr>
            <w:noProof/>
            <w:webHidden/>
          </w:rPr>
          <w:fldChar w:fldCharType="begin"/>
        </w:r>
        <w:r w:rsidR="007C29A2">
          <w:rPr>
            <w:noProof/>
            <w:webHidden/>
          </w:rPr>
          <w:instrText xml:space="preserve"> PAGEREF _Toc81738824 \h </w:instrText>
        </w:r>
        <w:r w:rsidR="007C29A2">
          <w:rPr>
            <w:noProof/>
            <w:webHidden/>
          </w:rPr>
        </w:r>
        <w:r w:rsidR="007C29A2">
          <w:rPr>
            <w:noProof/>
            <w:webHidden/>
          </w:rPr>
          <w:fldChar w:fldCharType="separate"/>
        </w:r>
        <w:r w:rsidR="007C29A2">
          <w:rPr>
            <w:noProof/>
            <w:webHidden/>
          </w:rPr>
          <w:t>189</w:t>
        </w:r>
        <w:r w:rsidR="007C29A2">
          <w:rPr>
            <w:noProof/>
            <w:webHidden/>
          </w:rPr>
          <w:fldChar w:fldCharType="end"/>
        </w:r>
      </w:hyperlink>
    </w:p>
    <w:p w14:paraId="71C84282" w14:textId="5540B1FC"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25" w:history="1">
        <w:r w:rsidR="007C29A2" w:rsidRPr="007B0677">
          <w:rPr>
            <w:rStyle w:val="Hypertextovodkaz"/>
            <w:noProof/>
          </w:rPr>
          <w:t>Graf 49</w:t>
        </w:r>
        <w:r w:rsidR="007C29A2">
          <w:rPr>
            <w:rFonts w:asciiTheme="minorHAnsi" w:eastAsiaTheme="minorEastAsia" w:hAnsiTheme="minorHAnsi"/>
            <w:noProof/>
            <w:sz w:val="24"/>
            <w:szCs w:val="24"/>
            <w:lang w:val="cs-CZ" w:eastAsia="cs-CZ"/>
          </w:rPr>
          <w:tab/>
        </w:r>
        <w:r w:rsidR="007C29A2" w:rsidRPr="007B0677">
          <w:rPr>
            <w:rStyle w:val="Hypertextovodkaz"/>
            <w:noProof/>
          </w:rPr>
          <w:t>Vývoj bilance zahraničního obchodu s živým skotem a hovězím masem v mil. Kč</w:t>
        </w:r>
        <w:r w:rsidR="007C29A2">
          <w:rPr>
            <w:noProof/>
            <w:webHidden/>
          </w:rPr>
          <w:tab/>
        </w:r>
        <w:r w:rsidR="007C29A2">
          <w:rPr>
            <w:noProof/>
            <w:webHidden/>
          </w:rPr>
          <w:fldChar w:fldCharType="begin"/>
        </w:r>
        <w:r w:rsidR="007C29A2">
          <w:rPr>
            <w:noProof/>
            <w:webHidden/>
          </w:rPr>
          <w:instrText xml:space="preserve"> PAGEREF _Toc81738825 \h </w:instrText>
        </w:r>
        <w:r w:rsidR="007C29A2">
          <w:rPr>
            <w:noProof/>
            <w:webHidden/>
          </w:rPr>
        </w:r>
        <w:r w:rsidR="007C29A2">
          <w:rPr>
            <w:noProof/>
            <w:webHidden/>
          </w:rPr>
          <w:fldChar w:fldCharType="separate"/>
        </w:r>
        <w:r w:rsidR="007C29A2">
          <w:rPr>
            <w:noProof/>
            <w:webHidden/>
          </w:rPr>
          <w:t>190</w:t>
        </w:r>
        <w:r w:rsidR="007C29A2">
          <w:rPr>
            <w:noProof/>
            <w:webHidden/>
          </w:rPr>
          <w:fldChar w:fldCharType="end"/>
        </w:r>
      </w:hyperlink>
    </w:p>
    <w:p w14:paraId="2AAC7129" w14:textId="167CAC22"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26" w:history="1">
        <w:r w:rsidR="007C29A2" w:rsidRPr="007B0677">
          <w:rPr>
            <w:rStyle w:val="Hypertextovodkaz"/>
            <w:noProof/>
          </w:rPr>
          <w:t>Graf 50</w:t>
        </w:r>
        <w:r w:rsidR="007C29A2">
          <w:rPr>
            <w:rFonts w:asciiTheme="minorHAnsi" w:eastAsiaTheme="minorEastAsia" w:hAnsiTheme="minorHAnsi"/>
            <w:noProof/>
            <w:sz w:val="24"/>
            <w:szCs w:val="24"/>
            <w:lang w:val="cs-CZ" w:eastAsia="cs-CZ"/>
          </w:rPr>
          <w:tab/>
        </w:r>
        <w:r w:rsidR="007C29A2" w:rsidRPr="007B0677">
          <w:rPr>
            <w:rStyle w:val="Hypertextovodkaz"/>
            <w:noProof/>
          </w:rPr>
          <w:t>Náklady a výnosy výkrmu skotu v roce 2019 (bez plateb oddělených od produkce)</w:t>
        </w:r>
        <w:r w:rsidR="007C29A2">
          <w:rPr>
            <w:noProof/>
            <w:webHidden/>
          </w:rPr>
          <w:tab/>
        </w:r>
        <w:r w:rsidR="007C29A2">
          <w:rPr>
            <w:noProof/>
            <w:webHidden/>
          </w:rPr>
          <w:fldChar w:fldCharType="begin"/>
        </w:r>
        <w:r w:rsidR="007C29A2">
          <w:rPr>
            <w:noProof/>
            <w:webHidden/>
          </w:rPr>
          <w:instrText xml:space="preserve"> PAGEREF _Toc81738826 \h </w:instrText>
        </w:r>
        <w:r w:rsidR="007C29A2">
          <w:rPr>
            <w:noProof/>
            <w:webHidden/>
          </w:rPr>
        </w:r>
        <w:r w:rsidR="007C29A2">
          <w:rPr>
            <w:noProof/>
            <w:webHidden/>
          </w:rPr>
          <w:fldChar w:fldCharType="separate"/>
        </w:r>
        <w:r w:rsidR="007C29A2">
          <w:rPr>
            <w:noProof/>
            <w:webHidden/>
          </w:rPr>
          <w:t>192</w:t>
        </w:r>
        <w:r w:rsidR="007C29A2">
          <w:rPr>
            <w:noProof/>
            <w:webHidden/>
          </w:rPr>
          <w:fldChar w:fldCharType="end"/>
        </w:r>
      </w:hyperlink>
    </w:p>
    <w:p w14:paraId="347DF628" w14:textId="5285DD50"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27" w:history="1">
        <w:r w:rsidR="007C29A2" w:rsidRPr="007B0677">
          <w:rPr>
            <w:rStyle w:val="Hypertextovodkaz"/>
            <w:noProof/>
          </w:rPr>
          <w:t>Graf 51</w:t>
        </w:r>
        <w:r w:rsidR="007C29A2">
          <w:rPr>
            <w:rFonts w:asciiTheme="minorHAnsi" w:eastAsiaTheme="minorEastAsia" w:hAnsiTheme="minorHAnsi"/>
            <w:noProof/>
            <w:sz w:val="24"/>
            <w:szCs w:val="24"/>
            <w:lang w:val="cs-CZ" w:eastAsia="cs-CZ"/>
          </w:rPr>
          <w:tab/>
        </w:r>
        <w:r w:rsidR="007C29A2" w:rsidRPr="007B0677">
          <w:rPr>
            <w:rStyle w:val="Hypertextovodkaz"/>
            <w:noProof/>
          </w:rPr>
          <w:t>Struktura podpor v chovu krav BPM za roky 2011 -2020</w:t>
        </w:r>
        <w:r w:rsidR="007C29A2">
          <w:rPr>
            <w:noProof/>
            <w:webHidden/>
          </w:rPr>
          <w:tab/>
        </w:r>
        <w:r w:rsidR="007C29A2">
          <w:rPr>
            <w:noProof/>
            <w:webHidden/>
          </w:rPr>
          <w:fldChar w:fldCharType="begin"/>
        </w:r>
        <w:r w:rsidR="007C29A2">
          <w:rPr>
            <w:noProof/>
            <w:webHidden/>
          </w:rPr>
          <w:instrText xml:space="preserve"> PAGEREF _Toc81738827 \h </w:instrText>
        </w:r>
        <w:r w:rsidR="007C29A2">
          <w:rPr>
            <w:noProof/>
            <w:webHidden/>
          </w:rPr>
        </w:r>
        <w:r w:rsidR="007C29A2">
          <w:rPr>
            <w:noProof/>
            <w:webHidden/>
          </w:rPr>
          <w:fldChar w:fldCharType="separate"/>
        </w:r>
        <w:r w:rsidR="007C29A2">
          <w:rPr>
            <w:noProof/>
            <w:webHidden/>
          </w:rPr>
          <w:t>196</w:t>
        </w:r>
        <w:r w:rsidR="007C29A2">
          <w:rPr>
            <w:noProof/>
            <w:webHidden/>
          </w:rPr>
          <w:fldChar w:fldCharType="end"/>
        </w:r>
      </w:hyperlink>
    </w:p>
    <w:p w14:paraId="5F592237" w14:textId="0FBB5FFA"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28" w:history="1">
        <w:r w:rsidR="007C29A2" w:rsidRPr="007B0677">
          <w:rPr>
            <w:rStyle w:val="Hypertextovodkaz"/>
            <w:noProof/>
          </w:rPr>
          <w:t>Graf 52</w:t>
        </w:r>
        <w:r w:rsidR="007C29A2">
          <w:rPr>
            <w:rFonts w:asciiTheme="minorHAnsi" w:eastAsiaTheme="minorEastAsia" w:hAnsiTheme="minorHAnsi"/>
            <w:noProof/>
            <w:sz w:val="24"/>
            <w:szCs w:val="24"/>
            <w:lang w:val="cs-CZ" w:eastAsia="cs-CZ"/>
          </w:rPr>
          <w:tab/>
        </w:r>
        <w:r w:rsidR="007C29A2" w:rsidRPr="007B0677">
          <w:rPr>
            <w:rStyle w:val="Hypertextovodkaz"/>
            <w:noProof/>
          </w:rPr>
          <w:t>Struktura podpor výkrmu skotu za roky 2011 -2020</w:t>
        </w:r>
        <w:r w:rsidR="007C29A2">
          <w:rPr>
            <w:noProof/>
            <w:webHidden/>
          </w:rPr>
          <w:tab/>
        </w:r>
        <w:r w:rsidR="007C29A2">
          <w:rPr>
            <w:noProof/>
            <w:webHidden/>
          </w:rPr>
          <w:fldChar w:fldCharType="begin"/>
        </w:r>
        <w:r w:rsidR="007C29A2">
          <w:rPr>
            <w:noProof/>
            <w:webHidden/>
          </w:rPr>
          <w:instrText xml:space="preserve"> PAGEREF _Toc81738828 \h </w:instrText>
        </w:r>
        <w:r w:rsidR="007C29A2">
          <w:rPr>
            <w:noProof/>
            <w:webHidden/>
          </w:rPr>
        </w:r>
        <w:r w:rsidR="007C29A2">
          <w:rPr>
            <w:noProof/>
            <w:webHidden/>
          </w:rPr>
          <w:fldChar w:fldCharType="separate"/>
        </w:r>
        <w:r w:rsidR="007C29A2">
          <w:rPr>
            <w:noProof/>
            <w:webHidden/>
          </w:rPr>
          <w:t>196</w:t>
        </w:r>
        <w:r w:rsidR="007C29A2">
          <w:rPr>
            <w:noProof/>
            <w:webHidden/>
          </w:rPr>
          <w:fldChar w:fldCharType="end"/>
        </w:r>
      </w:hyperlink>
    </w:p>
    <w:p w14:paraId="79826EF8" w14:textId="4D6EE4F9"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29" w:history="1">
        <w:r w:rsidR="007C29A2" w:rsidRPr="007B0677">
          <w:rPr>
            <w:rStyle w:val="Hypertextovodkaz"/>
            <w:noProof/>
          </w:rPr>
          <w:t>Graf 53</w:t>
        </w:r>
        <w:r w:rsidR="007C29A2">
          <w:rPr>
            <w:rFonts w:asciiTheme="minorHAnsi" w:eastAsiaTheme="minorEastAsia" w:hAnsiTheme="minorHAnsi"/>
            <w:noProof/>
            <w:sz w:val="24"/>
            <w:szCs w:val="24"/>
            <w:lang w:val="cs-CZ" w:eastAsia="cs-CZ"/>
          </w:rPr>
          <w:tab/>
        </w:r>
        <w:r w:rsidR="007C29A2" w:rsidRPr="007B0677">
          <w:rPr>
            <w:rStyle w:val="Hypertextovodkaz"/>
            <w:noProof/>
          </w:rPr>
          <w:t>Vývoj spotřeby krmiva a konverze krmiva v roce 2016 vůči roku 2010</w:t>
        </w:r>
        <w:r w:rsidR="007C29A2">
          <w:rPr>
            <w:noProof/>
            <w:webHidden/>
          </w:rPr>
          <w:tab/>
        </w:r>
        <w:r w:rsidR="007C29A2">
          <w:rPr>
            <w:noProof/>
            <w:webHidden/>
          </w:rPr>
          <w:fldChar w:fldCharType="begin"/>
        </w:r>
        <w:r w:rsidR="007C29A2">
          <w:rPr>
            <w:noProof/>
            <w:webHidden/>
          </w:rPr>
          <w:instrText xml:space="preserve"> PAGEREF _Toc81738829 \h </w:instrText>
        </w:r>
        <w:r w:rsidR="007C29A2">
          <w:rPr>
            <w:noProof/>
            <w:webHidden/>
          </w:rPr>
        </w:r>
        <w:r w:rsidR="007C29A2">
          <w:rPr>
            <w:noProof/>
            <w:webHidden/>
          </w:rPr>
          <w:fldChar w:fldCharType="separate"/>
        </w:r>
        <w:r w:rsidR="007C29A2">
          <w:rPr>
            <w:noProof/>
            <w:webHidden/>
          </w:rPr>
          <w:t>209</w:t>
        </w:r>
        <w:r w:rsidR="007C29A2">
          <w:rPr>
            <w:noProof/>
            <w:webHidden/>
          </w:rPr>
          <w:fldChar w:fldCharType="end"/>
        </w:r>
      </w:hyperlink>
    </w:p>
    <w:p w14:paraId="1BE81BE1" w14:textId="73B1569B"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30" w:history="1">
        <w:r w:rsidR="007C29A2" w:rsidRPr="007B0677">
          <w:rPr>
            <w:rStyle w:val="Hypertextovodkaz"/>
            <w:noProof/>
          </w:rPr>
          <w:t>Graf 54</w:t>
        </w:r>
        <w:r w:rsidR="007C29A2">
          <w:rPr>
            <w:rFonts w:asciiTheme="minorHAnsi" w:eastAsiaTheme="minorEastAsia" w:hAnsiTheme="minorHAnsi"/>
            <w:noProof/>
            <w:sz w:val="24"/>
            <w:szCs w:val="24"/>
            <w:lang w:val="cs-CZ" w:eastAsia="cs-CZ"/>
          </w:rPr>
          <w:tab/>
        </w:r>
        <w:r w:rsidR="007C29A2" w:rsidRPr="007B0677">
          <w:rPr>
            <w:rStyle w:val="Hypertextovodkaz"/>
            <w:noProof/>
          </w:rPr>
          <w:t>Počet odstavených selat na prasnici v letech 2016 a 2010</w:t>
        </w:r>
        <w:r w:rsidR="007C29A2">
          <w:rPr>
            <w:noProof/>
            <w:webHidden/>
          </w:rPr>
          <w:tab/>
        </w:r>
        <w:r w:rsidR="007C29A2">
          <w:rPr>
            <w:noProof/>
            <w:webHidden/>
          </w:rPr>
          <w:fldChar w:fldCharType="begin"/>
        </w:r>
        <w:r w:rsidR="007C29A2">
          <w:rPr>
            <w:noProof/>
            <w:webHidden/>
          </w:rPr>
          <w:instrText xml:space="preserve"> PAGEREF _Toc81738830 \h </w:instrText>
        </w:r>
        <w:r w:rsidR="007C29A2">
          <w:rPr>
            <w:noProof/>
            <w:webHidden/>
          </w:rPr>
        </w:r>
        <w:r w:rsidR="007C29A2">
          <w:rPr>
            <w:noProof/>
            <w:webHidden/>
          </w:rPr>
          <w:fldChar w:fldCharType="separate"/>
        </w:r>
        <w:r w:rsidR="007C29A2">
          <w:rPr>
            <w:noProof/>
            <w:webHidden/>
          </w:rPr>
          <w:t>210</w:t>
        </w:r>
        <w:r w:rsidR="007C29A2">
          <w:rPr>
            <w:noProof/>
            <w:webHidden/>
          </w:rPr>
          <w:fldChar w:fldCharType="end"/>
        </w:r>
      </w:hyperlink>
    </w:p>
    <w:p w14:paraId="32823CEA" w14:textId="62C478FF"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31" w:history="1">
        <w:r w:rsidR="007C29A2" w:rsidRPr="007B0677">
          <w:rPr>
            <w:rStyle w:val="Hypertextovodkaz"/>
            <w:noProof/>
          </w:rPr>
          <w:t>Graf 55</w:t>
        </w:r>
        <w:r w:rsidR="007C29A2">
          <w:rPr>
            <w:rFonts w:asciiTheme="minorHAnsi" w:eastAsiaTheme="minorEastAsia" w:hAnsiTheme="minorHAnsi"/>
            <w:noProof/>
            <w:sz w:val="24"/>
            <w:szCs w:val="24"/>
            <w:lang w:val="cs-CZ" w:eastAsia="cs-CZ"/>
          </w:rPr>
          <w:tab/>
        </w:r>
        <w:r w:rsidR="007C29A2" w:rsidRPr="007B0677">
          <w:rPr>
            <w:rStyle w:val="Hypertextovodkaz"/>
            <w:noProof/>
          </w:rPr>
          <w:t>Mezinárodní srovnání nákladů výkrmu prasat v letech 2010 a 2016</w:t>
        </w:r>
        <w:r w:rsidR="007C29A2">
          <w:rPr>
            <w:noProof/>
            <w:webHidden/>
          </w:rPr>
          <w:tab/>
        </w:r>
        <w:r w:rsidR="007C29A2">
          <w:rPr>
            <w:noProof/>
            <w:webHidden/>
          </w:rPr>
          <w:fldChar w:fldCharType="begin"/>
        </w:r>
        <w:r w:rsidR="007C29A2">
          <w:rPr>
            <w:noProof/>
            <w:webHidden/>
          </w:rPr>
          <w:instrText xml:space="preserve"> PAGEREF _Toc81738831 \h </w:instrText>
        </w:r>
        <w:r w:rsidR="007C29A2">
          <w:rPr>
            <w:noProof/>
            <w:webHidden/>
          </w:rPr>
        </w:r>
        <w:r w:rsidR="007C29A2">
          <w:rPr>
            <w:noProof/>
            <w:webHidden/>
          </w:rPr>
          <w:fldChar w:fldCharType="separate"/>
        </w:r>
        <w:r w:rsidR="007C29A2">
          <w:rPr>
            <w:noProof/>
            <w:webHidden/>
          </w:rPr>
          <w:t>211</w:t>
        </w:r>
        <w:r w:rsidR="007C29A2">
          <w:rPr>
            <w:noProof/>
            <w:webHidden/>
          </w:rPr>
          <w:fldChar w:fldCharType="end"/>
        </w:r>
      </w:hyperlink>
    </w:p>
    <w:p w14:paraId="49679CFF" w14:textId="4A6592D3"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32" w:history="1">
        <w:r w:rsidR="007C29A2" w:rsidRPr="007B0677">
          <w:rPr>
            <w:rStyle w:val="Hypertextovodkaz"/>
            <w:noProof/>
          </w:rPr>
          <w:t>Graf 56</w:t>
        </w:r>
        <w:r w:rsidR="007C29A2">
          <w:rPr>
            <w:rFonts w:asciiTheme="minorHAnsi" w:eastAsiaTheme="minorEastAsia" w:hAnsiTheme="minorHAnsi"/>
            <w:noProof/>
            <w:sz w:val="24"/>
            <w:szCs w:val="24"/>
            <w:lang w:val="cs-CZ" w:eastAsia="cs-CZ"/>
          </w:rPr>
          <w:tab/>
        </w:r>
        <w:r w:rsidR="007C29A2" w:rsidRPr="007B0677">
          <w:rPr>
            <w:rStyle w:val="Hypertextovodkaz"/>
            <w:noProof/>
          </w:rPr>
          <w:t>Ekonomika výkrmu prasat v mezinárodním v letech 2016 a 2010 (zisk, ztráta)</w:t>
        </w:r>
        <w:r w:rsidR="007C29A2">
          <w:rPr>
            <w:noProof/>
            <w:webHidden/>
          </w:rPr>
          <w:tab/>
        </w:r>
        <w:r w:rsidR="007C29A2">
          <w:rPr>
            <w:noProof/>
            <w:webHidden/>
          </w:rPr>
          <w:fldChar w:fldCharType="begin"/>
        </w:r>
        <w:r w:rsidR="007C29A2">
          <w:rPr>
            <w:noProof/>
            <w:webHidden/>
          </w:rPr>
          <w:instrText xml:space="preserve"> PAGEREF _Toc81738832 \h </w:instrText>
        </w:r>
        <w:r w:rsidR="007C29A2">
          <w:rPr>
            <w:noProof/>
            <w:webHidden/>
          </w:rPr>
        </w:r>
        <w:r w:rsidR="007C29A2">
          <w:rPr>
            <w:noProof/>
            <w:webHidden/>
          </w:rPr>
          <w:fldChar w:fldCharType="separate"/>
        </w:r>
        <w:r w:rsidR="007C29A2">
          <w:rPr>
            <w:noProof/>
            <w:webHidden/>
          </w:rPr>
          <w:t>212</w:t>
        </w:r>
        <w:r w:rsidR="007C29A2">
          <w:rPr>
            <w:noProof/>
            <w:webHidden/>
          </w:rPr>
          <w:fldChar w:fldCharType="end"/>
        </w:r>
      </w:hyperlink>
    </w:p>
    <w:p w14:paraId="26FEC120" w14:textId="33A1D658"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33" w:history="1">
        <w:r w:rsidR="007C29A2" w:rsidRPr="007B0677">
          <w:rPr>
            <w:rStyle w:val="Hypertextovodkaz"/>
            <w:noProof/>
          </w:rPr>
          <w:t>Graf 57</w:t>
        </w:r>
        <w:r w:rsidR="007C29A2">
          <w:rPr>
            <w:rFonts w:asciiTheme="minorHAnsi" w:eastAsiaTheme="minorEastAsia" w:hAnsiTheme="minorHAnsi"/>
            <w:noProof/>
            <w:sz w:val="24"/>
            <w:szCs w:val="24"/>
            <w:lang w:val="cs-CZ" w:eastAsia="cs-CZ"/>
          </w:rPr>
          <w:tab/>
        </w:r>
        <w:r w:rsidR="007C29A2" w:rsidRPr="007B0677">
          <w:rPr>
            <w:rStyle w:val="Hypertextovodkaz"/>
            <w:noProof/>
          </w:rPr>
          <w:t>Vývoj struktury podpor v chovu prasat 2011-2020</w:t>
        </w:r>
        <w:r w:rsidR="007C29A2">
          <w:rPr>
            <w:noProof/>
            <w:webHidden/>
          </w:rPr>
          <w:tab/>
        </w:r>
        <w:r w:rsidR="007C29A2">
          <w:rPr>
            <w:noProof/>
            <w:webHidden/>
          </w:rPr>
          <w:fldChar w:fldCharType="begin"/>
        </w:r>
        <w:r w:rsidR="007C29A2">
          <w:rPr>
            <w:noProof/>
            <w:webHidden/>
          </w:rPr>
          <w:instrText xml:space="preserve"> PAGEREF _Toc81738833 \h </w:instrText>
        </w:r>
        <w:r w:rsidR="007C29A2">
          <w:rPr>
            <w:noProof/>
            <w:webHidden/>
          </w:rPr>
        </w:r>
        <w:r w:rsidR="007C29A2">
          <w:rPr>
            <w:noProof/>
            <w:webHidden/>
          </w:rPr>
          <w:fldChar w:fldCharType="separate"/>
        </w:r>
        <w:r w:rsidR="007C29A2">
          <w:rPr>
            <w:noProof/>
            <w:webHidden/>
          </w:rPr>
          <w:t>217</w:t>
        </w:r>
        <w:r w:rsidR="007C29A2">
          <w:rPr>
            <w:noProof/>
            <w:webHidden/>
          </w:rPr>
          <w:fldChar w:fldCharType="end"/>
        </w:r>
      </w:hyperlink>
    </w:p>
    <w:p w14:paraId="16439DFA" w14:textId="4CF2D7E0"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34" w:history="1">
        <w:r w:rsidR="007C29A2" w:rsidRPr="007B0677">
          <w:rPr>
            <w:rStyle w:val="Hypertextovodkaz"/>
            <w:noProof/>
          </w:rPr>
          <w:t>Graf 58</w:t>
        </w:r>
        <w:r w:rsidR="007C29A2">
          <w:rPr>
            <w:rFonts w:asciiTheme="minorHAnsi" w:eastAsiaTheme="minorEastAsia" w:hAnsiTheme="minorHAnsi"/>
            <w:noProof/>
            <w:sz w:val="24"/>
            <w:szCs w:val="24"/>
            <w:lang w:val="cs-CZ" w:eastAsia="cs-CZ"/>
          </w:rPr>
          <w:tab/>
        </w:r>
        <w:r w:rsidR="007C29A2" w:rsidRPr="007B0677">
          <w:rPr>
            <w:rStyle w:val="Hypertextovodkaz"/>
            <w:noProof/>
          </w:rPr>
          <w:t>Technologie chovu nosnic v ČR v roce 2020</w:t>
        </w:r>
        <w:r w:rsidR="007C29A2">
          <w:rPr>
            <w:noProof/>
            <w:webHidden/>
          </w:rPr>
          <w:tab/>
        </w:r>
        <w:r w:rsidR="007C29A2">
          <w:rPr>
            <w:noProof/>
            <w:webHidden/>
          </w:rPr>
          <w:fldChar w:fldCharType="begin"/>
        </w:r>
        <w:r w:rsidR="007C29A2">
          <w:rPr>
            <w:noProof/>
            <w:webHidden/>
          </w:rPr>
          <w:instrText xml:space="preserve"> PAGEREF _Toc81738834 \h </w:instrText>
        </w:r>
        <w:r w:rsidR="007C29A2">
          <w:rPr>
            <w:noProof/>
            <w:webHidden/>
          </w:rPr>
        </w:r>
        <w:r w:rsidR="007C29A2">
          <w:rPr>
            <w:noProof/>
            <w:webHidden/>
          </w:rPr>
          <w:fldChar w:fldCharType="separate"/>
        </w:r>
        <w:r w:rsidR="007C29A2">
          <w:rPr>
            <w:noProof/>
            <w:webHidden/>
          </w:rPr>
          <w:t>229</w:t>
        </w:r>
        <w:r w:rsidR="007C29A2">
          <w:rPr>
            <w:noProof/>
            <w:webHidden/>
          </w:rPr>
          <w:fldChar w:fldCharType="end"/>
        </w:r>
      </w:hyperlink>
    </w:p>
    <w:p w14:paraId="3B103FE2" w14:textId="4AE1DEB3"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35" w:history="1">
        <w:r w:rsidR="007C29A2" w:rsidRPr="007B0677">
          <w:rPr>
            <w:rStyle w:val="Hypertextovodkaz"/>
            <w:noProof/>
          </w:rPr>
          <w:t>Graf 59</w:t>
        </w:r>
        <w:r w:rsidR="007C29A2">
          <w:rPr>
            <w:rFonts w:asciiTheme="minorHAnsi" w:eastAsiaTheme="minorEastAsia" w:hAnsiTheme="minorHAnsi"/>
            <w:noProof/>
            <w:sz w:val="24"/>
            <w:szCs w:val="24"/>
            <w:lang w:val="cs-CZ" w:eastAsia="cs-CZ"/>
          </w:rPr>
          <w:tab/>
        </w:r>
        <w:r w:rsidR="007C29A2" w:rsidRPr="007B0677">
          <w:rPr>
            <w:rStyle w:val="Hypertextovodkaz"/>
            <w:noProof/>
          </w:rPr>
          <w:t>Produkce, obchod a soběstačnost jatečné drůbeže</w:t>
        </w:r>
        <w:r w:rsidR="007C29A2">
          <w:rPr>
            <w:noProof/>
            <w:webHidden/>
          </w:rPr>
          <w:tab/>
        </w:r>
        <w:r w:rsidR="007C29A2">
          <w:rPr>
            <w:noProof/>
            <w:webHidden/>
          </w:rPr>
          <w:fldChar w:fldCharType="begin"/>
        </w:r>
        <w:r w:rsidR="007C29A2">
          <w:rPr>
            <w:noProof/>
            <w:webHidden/>
          </w:rPr>
          <w:instrText xml:space="preserve"> PAGEREF _Toc81738835 \h </w:instrText>
        </w:r>
        <w:r w:rsidR="007C29A2">
          <w:rPr>
            <w:noProof/>
            <w:webHidden/>
          </w:rPr>
        </w:r>
        <w:r w:rsidR="007C29A2">
          <w:rPr>
            <w:noProof/>
            <w:webHidden/>
          </w:rPr>
          <w:fldChar w:fldCharType="separate"/>
        </w:r>
        <w:r w:rsidR="007C29A2">
          <w:rPr>
            <w:noProof/>
            <w:webHidden/>
          </w:rPr>
          <w:t>231</w:t>
        </w:r>
        <w:r w:rsidR="007C29A2">
          <w:rPr>
            <w:noProof/>
            <w:webHidden/>
          </w:rPr>
          <w:fldChar w:fldCharType="end"/>
        </w:r>
      </w:hyperlink>
    </w:p>
    <w:p w14:paraId="796FA68D" w14:textId="748F1AF9"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36" w:history="1">
        <w:r w:rsidR="007C29A2" w:rsidRPr="007B0677">
          <w:rPr>
            <w:rStyle w:val="Hypertextovodkaz"/>
            <w:noProof/>
          </w:rPr>
          <w:t>Graf 60</w:t>
        </w:r>
        <w:r w:rsidR="007C29A2">
          <w:rPr>
            <w:rFonts w:asciiTheme="minorHAnsi" w:eastAsiaTheme="minorEastAsia" w:hAnsiTheme="minorHAnsi"/>
            <w:noProof/>
            <w:sz w:val="24"/>
            <w:szCs w:val="24"/>
            <w:lang w:val="cs-CZ" w:eastAsia="cs-CZ"/>
          </w:rPr>
          <w:tab/>
        </w:r>
        <w:r w:rsidR="007C29A2" w:rsidRPr="007B0677">
          <w:rPr>
            <w:rStyle w:val="Hypertextovodkaz"/>
            <w:noProof/>
          </w:rPr>
          <w:t>Produkce, obchod a soběstačnost produkce vajec</w:t>
        </w:r>
        <w:r w:rsidR="007C29A2">
          <w:rPr>
            <w:noProof/>
            <w:webHidden/>
          </w:rPr>
          <w:tab/>
        </w:r>
        <w:r w:rsidR="007C29A2">
          <w:rPr>
            <w:noProof/>
            <w:webHidden/>
          </w:rPr>
          <w:fldChar w:fldCharType="begin"/>
        </w:r>
        <w:r w:rsidR="007C29A2">
          <w:rPr>
            <w:noProof/>
            <w:webHidden/>
          </w:rPr>
          <w:instrText xml:space="preserve"> PAGEREF _Toc81738836 \h </w:instrText>
        </w:r>
        <w:r w:rsidR="007C29A2">
          <w:rPr>
            <w:noProof/>
            <w:webHidden/>
          </w:rPr>
        </w:r>
        <w:r w:rsidR="007C29A2">
          <w:rPr>
            <w:noProof/>
            <w:webHidden/>
          </w:rPr>
          <w:fldChar w:fldCharType="separate"/>
        </w:r>
        <w:r w:rsidR="007C29A2">
          <w:rPr>
            <w:noProof/>
            <w:webHidden/>
          </w:rPr>
          <w:t>232</w:t>
        </w:r>
        <w:r w:rsidR="007C29A2">
          <w:rPr>
            <w:noProof/>
            <w:webHidden/>
          </w:rPr>
          <w:fldChar w:fldCharType="end"/>
        </w:r>
      </w:hyperlink>
    </w:p>
    <w:p w14:paraId="4B556D2D" w14:textId="2BEC16E7"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37" w:history="1">
        <w:r w:rsidR="007C29A2" w:rsidRPr="007B0677">
          <w:rPr>
            <w:rStyle w:val="Hypertextovodkaz"/>
            <w:noProof/>
          </w:rPr>
          <w:t>Graf 61</w:t>
        </w:r>
        <w:r w:rsidR="007C29A2">
          <w:rPr>
            <w:rFonts w:asciiTheme="minorHAnsi" w:eastAsiaTheme="minorEastAsia" w:hAnsiTheme="minorHAnsi"/>
            <w:noProof/>
            <w:sz w:val="24"/>
            <w:szCs w:val="24"/>
            <w:lang w:val="cs-CZ" w:eastAsia="cs-CZ"/>
          </w:rPr>
          <w:tab/>
        </w:r>
        <w:r w:rsidR="007C29A2" w:rsidRPr="007B0677">
          <w:rPr>
            <w:rStyle w:val="Hypertextovodkaz"/>
            <w:noProof/>
          </w:rPr>
          <w:t>Vývoj struktury podpor u komodity drůbeží maso</w:t>
        </w:r>
        <w:r w:rsidR="007C29A2">
          <w:rPr>
            <w:noProof/>
            <w:webHidden/>
          </w:rPr>
          <w:tab/>
        </w:r>
        <w:r w:rsidR="007C29A2">
          <w:rPr>
            <w:noProof/>
            <w:webHidden/>
          </w:rPr>
          <w:fldChar w:fldCharType="begin"/>
        </w:r>
        <w:r w:rsidR="007C29A2">
          <w:rPr>
            <w:noProof/>
            <w:webHidden/>
          </w:rPr>
          <w:instrText xml:space="preserve"> PAGEREF _Toc81738837 \h </w:instrText>
        </w:r>
        <w:r w:rsidR="007C29A2">
          <w:rPr>
            <w:noProof/>
            <w:webHidden/>
          </w:rPr>
        </w:r>
        <w:r w:rsidR="007C29A2">
          <w:rPr>
            <w:noProof/>
            <w:webHidden/>
          </w:rPr>
          <w:fldChar w:fldCharType="separate"/>
        </w:r>
        <w:r w:rsidR="007C29A2">
          <w:rPr>
            <w:noProof/>
            <w:webHidden/>
          </w:rPr>
          <w:t>235</w:t>
        </w:r>
        <w:r w:rsidR="007C29A2">
          <w:rPr>
            <w:noProof/>
            <w:webHidden/>
          </w:rPr>
          <w:fldChar w:fldCharType="end"/>
        </w:r>
      </w:hyperlink>
    </w:p>
    <w:p w14:paraId="274A3E3A" w14:textId="4C9D4030"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38" w:history="1">
        <w:r w:rsidR="007C29A2" w:rsidRPr="007B0677">
          <w:rPr>
            <w:rStyle w:val="Hypertextovodkaz"/>
            <w:noProof/>
          </w:rPr>
          <w:t>Graf 62</w:t>
        </w:r>
        <w:r w:rsidR="007C29A2">
          <w:rPr>
            <w:rFonts w:asciiTheme="minorHAnsi" w:eastAsiaTheme="minorEastAsia" w:hAnsiTheme="minorHAnsi"/>
            <w:noProof/>
            <w:sz w:val="24"/>
            <w:szCs w:val="24"/>
            <w:lang w:val="cs-CZ" w:eastAsia="cs-CZ"/>
          </w:rPr>
          <w:tab/>
        </w:r>
        <w:r w:rsidR="007C29A2" w:rsidRPr="007B0677">
          <w:rPr>
            <w:rStyle w:val="Hypertextovodkaz"/>
            <w:noProof/>
          </w:rPr>
          <w:t>Vývoj struktury podpor u komodity vejce</w:t>
        </w:r>
        <w:r w:rsidR="007C29A2">
          <w:rPr>
            <w:noProof/>
            <w:webHidden/>
          </w:rPr>
          <w:tab/>
        </w:r>
        <w:r w:rsidR="007C29A2">
          <w:rPr>
            <w:noProof/>
            <w:webHidden/>
          </w:rPr>
          <w:fldChar w:fldCharType="begin"/>
        </w:r>
        <w:r w:rsidR="007C29A2">
          <w:rPr>
            <w:noProof/>
            <w:webHidden/>
          </w:rPr>
          <w:instrText xml:space="preserve"> PAGEREF _Toc81738838 \h </w:instrText>
        </w:r>
        <w:r w:rsidR="007C29A2">
          <w:rPr>
            <w:noProof/>
            <w:webHidden/>
          </w:rPr>
        </w:r>
        <w:r w:rsidR="007C29A2">
          <w:rPr>
            <w:noProof/>
            <w:webHidden/>
          </w:rPr>
          <w:fldChar w:fldCharType="separate"/>
        </w:r>
        <w:r w:rsidR="007C29A2">
          <w:rPr>
            <w:noProof/>
            <w:webHidden/>
          </w:rPr>
          <w:t>237</w:t>
        </w:r>
        <w:r w:rsidR="007C29A2">
          <w:rPr>
            <w:noProof/>
            <w:webHidden/>
          </w:rPr>
          <w:fldChar w:fldCharType="end"/>
        </w:r>
      </w:hyperlink>
    </w:p>
    <w:p w14:paraId="6641F99B" w14:textId="1BDC151E"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39" w:history="1">
        <w:r w:rsidR="007C29A2" w:rsidRPr="007B0677">
          <w:rPr>
            <w:rStyle w:val="Hypertextovodkaz"/>
            <w:noProof/>
          </w:rPr>
          <w:t>Graf 63</w:t>
        </w:r>
        <w:r w:rsidR="007C29A2">
          <w:rPr>
            <w:rFonts w:asciiTheme="minorHAnsi" w:eastAsiaTheme="minorEastAsia" w:hAnsiTheme="minorHAnsi"/>
            <w:noProof/>
            <w:sz w:val="24"/>
            <w:szCs w:val="24"/>
            <w:lang w:val="cs-CZ" w:eastAsia="cs-CZ"/>
          </w:rPr>
          <w:tab/>
        </w:r>
        <w:r w:rsidR="007C29A2" w:rsidRPr="007B0677">
          <w:rPr>
            <w:rStyle w:val="Hypertextovodkaz"/>
            <w:noProof/>
          </w:rPr>
          <w:t>Vývoj struktury podpor v chovu ovcí</w:t>
        </w:r>
        <w:r w:rsidR="007C29A2">
          <w:rPr>
            <w:noProof/>
            <w:webHidden/>
          </w:rPr>
          <w:tab/>
        </w:r>
        <w:r w:rsidR="007C29A2">
          <w:rPr>
            <w:noProof/>
            <w:webHidden/>
          </w:rPr>
          <w:fldChar w:fldCharType="begin"/>
        </w:r>
        <w:r w:rsidR="007C29A2">
          <w:rPr>
            <w:noProof/>
            <w:webHidden/>
          </w:rPr>
          <w:instrText xml:space="preserve"> PAGEREF _Toc81738839 \h </w:instrText>
        </w:r>
        <w:r w:rsidR="007C29A2">
          <w:rPr>
            <w:noProof/>
            <w:webHidden/>
          </w:rPr>
        </w:r>
        <w:r w:rsidR="007C29A2">
          <w:rPr>
            <w:noProof/>
            <w:webHidden/>
          </w:rPr>
          <w:fldChar w:fldCharType="separate"/>
        </w:r>
        <w:r w:rsidR="007C29A2">
          <w:rPr>
            <w:noProof/>
            <w:webHidden/>
          </w:rPr>
          <w:t>256</w:t>
        </w:r>
        <w:r w:rsidR="007C29A2">
          <w:rPr>
            <w:noProof/>
            <w:webHidden/>
          </w:rPr>
          <w:fldChar w:fldCharType="end"/>
        </w:r>
      </w:hyperlink>
    </w:p>
    <w:p w14:paraId="0C11948A" w14:textId="29EB0AD0" w:rsidR="007C29A2" w:rsidRDefault="00E07272" w:rsidP="007C29A2">
      <w:pPr>
        <w:pStyle w:val="Obsah4"/>
        <w:tabs>
          <w:tab w:val="left" w:pos="1680"/>
          <w:tab w:val="right" w:leader="dot" w:pos="9062"/>
        </w:tabs>
        <w:ind w:left="1134" w:hanging="992"/>
        <w:rPr>
          <w:rFonts w:asciiTheme="minorHAnsi" w:eastAsiaTheme="minorEastAsia" w:hAnsiTheme="minorHAnsi"/>
          <w:noProof/>
          <w:sz w:val="24"/>
          <w:szCs w:val="24"/>
          <w:lang w:val="cs-CZ" w:eastAsia="cs-CZ"/>
        </w:rPr>
      </w:pPr>
      <w:hyperlink w:anchor="_Toc81738840" w:history="1">
        <w:r w:rsidR="007C29A2" w:rsidRPr="007B0677">
          <w:rPr>
            <w:rStyle w:val="Hypertextovodkaz"/>
            <w:noProof/>
          </w:rPr>
          <w:t>Graf 64</w:t>
        </w:r>
        <w:r w:rsidR="007C29A2">
          <w:rPr>
            <w:rFonts w:asciiTheme="minorHAnsi" w:eastAsiaTheme="minorEastAsia" w:hAnsiTheme="minorHAnsi"/>
            <w:noProof/>
            <w:sz w:val="24"/>
            <w:szCs w:val="24"/>
            <w:lang w:val="cs-CZ" w:eastAsia="cs-CZ"/>
          </w:rPr>
          <w:tab/>
        </w:r>
        <w:r w:rsidR="007C29A2" w:rsidRPr="007B0677">
          <w:rPr>
            <w:rStyle w:val="Hypertextovodkaz"/>
            <w:noProof/>
          </w:rPr>
          <w:t>Vývoj struktury podpor v chovu koz</w:t>
        </w:r>
        <w:r w:rsidR="007C29A2">
          <w:rPr>
            <w:noProof/>
            <w:webHidden/>
          </w:rPr>
          <w:tab/>
        </w:r>
        <w:r w:rsidR="007C29A2">
          <w:rPr>
            <w:noProof/>
            <w:webHidden/>
          </w:rPr>
          <w:fldChar w:fldCharType="begin"/>
        </w:r>
        <w:r w:rsidR="007C29A2">
          <w:rPr>
            <w:noProof/>
            <w:webHidden/>
          </w:rPr>
          <w:instrText xml:space="preserve"> PAGEREF _Toc81738840 \h </w:instrText>
        </w:r>
        <w:r w:rsidR="007C29A2">
          <w:rPr>
            <w:noProof/>
            <w:webHidden/>
          </w:rPr>
        </w:r>
        <w:r w:rsidR="007C29A2">
          <w:rPr>
            <w:noProof/>
            <w:webHidden/>
          </w:rPr>
          <w:fldChar w:fldCharType="separate"/>
        </w:r>
        <w:r w:rsidR="007C29A2">
          <w:rPr>
            <w:noProof/>
            <w:webHidden/>
          </w:rPr>
          <w:t>257</w:t>
        </w:r>
        <w:r w:rsidR="007C29A2">
          <w:rPr>
            <w:noProof/>
            <w:webHidden/>
          </w:rPr>
          <w:fldChar w:fldCharType="end"/>
        </w:r>
      </w:hyperlink>
    </w:p>
    <w:p w14:paraId="7E760001" w14:textId="742C6223" w:rsidR="007C29A2" w:rsidRPr="007C29A2" w:rsidRDefault="007C29A2" w:rsidP="007C29A2">
      <w:pPr>
        <w:ind w:left="1134" w:hanging="992"/>
        <w:rPr>
          <w:rFonts w:cs="Times New Roman"/>
          <w:lang w:val="cs-CZ"/>
        </w:rPr>
      </w:pPr>
      <w:r>
        <w:rPr>
          <w:rFonts w:cs="Times New Roman"/>
          <w:lang w:val="cs-CZ"/>
        </w:rPr>
        <w:fldChar w:fldCharType="end"/>
      </w:r>
    </w:p>
    <w:p w14:paraId="3CEA3BB5" w14:textId="77777777" w:rsidR="007C29A2" w:rsidRPr="00D95127" w:rsidRDefault="007C29A2" w:rsidP="007C40A1">
      <w:pPr>
        <w:rPr>
          <w:rFonts w:cs="Times New Roman"/>
          <w:lang w:val="cs-CZ"/>
        </w:rPr>
      </w:pPr>
    </w:p>
    <w:p w14:paraId="278280FC" w14:textId="77777777" w:rsidR="007C29A2" w:rsidRDefault="007C29A2">
      <w:pPr>
        <w:spacing w:after="160" w:line="259" w:lineRule="auto"/>
        <w:jc w:val="left"/>
        <w:rPr>
          <w:rFonts w:cs="Times New Roman"/>
          <w:b/>
          <w:bCs/>
          <w:sz w:val="28"/>
          <w:szCs w:val="28"/>
          <w:lang w:val="cs-CZ"/>
        </w:rPr>
      </w:pPr>
      <w:r>
        <w:rPr>
          <w:rFonts w:cs="Times New Roman"/>
          <w:b/>
          <w:bCs/>
          <w:sz w:val="28"/>
          <w:szCs w:val="28"/>
          <w:lang w:val="cs-CZ"/>
        </w:rPr>
        <w:br w:type="page"/>
      </w:r>
    </w:p>
    <w:p w14:paraId="6486B9E3" w14:textId="549B0987" w:rsidR="007C40A1" w:rsidRDefault="007C40A1" w:rsidP="007C40A1">
      <w:pPr>
        <w:rPr>
          <w:rFonts w:cs="Times New Roman"/>
          <w:b/>
          <w:bCs/>
          <w:sz w:val="28"/>
          <w:szCs w:val="28"/>
          <w:lang w:val="cs-CZ"/>
        </w:rPr>
      </w:pPr>
      <w:r w:rsidRPr="00D95127">
        <w:rPr>
          <w:rFonts w:cs="Times New Roman"/>
          <w:b/>
          <w:bCs/>
          <w:sz w:val="28"/>
          <w:szCs w:val="28"/>
          <w:lang w:val="cs-CZ"/>
        </w:rPr>
        <w:lastRenderedPageBreak/>
        <w:t>Obsah</w:t>
      </w:r>
    </w:p>
    <w:p w14:paraId="12EEBDBE" w14:textId="6F760D86" w:rsidR="00B31130" w:rsidRDefault="007C29A2">
      <w:pPr>
        <w:pStyle w:val="Obsah1"/>
        <w:tabs>
          <w:tab w:val="right" w:leader="dot" w:pos="9062"/>
        </w:tabs>
        <w:rPr>
          <w:rFonts w:asciiTheme="minorHAnsi" w:eastAsiaTheme="minorEastAsia" w:hAnsiTheme="minorHAnsi"/>
          <w:b w:val="0"/>
          <w:bCs w:val="0"/>
          <w:caps w:val="0"/>
          <w:noProof/>
          <w:sz w:val="24"/>
          <w:szCs w:val="24"/>
          <w:lang w:val="cs-CZ" w:eastAsia="cs-CZ"/>
        </w:rPr>
      </w:pPr>
      <w:r>
        <w:rPr>
          <w:rFonts w:cs="Times New Roman"/>
          <w:b w:val="0"/>
          <w:bCs w:val="0"/>
          <w:sz w:val="28"/>
          <w:szCs w:val="28"/>
          <w:lang w:val="cs-CZ"/>
        </w:rPr>
        <w:fldChar w:fldCharType="begin"/>
      </w:r>
      <w:r>
        <w:rPr>
          <w:rFonts w:cs="Times New Roman"/>
          <w:b w:val="0"/>
          <w:bCs w:val="0"/>
          <w:sz w:val="28"/>
          <w:szCs w:val="28"/>
          <w:lang w:val="cs-CZ"/>
        </w:rPr>
        <w:instrText xml:space="preserve"> TOC \o "1-3" \h \z \t "UZEI Nadpis 4.st;4" </w:instrText>
      </w:r>
      <w:r>
        <w:rPr>
          <w:rFonts w:cs="Times New Roman"/>
          <w:b w:val="0"/>
          <w:bCs w:val="0"/>
          <w:sz w:val="28"/>
          <w:szCs w:val="28"/>
          <w:lang w:val="cs-CZ"/>
        </w:rPr>
        <w:fldChar w:fldCharType="separate"/>
      </w:r>
      <w:hyperlink w:anchor="_Toc81739169" w:history="1">
        <w:r w:rsidR="00B31130" w:rsidRPr="0096164C">
          <w:rPr>
            <w:rStyle w:val="Hypertextovodkaz"/>
            <w:rFonts w:cs="Times New Roman"/>
            <w:noProof/>
          </w:rPr>
          <w:t>Seznam zkratek</w:t>
        </w:r>
        <w:r w:rsidR="00B31130">
          <w:rPr>
            <w:noProof/>
            <w:webHidden/>
          </w:rPr>
          <w:tab/>
        </w:r>
        <w:r w:rsidR="00B31130">
          <w:rPr>
            <w:noProof/>
            <w:webHidden/>
          </w:rPr>
          <w:fldChar w:fldCharType="begin"/>
        </w:r>
        <w:r w:rsidR="00B31130">
          <w:rPr>
            <w:noProof/>
            <w:webHidden/>
          </w:rPr>
          <w:instrText xml:space="preserve"> PAGEREF _Toc81739169 \h </w:instrText>
        </w:r>
        <w:r w:rsidR="00B31130">
          <w:rPr>
            <w:noProof/>
            <w:webHidden/>
          </w:rPr>
        </w:r>
        <w:r w:rsidR="00B31130">
          <w:rPr>
            <w:noProof/>
            <w:webHidden/>
          </w:rPr>
          <w:fldChar w:fldCharType="separate"/>
        </w:r>
        <w:r w:rsidR="00B31130">
          <w:rPr>
            <w:noProof/>
            <w:webHidden/>
          </w:rPr>
          <w:t>2</w:t>
        </w:r>
        <w:r w:rsidR="00B31130">
          <w:rPr>
            <w:noProof/>
            <w:webHidden/>
          </w:rPr>
          <w:fldChar w:fldCharType="end"/>
        </w:r>
      </w:hyperlink>
    </w:p>
    <w:p w14:paraId="6BF1E6A8" w14:textId="0ECF652B" w:rsidR="00B31130" w:rsidRDefault="00E07272">
      <w:pPr>
        <w:pStyle w:val="Obsah1"/>
        <w:tabs>
          <w:tab w:val="right" w:leader="dot" w:pos="9062"/>
        </w:tabs>
        <w:rPr>
          <w:rFonts w:asciiTheme="minorHAnsi" w:eastAsiaTheme="minorEastAsia" w:hAnsiTheme="minorHAnsi"/>
          <w:b w:val="0"/>
          <w:bCs w:val="0"/>
          <w:caps w:val="0"/>
          <w:noProof/>
          <w:sz w:val="24"/>
          <w:szCs w:val="24"/>
          <w:lang w:val="cs-CZ" w:eastAsia="cs-CZ"/>
        </w:rPr>
      </w:pPr>
      <w:hyperlink w:anchor="_Toc81739170" w:history="1">
        <w:r w:rsidR="00B31130" w:rsidRPr="0096164C">
          <w:rPr>
            <w:rStyle w:val="Hypertextovodkaz"/>
            <w:rFonts w:cs="Times New Roman"/>
            <w:noProof/>
          </w:rPr>
          <w:t>Seznam tabulek</w:t>
        </w:r>
        <w:r w:rsidR="00B31130">
          <w:rPr>
            <w:noProof/>
            <w:webHidden/>
          </w:rPr>
          <w:tab/>
        </w:r>
        <w:r w:rsidR="00B31130">
          <w:rPr>
            <w:noProof/>
            <w:webHidden/>
          </w:rPr>
          <w:fldChar w:fldCharType="begin"/>
        </w:r>
        <w:r w:rsidR="00B31130">
          <w:rPr>
            <w:noProof/>
            <w:webHidden/>
          </w:rPr>
          <w:instrText xml:space="preserve"> PAGEREF _Toc81739170 \h </w:instrText>
        </w:r>
        <w:r w:rsidR="00B31130">
          <w:rPr>
            <w:noProof/>
            <w:webHidden/>
          </w:rPr>
        </w:r>
        <w:r w:rsidR="00B31130">
          <w:rPr>
            <w:noProof/>
            <w:webHidden/>
          </w:rPr>
          <w:fldChar w:fldCharType="separate"/>
        </w:r>
        <w:r w:rsidR="00B31130">
          <w:rPr>
            <w:noProof/>
            <w:webHidden/>
          </w:rPr>
          <w:t>3</w:t>
        </w:r>
        <w:r w:rsidR="00B31130">
          <w:rPr>
            <w:noProof/>
            <w:webHidden/>
          </w:rPr>
          <w:fldChar w:fldCharType="end"/>
        </w:r>
      </w:hyperlink>
    </w:p>
    <w:p w14:paraId="3A2AA38F" w14:textId="55B5E30F" w:rsidR="00B31130" w:rsidRDefault="00E07272">
      <w:pPr>
        <w:pStyle w:val="Obsah1"/>
        <w:tabs>
          <w:tab w:val="right" w:leader="dot" w:pos="9062"/>
        </w:tabs>
        <w:rPr>
          <w:rFonts w:asciiTheme="minorHAnsi" w:eastAsiaTheme="minorEastAsia" w:hAnsiTheme="minorHAnsi"/>
          <w:b w:val="0"/>
          <w:bCs w:val="0"/>
          <w:caps w:val="0"/>
          <w:noProof/>
          <w:sz w:val="24"/>
          <w:szCs w:val="24"/>
          <w:lang w:val="cs-CZ" w:eastAsia="cs-CZ"/>
        </w:rPr>
      </w:pPr>
      <w:hyperlink w:anchor="_Toc81739171" w:history="1">
        <w:r w:rsidR="00B31130" w:rsidRPr="0096164C">
          <w:rPr>
            <w:rStyle w:val="Hypertextovodkaz"/>
            <w:rFonts w:cs="Times New Roman"/>
            <w:noProof/>
          </w:rPr>
          <w:t>Seznam grafů</w:t>
        </w:r>
        <w:r w:rsidR="00B31130">
          <w:rPr>
            <w:noProof/>
            <w:webHidden/>
          </w:rPr>
          <w:tab/>
        </w:r>
        <w:r w:rsidR="00B31130">
          <w:rPr>
            <w:noProof/>
            <w:webHidden/>
          </w:rPr>
          <w:fldChar w:fldCharType="begin"/>
        </w:r>
        <w:r w:rsidR="00B31130">
          <w:rPr>
            <w:noProof/>
            <w:webHidden/>
          </w:rPr>
          <w:instrText xml:space="preserve"> PAGEREF _Toc81739171 \h </w:instrText>
        </w:r>
        <w:r w:rsidR="00B31130">
          <w:rPr>
            <w:noProof/>
            <w:webHidden/>
          </w:rPr>
        </w:r>
        <w:r w:rsidR="00B31130">
          <w:rPr>
            <w:noProof/>
            <w:webHidden/>
          </w:rPr>
          <w:fldChar w:fldCharType="separate"/>
        </w:r>
        <w:r w:rsidR="00B31130">
          <w:rPr>
            <w:noProof/>
            <w:webHidden/>
          </w:rPr>
          <w:t>5</w:t>
        </w:r>
        <w:r w:rsidR="00B31130">
          <w:rPr>
            <w:noProof/>
            <w:webHidden/>
          </w:rPr>
          <w:fldChar w:fldCharType="end"/>
        </w:r>
      </w:hyperlink>
    </w:p>
    <w:p w14:paraId="10D1676A" w14:textId="471F1AB0" w:rsidR="00B31130" w:rsidRDefault="00E07272">
      <w:pPr>
        <w:pStyle w:val="Obsah1"/>
        <w:tabs>
          <w:tab w:val="right" w:leader="dot" w:pos="9062"/>
        </w:tabs>
        <w:rPr>
          <w:rFonts w:asciiTheme="minorHAnsi" w:eastAsiaTheme="minorEastAsia" w:hAnsiTheme="minorHAnsi"/>
          <w:b w:val="0"/>
          <w:bCs w:val="0"/>
          <w:caps w:val="0"/>
          <w:noProof/>
          <w:sz w:val="24"/>
          <w:szCs w:val="24"/>
          <w:lang w:val="cs-CZ" w:eastAsia="cs-CZ"/>
        </w:rPr>
      </w:pPr>
      <w:hyperlink w:anchor="_Toc81739172" w:history="1">
        <w:r w:rsidR="00B31130" w:rsidRPr="0096164C">
          <w:rPr>
            <w:rStyle w:val="Hypertextovodkaz"/>
            <w:rFonts w:cs="Times New Roman"/>
            <w:noProof/>
          </w:rPr>
          <w:t>OVOCE A ZELENINA</w:t>
        </w:r>
        <w:r w:rsidR="00B31130">
          <w:rPr>
            <w:noProof/>
            <w:webHidden/>
          </w:rPr>
          <w:tab/>
        </w:r>
        <w:r w:rsidR="00B31130">
          <w:rPr>
            <w:noProof/>
            <w:webHidden/>
          </w:rPr>
          <w:fldChar w:fldCharType="begin"/>
        </w:r>
        <w:r w:rsidR="00B31130">
          <w:rPr>
            <w:noProof/>
            <w:webHidden/>
          </w:rPr>
          <w:instrText xml:space="preserve"> PAGEREF _Toc81739172 \h </w:instrText>
        </w:r>
        <w:r w:rsidR="00B31130">
          <w:rPr>
            <w:noProof/>
            <w:webHidden/>
          </w:rPr>
        </w:r>
        <w:r w:rsidR="00B31130">
          <w:rPr>
            <w:noProof/>
            <w:webHidden/>
          </w:rPr>
          <w:fldChar w:fldCharType="separate"/>
        </w:r>
        <w:r w:rsidR="00B31130">
          <w:rPr>
            <w:noProof/>
            <w:webHidden/>
          </w:rPr>
          <w:t>12</w:t>
        </w:r>
        <w:r w:rsidR="00B31130">
          <w:rPr>
            <w:noProof/>
            <w:webHidden/>
          </w:rPr>
          <w:fldChar w:fldCharType="end"/>
        </w:r>
      </w:hyperlink>
    </w:p>
    <w:p w14:paraId="4C790567" w14:textId="7C865FDF"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173" w:history="1">
        <w:r w:rsidR="00B31130" w:rsidRPr="0096164C">
          <w:rPr>
            <w:rStyle w:val="Hypertextovodkaz"/>
            <w:noProof/>
          </w:rPr>
          <w:t>1</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Analýza stávajících/navrhovaných právních předpisů EK/ČR a pravděpodobné nastavení směrů a cílů SZP</w:t>
        </w:r>
        <w:r w:rsidR="00B31130">
          <w:rPr>
            <w:noProof/>
            <w:webHidden/>
          </w:rPr>
          <w:tab/>
        </w:r>
        <w:r w:rsidR="00B31130">
          <w:rPr>
            <w:noProof/>
            <w:webHidden/>
          </w:rPr>
          <w:fldChar w:fldCharType="begin"/>
        </w:r>
        <w:r w:rsidR="00B31130">
          <w:rPr>
            <w:noProof/>
            <w:webHidden/>
          </w:rPr>
          <w:instrText xml:space="preserve"> PAGEREF _Toc81739173 \h </w:instrText>
        </w:r>
        <w:r w:rsidR="00B31130">
          <w:rPr>
            <w:noProof/>
            <w:webHidden/>
          </w:rPr>
        </w:r>
        <w:r w:rsidR="00B31130">
          <w:rPr>
            <w:noProof/>
            <w:webHidden/>
          </w:rPr>
          <w:fldChar w:fldCharType="separate"/>
        </w:r>
        <w:r w:rsidR="00B31130">
          <w:rPr>
            <w:noProof/>
            <w:webHidden/>
          </w:rPr>
          <w:t>12</w:t>
        </w:r>
        <w:r w:rsidR="00B31130">
          <w:rPr>
            <w:noProof/>
            <w:webHidden/>
          </w:rPr>
          <w:fldChar w:fldCharType="end"/>
        </w:r>
      </w:hyperlink>
    </w:p>
    <w:p w14:paraId="59D12D96" w14:textId="092FBD7E"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174" w:history="1">
        <w:r w:rsidR="00B31130" w:rsidRPr="0096164C">
          <w:rPr>
            <w:rStyle w:val="Hypertextovodkaz"/>
            <w:noProof/>
          </w:rPr>
          <w:t>2</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Co je skutečným problémem, na který má politika reagovat?</w:t>
        </w:r>
        <w:r w:rsidR="00B31130">
          <w:rPr>
            <w:noProof/>
            <w:webHidden/>
          </w:rPr>
          <w:tab/>
        </w:r>
        <w:r w:rsidR="00B31130">
          <w:rPr>
            <w:noProof/>
            <w:webHidden/>
          </w:rPr>
          <w:fldChar w:fldCharType="begin"/>
        </w:r>
        <w:r w:rsidR="00B31130">
          <w:rPr>
            <w:noProof/>
            <w:webHidden/>
          </w:rPr>
          <w:instrText xml:space="preserve"> PAGEREF _Toc81739174 \h </w:instrText>
        </w:r>
        <w:r w:rsidR="00B31130">
          <w:rPr>
            <w:noProof/>
            <w:webHidden/>
          </w:rPr>
        </w:r>
        <w:r w:rsidR="00B31130">
          <w:rPr>
            <w:noProof/>
            <w:webHidden/>
          </w:rPr>
          <w:fldChar w:fldCharType="separate"/>
        </w:r>
        <w:r w:rsidR="00B31130">
          <w:rPr>
            <w:noProof/>
            <w:webHidden/>
          </w:rPr>
          <w:t>13</w:t>
        </w:r>
        <w:r w:rsidR="00B31130">
          <w:rPr>
            <w:noProof/>
            <w:webHidden/>
          </w:rPr>
          <w:fldChar w:fldCharType="end"/>
        </w:r>
      </w:hyperlink>
    </w:p>
    <w:p w14:paraId="48CEC648" w14:textId="6A2DACAB"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175" w:history="1">
        <w:r w:rsidR="00B31130" w:rsidRPr="0096164C">
          <w:rPr>
            <w:rStyle w:val="Hypertextovodkaz"/>
            <w:rFonts w:cs="Times New Roman"/>
            <w:noProof/>
          </w:rPr>
          <w:t>3</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rFonts w:cs="Times New Roman"/>
            <w:noProof/>
          </w:rPr>
          <w:t>Jaký je mechanizmus a příčiny tohoto problému?</w:t>
        </w:r>
        <w:r w:rsidR="00B31130">
          <w:rPr>
            <w:noProof/>
            <w:webHidden/>
          </w:rPr>
          <w:tab/>
        </w:r>
        <w:r w:rsidR="00B31130">
          <w:rPr>
            <w:noProof/>
            <w:webHidden/>
          </w:rPr>
          <w:fldChar w:fldCharType="begin"/>
        </w:r>
        <w:r w:rsidR="00B31130">
          <w:rPr>
            <w:noProof/>
            <w:webHidden/>
          </w:rPr>
          <w:instrText xml:space="preserve"> PAGEREF _Toc81739175 \h </w:instrText>
        </w:r>
        <w:r w:rsidR="00B31130">
          <w:rPr>
            <w:noProof/>
            <w:webHidden/>
          </w:rPr>
        </w:r>
        <w:r w:rsidR="00B31130">
          <w:rPr>
            <w:noProof/>
            <w:webHidden/>
          </w:rPr>
          <w:fldChar w:fldCharType="separate"/>
        </w:r>
        <w:r w:rsidR="00B31130">
          <w:rPr>
            <w:noProof/>
            <w:webHidden/>
          </w:rPr>
          <w:t>14</w:t>
        </w:r>
        <w:r w:rsidR="00B31130">
          <w:rPr>
            <w:noProof/>
            <w:webHidden/>
          </w:rPr>
          <w:fldChar w:fldCharType="end"/>
        </w:r>
      </w:hyperlink>
    </w:p>
    <w:p w14:paraId="3F999C7C" w14:textId="55CE79BA"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176" w:history="1">
        <w:r w:rsidR="00B31130" w:rsidRPr="0096164C">
          <w:rPr>
            <w:rStyle w:val="Hypertextovodkaz"/>
            <w:noProof/>
          </w:rPr>
          <w:t>4</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Jak závažný je tento problém?</w:t>
        </w:r>
        <w:r w:rsidR="00B31130">
          <w:rPr>
            <w:noProof/>
            <w:webHidden/>
          </w:rPr>
          <w:tab/>
        </w:r>
        <w:r w:rsidR="00B31130">
          <w:rPr>
            <w:noProof/>
            <w:webHidden/>
          </w:rPr>
          <w:fldChar w:fldCharType="begin"/>
        </w:r>
        <w:r w:rsidR="00B31130">
          <w:rPr>
            <w:noProof/>
            <w:webHidden/>
          </w:rPr>
          <w:instrText xml:space="preserve"> PAGEREF _Toc81739176 \h </w:instrText>
        </w:r>
        <w:r w:rsidR="00B31130">
          <w:rPr>
            <w:noProof/>
            <w:webHidden/>
          </w:rPr>
        </w:r>
        <w:r w:rsidR="00B31130">
          <w:rPr>
            <w:noProof/>
            <w:webHidden/>
          </w:rPr>
          <w:fldChar w:fldCharType="separate"/>
        </w:r>
        <w:r w:rsidR="00B31130">
          <w:rPr>
            <w:noProof/>
            <w:webHidden/>
          </w:rPr>
          <w:t>20</w:t>
        </w:r>
        <w:r w:rsidR="00B31130">
          <w:rPr>
            <w:noProof/>
            <w:webHidden/>
          </w:rPr>
          <w:fldChar w:fldCharType="end"/>
        </w:r>
      </w:hyperlink>
    </w:p>
    <w:p w14:paraId="03152335" w14:textId="656C2A35"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177" w:history="1">
        <w:r w:rsidR="00B31130" w:rsidRPr="0096164C">
          <w:rPr>
            <w:rStyle w:val="Hypertextovodkaz"/>
            <w:noProof/>
          </w:rPr>
          <w:t>5</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Míra stávajícího řešení problému</w:t>
        </w:r>
        <w:r w:rsidR="00B31130">
          <w:rPr>
            <w:noProof/>
            <w:webHidden/>
          </w:rPr>
          <w:tab/>
        </w:r>
        <w:r w:rsidR="00B31130">
          <w:rPr>
            <w:noProof/>
            <w:webHidden/>
          </w:rPr>
          <w:fldChar w:fldCharType="begin"/>
        </w:r>
        <w:r w:rsidR="00B31130">
          <w:rPr>
            <w:noProof/>
            <w:webHidden/>
          </w:rPr>
          <w:instrText xml:space="preserve"> PAGEREF _Toc81739177 \h </w:instrText>
        </w:r>
        <w:r w:rsidR="00B31130">
          <w:rPr>
            <w:noProof/>
            <w:webHidden/>
          </w:rPr>
        </w:r>
        <w:r w:rsidR="00B31130">
          <w:rPr>
            <w:noProof/>
            <w:webHidden/>
          </w:rPr>
          <w:fldChar w:fldCharType="separate"/>
        </w:r>
        <w:r w:rsidR="00B31130">
          <w:rPr>
            <w:noProof/>
            <w:webHidden/>
          </w:rPr>
          <w:t>21</w:t>
        </w:r>
        <w:r w:rsidR="00B31130">
          <w:rPr>
            <w:noProof/>
            <w:webHidden/>
          </w:rPr>
          <w:fldChar w:fldCharType="end"/>
        </w:r>
      </w:hyperlink>
    </w:p>
    <w:p w14:paraId="5CF459C8" w14:textId="29F9D1B9" w:rsidR="00B31130" w:rsidRDefault="00E07272">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39178" w:history="1">
        <w:r w:rsidR="00B31130" w:rsidRPr="0096164C">
          <w:rPr>
            <w:rStyle w:val="Hypertextovodkaz"/>
            <w:noProof/>
          </w:rPr>
          <w:t>5.1</w:t>
        </w:r>
        <w:r w:rsidR="00B31130">
          <w:rPr>
            <w:rFonts w:asciiTheme="minorHAnsi" w:eastAsiaTheme="minorEastAsia" w:hAnsiTheme="minorHAnsi"/>
            <w:smallCaps w:val="0"/>
            <w:noProof/>
            <w:sz w:val="24"/>
            <w:szCs w:val="24"/>
            <w:lang w:val="cs-CZ" w:eastAsia="cs-CZ"/>
          </w:rPr>
          <w:tab/>
        </w:r>
        <w:r w:rsidR="00B31130" w:rsidRPr="0096164C">
          <w:rPr>
            <w:rStyle w:val="Hypertextovodkaz"/>
            <w:noProof/>
          </w:rPr>
          <w:t>Míra řešení ve stávající SZP (úspěšnost/neúspěšnost)</w:t>
        </w:r>
        <w:r w:rsidR="00B31130">
          <w:rPr>
            <w:noProof/>
            <w:webHidden/>
          </w:rPr>
          <w:tab/>
        </w:r>
        <w:r w:rsidR="00B31130">
          <w:rPr>
            <w:noProof/>
            <w:webHidden/>
          </w:rPr>
          <w:fldChar w:fldCharType="begin"/>
        </w:r>
        <w:r w:rsidR="00B31130">
          <w:rPr>
            <w:noProof/>
            <w:webHidden/>
          </w:rPr>
          <w:instrText xml:space="preserve"> PAGEREF _Toc81739178 \h </w:instrText>
        </w:r>
        <w:r w:rsidR="00B31130">
          <w:rPr>
            <w:noProof/>
            <w:webHidden/>
          </w:rPr>
        </w:r>
        <w:r w:rsidR="00B31130">
          <w:rPr>
            <w:noProof/>
            <w:webHidden/>
          </w:rPr>
          <w:fldChar w:fldCharType="separate"/>
        </w:r>
        <w:r w:rsidR="00B31130">
          <w:rPr>
            <w:noProof/>
            <w:webHidden/>
          </w:rPr>
          <w:t>21</w:t>
        </w:r>
        <w:r w:rsidR="00B31130">
          <w:rPr>
            <w:noProof/>
            <w:webHidden/>
          </w:rPr>
          <w:fldChar w:fldCharType="end"/>
        </w:r>
      </w:hyperlink>
    </w:p>
    <w:p w14:paraId="252529F9" w14:textId="5F8162AB" w:rsidR="00B31130" w:rsidRDefault="00E07272">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39179" w:history="1">
        <w:r w:rsidR="00B31130" w:rsidRPr="0096164C">
          <w:rPr>
            <w:rStyle w:val="Hypertextovodkaz"/>
            <w:noProof/>
          </w:rPr>
          <w:t>5.2</w:t>
        </w:r>
        <w:r w:rsidR="00B31130">
          <w:rPr>
            <w:rFonts w:asciiTheme="minorHAnsi" w:eastAsiaTheme="minorEastAsia" w:hAnsiTheme="minorHAnsi"/>
            <w:smallCaps w:val="0"/>
            <w:noProof/>
            <w:sz w:val="24"/>
            <w:szCs w:val="24"/>
            <w:lang w:val="cs-CZ" w:eastAsia="cs-CZ"/>
          </w:rPr>
          <w:tab/>
        </w:r>
        <w:r w:rsidR="00B31130" w:rsidRPr="0096164C">
          <w:rPr>
            <w:rStyle w:val="Hypertextovodkaz"/>
            <w:noProof/>
          </w:rPr>
          <w:t>Míra současného řešení problému jinými politikami</w:t>
        </w:r>
        <w:r w:rsidR="00B31130">
          <w:rPr>
            <w:noProof/>
            <w:webHidden/>
          </w:rPr>
          <w:tab/>
        </w:r>
        <w:r w:rsidR="00B31130">
          <w:rPr>
            <w:noProof/>
            <w:webHidden/>
          </w:rPr>
          <w:fldChar w:fldCharType="begin"/>
        </w:r>
        <w:r w:rsidR="00B31130">
          <w:rPr>
            <w:noProof/>
            <w:webHidden/>
          </w:rPr>
          <w:instrText xml:space="preserve"> PAGEREF _Toc81739179 \h </w:instrText>
        </w:r>
        <w:r w:rsidR="00B31130">
          <w:rPr>
            <w:noProof/>
            <w:webHidden/>
          </w:rPr>
        </w:r>
        <w:r w:rsidR="00B31130">
          <w:rPr>
            <w:noProof/>
            <w:webHidden/>
          </w:rPr>
          <w:fldChar w:fldCharType="separate"/>
        </w:r>
        <w:r w:rsidR="00B31130">
          <w:rPr>
            <w:noProof/>
            <w:webHidden/>
          </w:rPr>
          <w:t>24</w:t>
        </w:r>
        <w:r w:rsidR="00B31130">
          <w:rPr>
            <w:noProof/>
            <w:webHidden/>
          </w:rPr>
          <w:fldChar w:fldCharType="end"/>
        </w:r>
      </w:hyperlink>
    </w:p>
    <w:p w14:paraId="1DC7F78C" w14:textId="23586C09"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180" w:history="1">
        <w:r w:rsidR="00B31130" w:rsidRPr="0096164C">
          <w:rPr>
            <w:rStyle w:val="Hypertextovodkaz"/>
            <w:noProof/>
          </w:rPr>
          <w:t>6</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Existence/neexistence možnosti efektivního řešení v rámci nástrojů SZP, které lze uvažovat v nových návrzích SZP</w:t>
        </w:r>
        <w:r w:rsidR="00B31130">
          <w:rPr>
            <w:noProof/>
            <w:webHidden/>
          </w:rPr>
          <w:tab/>
        </w:r>
        <w:r w:rsidR="00B31130">
          <w:rPr>
            <w:noProof/>
            <w:webHidden/>
          </w:rPr>
          <w:fldChar w:fldCharType="begin"/>
        </w:r>
        <w:r w:rsidR="00B31130">
          <w:rPr>
            <w:noProof/>
            <w:webHidden/>
          </w:rPr>
          <w:instrText xml:space="preserve"> PAGEREF _Toc81739180 \h </w:instrText>
        </w:r>
        <w:r w:rsidR="00B31130">
          <w:rPr>
            <w:noProof/>
            <w:webHidden/>
          </w:rPr>
        </w:r>
        <w:r w:rsidR="00B31130">
          <w:rPr>
            <w:noProof/>
            <w:webHidden/>
          </w:rPr>
          <w:fldChar w:fldCharType="separate"/>
        </w:r>
        <w:r w:rsidR="00B31130">
          <w:rPr>
            <w:noProof/>
            <w:webHidden/>
          </w:rPr>
          <w:t>27</w:t>
        </w:r>
        <w:r w:rsidR="00B31130">
          <w:rPr>
            <w:noProof/>
            <w:webHidden/>
          </w:rPr>
          <w:fldChar w:fldCharType="end"/>
        </w:r>
      </w:hyperlink>
    </w:p>
    <w:p w14:paraId="1B707148" w14:textId="6610DA23"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181" w:history="1">
        <w:r w:rsidR="00B31130" w:rsidRPr="0096164C">
          <w:rPr>
            <w:rStyle w:val="Hypertextovodkaz"/>
            <w:noProof/>
          </w:rPr>
          <w:t>7</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SWOT analýza</w:t>
        </w:r>
        <w:r w:rsidR="00B31130">
          <w:rPr>
            <w:noProof/>
            <w:webHidden/>
          </w:rPr>
          <w:tab/>
        </w:r>
        <w:r w:rsidR="00B31130">
          <w:rPr>
            <w:noProof/>
            <w:webHidden/>
          </w:rPr>
          <w:fldChar w:fldCharType="begin"/>
        </w:r>
        <w:r w:rsidR="00B31130">
          <w:rPr>
            <w:noProof/>
            <w:webHidden/>
          </w:rPr>
          <w:instrText xml:space="preserve"> PAGEREF _Toc81739181 \h </w:instrText>
        </w:r>
        <w:r w:rsidR="00B31130">
          <w:rPr>
            <w:noProof/>
            <w:webHidden/>
          </w:rPr>
        </w:r>
        <w:r w:rsidR="00B31130">
          <w:rPr>
            <w:noProof/>
            <w:webHidden/>
          </w:rPr>
          <w:fldChar w:fldCharType="separate"/>
        </w:r>
        <w:r w:rsidR="00B31130">
          <w:rPr>
            <w:noProof/>
            <w:webHidden/>
          </w:rPr>
          <w:t>33</w:t>
        </w:r>
        <w:r w:rsidR="00B31130">
          <w:rPr>
            <w:noProof/>
            <w:webHidden/>
          </w:rPr>
          <w:fldChar w:fldCharType="end"/>
        </w:r>
      </w:hyperlink>
    </w:p>
    <w:p w14:paraId="43B68C35" w14:textId="615A9E05" w:rsidR="00B31130" w:rsidRDefault="00E07272">
      <w:pPr>
        <w:pStyle w:val="Obsah1"/>
        <w:tabs>
          <w:tab w:val="right" w:leader="dot" w:pos="9062"/>
        </w:tabs>
        <w:rPr>
          <w:rFonts w:asciiTheme="minorHAnsi" w:eastAsiaTheme="minorEastAsia" w:hAnsiTheme="minorHAnsi"/>
          <w:b w:val="0"/>
          <w:bCs w:val="0"/>
          <w:caps w:val="0"/>
          <w:noProof/>
          <w:sz w:val="24"/>
          <w:szCs w:val="24"/>
          <w:lang w:val="cs-CZ" w:eastAsia="cs-CZ"/>
        </w:rPr>
      </w:pPr>
      <w:hyperlink w:anchor="_Toc81739182" w:history="1">
        <w:r w:rsidR="00B31130" w:rsidRPr="0096164C">
          <w:rPr>
            <w:rStyle w:val="Hypertextovodkaz"/>
            <w:rFonts w:cs="Times New Roman"/>
            <w:noProof/>
          </w:rPr>
          <w:t>VÍNO</w:t>
        </w:r>
        <w:r w:rsidR="00B31130">
          <w:rPr>
            <w:noProof/>
            <w:webHidden/>
          </w:rPr>
          <w:tab/>
        </w:r>
        <w:r w:rsidR="00B31130">
          <w:rPr>
            <w:noProof/>
            <w:webHidden/>
          </w:rPr>
          <w:fldChar w:fldCharType="begin"/>
        </w:r>
        <w:r w:rsidR="00B31130">
          <w:rPr>
            <w:noProof/>
            <w:webHidden/>
          </w:rPr>
          <w:instrText xml:space="preserve"> PAGEREF _Toc81739182 \h </w:instrText>
        </w:r>
        <w:r w:rsidR="00B31130">
          <w:rPr>
            <w:noProof/>
            <w:webHidden/>
          </w:rPr>
        </w:r>
        <w:r w:rsidR="00B31130">
          <w:rPr>
            <w:noProof/>
            <w:webHidden/>
          </w:rPr>
          <w:fldChar w:fldCharType="separate"/>
        </w:r>
        <w:r w:rsidR="00B31130">
          <w:rPr>
            <w:noProof/>
            <w:webHidden/>
          </w:rPr>
          <w:t>36</w:t>
        </w:r>
        <w:r w:rsidR="00B31130">
          <w:rPr>
            <w:noProof/>
            <w:webHidden/>
          </w:rPr>
          <w:fldChar w:fldCharType="end"/>
        </w:r>
      </w:hyperlink>
    </w:p>
    <w:p w14:paraId="4D2D97CF" w14:textId="019B3B55"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183" w:history="1">
        <w:r w:rsidR="00B31130" w:rsidRPr="0096164C">
          <w:rPr>
            <w:rStyle w:val="Hypertextovodkaz"/>
            <w:noProof/>
          </w:rPr>
          <w:t>1</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Analýza stávajících/navrhovaných právních předpisů EK/ČR a pravděpodobné nastavení směrů a cílů SZP</w:t>
        </w:r>
        <w:r w:rsidR="00B31130">
          <w:rPr>
            <w:noProof/>
            <w:webHidden/>
          </w:rPr>
          <w:tab/>
        </w:r>
        <w:r w:rsidR="00B31130">
          <w:rPr>
            <w:noProof/>
            <w:webHidden/>
          </w:rPr>
          <w:fldChar w:fldCharType="begin"/>
        </w:r>
        <w:r w:rsidR="00B31130">
          <w:rPr>
            <w:noProof/>
            <w:webHidden/>
          </w:rPr>
          <w:instrText xml:space="preserve"> PAGEREF _Toc81739183 \h </w:instrText>
        </w:r>
        <w:r w:rsidR="00B31130">
          <w:rPr>
            <w:noProof/>
            <w:webHidden/>
          </w:rPr>
        </w:r>
        <w:r w:rsidR="00B31130">
          <w:rPr>
            <w:noProof/>
            <w:webHidden/>
          </w:rPr>
          <w:fldChar w:fldCharType="separate"/>
        </w:r>
        <w:r w:rsidR="00B31130">
          <w:rPr>
            <w:noProof/>
            <w:webHidden/>
          </w:rPr>
          <w:t>36</w:t>
        </w:r>
        <w:r w:rsidR="00B31130">
          <w:rPr>
            <w:noProof/>
            <w:webHidden/>
          </w:rPr>
          <w:fldChar w:fldCharType="end"/>
        </w:r>
      </w:hyperlink>
    </w:p>
    <w:p w14:paraId="6925AFC5" w14:textId="4EBE48F8"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184" w:history="1">
        <w:r w:rsidR="00B31130" w:rsidRPr="0096164C">
          <w:rPr>
            <w:rStyle w:val="Hypertextovodkaz"/>
            <w:noProof/>
          </w:rPr>
          <w:t>2</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Co je skutečným problémem, na který má politika reagovat?</w:t>
        </w:r>
        <w:r w:rsidR="00B31130">
          <w:rPr>
            <w:noProof/>
            <w:webHidden/>
          </w:rPr>
          <w:tab/>
        </w:r>
        <w:r w:rsidR="00B31130">
          <w:rPr>
            <w:noProof/>
            <w:webHidden/>
          </w:rPr>
          <w:fldChar w:fldCharType="begin"/>
        </w:r>
        <w:r w:rsidR="00B31130">
          <w:rPr>
            <w:noProof/>
            <w:webHidden/>
          </w:rPr>
          <w:instrText xml:space="preserve"> PAGEREF _Toc81739184 \h </w:instrText>
        </w:r>
        <w:r w:rsidR="00B31130">
          <w:rPr>
            <w:noProof/>
            <w:webHidden/>
          </w:rPr>
        </w:r>
        <w:r w:rsidR="00B31130">
          <w:rPr>
            <w:noProof/>
            <w:webHidden/>
          </w:rPr>
          <w:fldChar w:fldCharType="separate"/>
        </w:r>
        <w:r w:rsidR="00B31130">
          <w:rPr>
            <w:noProof/>
            <w:webHidden/>
          </w:rPr>
          <w:t>37</w:t>
        </w:r>
        <w:r w:rsidR="00B31130">
          <w:rPr>
            <w:noProof/>
            <w:webHidden/>
          </w:rPr>
          <w:fldChar w:fldCharType="end"/>
        </w:r>
      </w:hyperlink>
    </w:p>
    <w:p w14:paraId="65D51505" w14:textId="7F8420F4"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185" w:history="1">
        <w:r w:rsidR="00B31130" w:rsidRPr="0096164C">
          <w:rPr>
            <w:rStyle w:val="Hypertextovodkaz"/>
            <w:noProof/>
          </w:rPr>
          <w:t>3</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Jaký je mechanizmus a příčiny tohoto problému?</w:t>
        </w:r>
        <w:r w:rsidR="00B31130">
          <w:rPr>
            <w:noProof/>
            <w:webHidden/>
          </w:rPr>
          <w:tab/>
        </w:r>
        <w:r w:rsidR="00B31130">
          <w:rPr>
            <w:noProof/>
            <w:webHidden/>
          </w:rPr>
          <w:fldChar w:fldCharType="begin"/>
        </w:r>
        <w:r w:rsidR="00B31130">
          <w:rPr>
            <w:noProof/>
            <w:webHidden/>
          </w:rPr>
          <w:instrText xml:space="preserve"> PAGEREF _Toc81739185 \h </w:instrText>
        </w:r>
        <w:r w:rsidR="00B31130">
          <w:rPr>
            <w:noProof/>
            <w:webHidden/>
          </w:rPr>
        </w:r>
        <w:r w:rsidR="00B31130">
          <w:rPr>
            <w:noProof/>
            <w:webHidden/>
          </w:rPr>
          <w:fldChar w:fldCharType="separate"/>
        </w:r>
        <w:r w:rsidR="00B31130">
          <w:rPr>
            <w:noProof/>
            <w:webHidden/>
          </w:rPr>
          <w:t>38</w:t>
        </w:r>
        <w:r w:rsidR="00B31130">
          <w:rPr>
            <w:noProof/>
            <w:webHidden/>
          </w:rPr>
          <w:fldChar w:fldCharType="end"/>
        </w:r>
      </w:hyperlink>
    </w:p>
    <w:p w14:paraId="3A9455B5" w14:textId="0CD70A44"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186" w:history="1">
        <w:r w:rsidR="00B31130" w:rsidRPr="0096164C">
          <w:rPr>
            <w:rStyle w:val="Hypertextovodkaz"/>
            <w:noProof/>
          </w:rPr>
          <w:t>4</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Jak závažný je tento problém?</w:t>
        </w:r>
        <w:r w:rsidR="00B31130">
          <w:rPr>
            <w:noProof/>
            <w:webHidden/>
          </w:rPr>
          <w:tab/>
        </w:r>
        <w:r w:rsidR="00B31130">
          <w:rPr>
            <w:noProof/>
            <w:webHidden/>
          </w:rPr>
          <w:fldChar w:fldCharType="begin"/>
        </w:r>
        <w:r w:rsidR="00B31130">
          <w:rPr>
            <w:noProof/>
            <w:webHidden/>
          </w:rPr>
          <w:instrText xml:space="preserve"> PAGEREF _Toc81739186 \h </w:instrText>
        </w:r>
        <w:r w:rsidR="00B31130">
          <w:rPr>
            <w:noProof/>
            <w:webHidden/>
          </w:rPr>
        </w:r>
        <w:r w:rsidR="00B31130">
          <w:rPr>
            <w:noProof/>
            <w:webHidden/>
          </w:rPr>
          <w:fldChar w:fldCharType="separate"/>
        </w:r>
        <w:r w:rsidR="00B31130">
          <w:rPr>
            <w:noProof/>
            <w:webHidden/>
          </w:rPr>
          <w:t>41</w:t>
        </w:r>
        <w:r w:rsidR="00B31130">
          <w:rPr>
            <w:noProof/>
            <w:webHidden/>
          </w:rPr>
          <w:fldChar w:fldCharType="end"/>
        </w:r>
      </w:hyperlink>
    </w:p>
    <w:p w14:paraId="67A8C204" w14:textId="3D47C618"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187" w:history="1">
        <w:r w:rsidR="00B31130" w:rsidRPr="0096164C">
          <w:rPr>
            <w:rStyle w:val="Hypertextovodkaz"/>
            <w:noProof/>
          </w:rPr>
          <w:t>5</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Míra stávajícího řešení problému</w:t>
        </w:r>
        <w:r w:rsidR="00B31130">
          <w:rPr>
            <w:noProof/>
            <w:webHidden/>
          </w:rPr>
          <w:tab/>
        </w:r>
        <w:r w:rsidR="00B31130">
          <w:rPr>
            <w:noProof/>
            <w:webHidden/>
          </w:rPr>
          <w:fldChar w:fldCharType="begin"/>
        </w:r>
        <w:r w:rsidR="00B31130">
          <w:rPr>
            <w:noProof/>
            <w:webHidden/>
          </w:rPr>
          <w:instrText xml:space="preserve"> PAGEREF _Toc81739187 \h </w:instrText>
        </w:r>
        <w:r w:rsidR="00B31130">
          <w:rPr>
            <w:noProof/>
            <w:webHidden/>
          </w:rPr>
        </w:r>
        <w:r w:rsidR="00B31130">
          <w:rPr>
            <w:noProof/>
            <w:webHidden/>
          </w:rPr>
          <w:fldChar w:fldCharType="separate"/>
        </w:r>
        <w:r w:rsidR="00B31130">
          <w:rPr>
            <w:noProof/>
            <w:webHidden/>
          </w:rPr>
          <w:t>42</w:t>
        </w:r>
        <w:r w:rsidR="00B31130">
          <w:rPr>
            <w:noProof/>
            <w:webHidden/>
          </w:rPr>
          <w:fldChar w:fldCharType="end"/>
        </w:r>
      </w:hyperlink>
    </w:p>
    <w:p w14:paraId="5027F54F" w14:textId="7854ABB3" w:rsidR="00B31130" w:rsidRDefault="00E07272">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39188" w:history="1">
        <w:r w:rsidR="00B31130" w:rsidRPr="0096164C">
          <w:rPr>
            <w:rStyle w:val="Hypertextovodkaz"/>
            <w:noProof/>
          </w:rPr>
          <w:t>5.1</w:t>
        </w:r>
        <w:r w:rsidR="00B31130">
          <w:rPr>
            <w:rFonts w:asciiTheme="minorHAnsi" w:eastAsiaTheme="minorEastAsia" w:hAnsiTheme="minorHAnsi"/>
            <w:smallCaps w:val="0"/>
            <w:noProof/>
            <w:sz w:val="24"/>
            <w:szCs w:val="24"/>
            <w:lang w:val="cs-CZ" w:eastAsia="cs-CZ"/>
          </w:rPr>
          <w:tab/>
        </w:r>
        <w:r w:rsidR="00B31130" w:rsidRPr="0096164C">
          <w:rPr>
            <w:rStyle w:val="Hypertextovodkaz"/>
            <w:noProof/>
          </w:rPr>
          <w:t>Míra řešení ve stávající SZP (úspěšnost/neúspěšnost)</w:t>
        </w:r>
        <w:r w:rsidR="00B31130">
          <w:rPr>
            <w:noProof/>
            <w:webHidden/>
          </w:rPr>
          <w:tab/>
        </w:r>
        <w:r w:rsidR="00B31130">
          <w:rPr>
            <w:noProof/>
            <w:webHidden/>
          </w:rPr>
          <w:fldChar w:fldCharType="begin"/>
        </w:r>
        <w:r w:rsidR="00B31130">
          <w:rPr>
            <w:noProof/>
            <w:webHidden/>
          </w:rPr>
          <w:instrText xml:space="preserve"> PAGEREF _Toc81739188 \h </w:instrText>
        </w:r>
        <w:r w:rsidR="00B31130">
          <w:rPr>
            <w:noProof/>
            <w:webHidden/>
          </w:rPr>
        </w:r>
        <w:r w:rsidR="00B31130">
          <w:rPr>
            <w:noProof/>
            <w:webHidden/>
          </w:rPr>
          <w:fldChar w:fldCharType="separate"/>
        </w:r>
        <w:r w:rsidR="00B31130">
          <w:rPr>
            <w:noProof/>
            <w:webHidden/>
          </w:rPr>
          <w:t>42</w:t>
        </w:r>
        <w:r w:rsidR="00B31130">
          <w:rPr>
            <w:noProof/>
            <w:webHidden/>
          </w:rPr>
          <w:fldChar w:fldCharType="end"/>
        </w:r>
      </w:hyperlink>
    </w:p>
    <w:p w14:paraId="27FABA15" w14:textId="34F8BCDA" w:rsidR="00B31130" w:rsidRDefault="00E07272">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39189" w:history="1">
        <w:r w:rsidR="00B31130" w:rsidRPr="0096164C">
          <w:rPr>
            <w:rStyle w:val="Hypertextovodkaz"/>
            <w:noProof/>
          </w:rPr>
          <w:t>5.2</w:t>
        </w:r>
        <w:r w:rsidR="00B31130">
          <w:rPr>
            <w:rFonts w:asciiTheme="minorHAnsi" w:eastAsiaTheme="minorEastAsia" w:hAnsiTheme="minorHAnsi"/>
            <w:smallCaps w:val="0"/>
            <w:noProof/>
            <w:sz w:val="24"/>
            <w:szCs w:val="24"/>
            <w:lang w:val="cs-CZ" w:eastAsia="cs-CZ"/>
          </w:rPr>
          <w:tab/>
        </w:r>
        <w:r w:rsidR="00B31130" w:rsidRPr="0096164C">
          <w:rPr>
            <w:rStyle w:val="Hypertextovodkaz"/>
            <w:noProof/>
          </w:rPr>
          <w:t>Míra současného řešení problému jinými politikami</w:t>
        </w:r>
        <w:r w:rsidR="00B31130">
          <w:rPr>
            <w:noProof/>
            <w:webHidden/>
          </w:rPr>
          <w:tab/>
        </w:r>
        <w:r w:rsidR="00B31130">
          <w:rPr>
            <w:noProof/>
            <w:webHidden/>
          </w:rPr>
          <w:fldChar w:fldCharType="begin"/>
        </w:r>
        <w:r w:rsidR="00B31130">
          <w:rPr>
            <w:noProof/>
            <w:webHidden/>
          </w:rPr>
          <w:instrText xml:space="preserve"> PAGEREF _Toc81739189 \h </w:instrText>
        </w:r>
        <w:r w:rsidR="00B31130">
          <w:rPr>
            <w:noProof/>
            <w:webHidden/>
          </w:rPr>
        </w:r>
        <w:r w:rsidR="00B31130">
          <w:rPr>
            <w:noProof/>
            <w:webHidden/>
          </w:rPr>
          <w:fldChar w:fldCharType="separate"/>
        </w:r>
        <w:r w:rsidR="00B31130">
          <w:rPr>
            <w:noProof/>
            <w:webHidden/>
          </w:rPr>
          <w:t>44</w:t>
        </w:r>
        <w:r w:rsidR="00B31130">
          <w:rPr>
            <w:noProof/>
            <w:webHidden/>
          </w:rPr>
          <w:fldChar w:fldCharType="end"/>
        </w:r>
      </w:hyperlink>
    </w:p>
    <w:p w14:paraId="58C17E0F" w14:textId="0C66851B"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190" w:history="1">
        <w:r w:rsidR="00B31130" w:rsidRPr="0096164C">
          <w:rPr>
            <w:rStyle w:val="Hypertextovodkaz"/>
            <w:noProof/>
          </w:rPr>
          <w:t>6</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Existence/neexistence možnosti efektivního řešení v rámci nástrojů SZP, které lze uvažovat v nových návrzích SZP</w:t>
        </w:r>
        <w:r w:rsidR="00B31130">
          <w:rPr>
            <w:noProof/>
            <w:webHidden/>
          </w:rPr>
          <w:tab/>
        </w:r>
        <w:r w:rsidR="00B31130">
          <w:rPr>
            <w:noProof/>
            <w:webHidden/>
          </w:rPr>
          <w:fldChar w:fldCharType="begin"/>
        </w:r>
        <w:r w:rsidR="00B31130">
          <w:rPr>
            <w:noProof/>
            <w:webHidden/>
          </w:rPr>
          <w:instrText xml:space="preserve"> PAGEREF _Toc81739190 \h </w:instrText>
        </w:r>
        <w:r w:rsidR="00B31130">
          <w:rPr>
            <w:noProof/>
            <w:webHidden/>
          </w:rPr>
        </w:r>
        <w:r w:rsidR="00B31130">
          <w:rPr>
            <w:noProof/>
            <w:webHidden/>
          </w:rPr>
          <w:fldChar w:fldCharType="separate"/>
        </w:r>
        <w:r w:rsidR="00B31130">
          <w:rPr>
            <w:noProof/>
            <w:webHidden/>
          </w:rPr>
          <w:t>47</w:t>
        </w:r>
        <w:r w:rsidR="00B31130">
          <w:rPr>
            <w:noProof/>
            <w:webHidden/>
          </w:rPr>
          <w:fldChar w:fldCharType="end"/>
        </w:r>
      </w:hyperlink>
    </w:p>
    <w:p w14:paraId="120DFBC4" w14:textId="46D52A66"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191" w:history="1">
        <w:r w:rsidR="00B31130" w:rsidRPr="0096164C">
          <w:rPr>
            <w:rStyle w:val="Hypertextovodkaz"/>
            <w:noProof/>
          </w:rPr>
          <w:t>7</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SWOT analýza</w:t>
        </w:r>
        <w:r w:rsidR="00B31130">
          <w:rPr>
            <w:noProof/>
            <w:webHidden/>
          </w:rPr>
          <w:tab/>
        </w:r>
        <w:r w:rsidR="00B31130">
          <w:rPr>
            <w:noProof/>
            <w:webHidden/>
          </w:rPr>
          <w:fldChar w:fldCharType="begin"/>
        </w:r>
        <w:r w:rsidR="00B31130">
          <w:rPr>
            <w:noProof/>
            <w:webHidden/>
          </w:rPr>
          <w:instrText xml:space="preserve"> PAGEREF _Toc81739191 \h </w:instrText>
        </w:r>
        <w:r w:rsidR="00B31130">
          <w:rPr>
            <w:noProof/>
            <w:webHidden/>
          </w:rPr>
        </w:r>
        <w:r w:rsidR="00B31130">
          <w:rPr>
            <w:noProof/>
            <w:webHidden/>
          </w:rPr>
          <w:fldChar w:fldCharType="separate"/>
        </w:r>
        <w:r w:rsidR="00B31130">
          <w:rPr>
            <w:noProof/>
            <w:webHidden/>
          </w:rPr>
          <w:t>50</w:t>
        </w:r>
        <w:r w:rsidR="00B31130">
          <w:rPr>
            <w:noProof/>
            <w:webHidden/>
          </w:rPr>
          <w:fldChar w:fldCharType="end"/>
        </w:r>
      </w:hyperlink>
    </w:p>
    <w:p w14:paraId="3D803A69" w14:textId="54C2FD8D" w:rsidR="00B31130" w:rsidRDefault="00E07272">
      <w:pPr>
        <w:pStyle w:val="Obsah1"/>
        <w:tabs>
          <w:tab w:val="right" w:leader="dot" w:pos="9062"/>
        </w:tabs>
        <w:rPr>
          <w:rFonts w:asciiTheme="minorHAnsi" w:eastAsiaTheme="minorEastAsia" w:hAnsiTheme="minorHAnsi"/>
          <w:b w:val="0"/>
          <w:bCs w:val="0"/>
          <w:caps w:val="0"/>
          <w:noProof/>
          <w:sz w:val="24"/>
          <w:szCs w:val="24"/>
          <w:lang w:val="cs-CZ" w:eastAsia="cs-CZ"/>
        </w:rPr>
      </w:pPr>
      <w:hyperlink w:anchor="_Toc81739192" w:history="1">
        <w:r w:rsidR="00B31130" w:rsidRPr="0096164C">
          <w:rPr>
            <w:rStyle w:val="Hypertextovodkaz"/>
            <w:noProof/>
          </w:rPr>
          <w:t>BRAMBORY</w:t>
        </w:r>
        <w:r w:rsidR="00B31130">
          <w:rPr>
            <w:noProof/>
            <w:webHidden/>
          </w:rPr>
          <w:tab/>
        </w:r>
        <w:r w:rsidR="00B31130">
          <w:rPr>
            <w:noProof/>
            <w:webHidden/>
          </w:rPr>
          <w:fldChar w:fldCharType="begin"/>
        </w:r>
        <w:r w:rsidR="00B31130">
          <w:rPr>
            <w:noProof/>
            <w:webHidden/>
          </w:rPr>
          <w:instrText xml:space="preserve"> PAGEREF _Toc81739192 \h </w:instrText>
        </w:r>
        <w:r w:rsidR="00B31130">
          <w:rPr>
            <w:noProof/>
            <w:webHidden/>
          </w:rPr>
        </w:r>
        <w:r w:rsidR="00B31130">
          <w:rPr>
            <w:noProof/>
            <w:webHidden/>
          </w:rPr>
          <w:fldChar w:fldCharType="separate"/>
        </w:r>
        <w:r w:rsidR="00B31130">
          <w:rPr>
            <w:noProof/>
            <w:webHidden/>
          </w:rPr>
          <w:t>51</w:t>
        </w:r>
        <w:r w:rsidR="00B31130">
          <w:rPr>
            <w:noProof/>
            <w:webHidden/>
          </w:rPr>
          <w:fldChar w:fldCharType="end"/>
        </w:r>
      </w:hyperlink>
    </w:p>
    <w:p w14:paraId="7B4DAE6D" w14:textId="260C92EE"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193" w:history="1">
        <w:r w:rsidR="00B31130" w:rsidRPr="0096164C">
          <w:rPr>
            <w:rStyle w:val="Hypertextovodkaz"/>
            <w:noProof/>
          </w:rPr>
          <w:t>1</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Analýza stávajících/navrhovaných právních předpisů EK/ČR a pravděpodobné nastavení směrů a cílů SZP</w:t>
        </w:r>
        <w:r w:rsidR="00B31130">
          <w:rPr>
            <w:noProof/>
            <w:webHidden/>
          </w:rPr>
          <w:tab/>
        </w:r>
        <w:r w:rsidR="00B31130">
          <w:rPr>
            <w:noProof/>
            <w:webHidden/>
          </w:rPr>
          <w:fldChar w:fldCharType="begin"/>
        </w:r>
        <w:r w:rsidR="00B31130">
          <w:rPr>
            <w:noProof/>
            <w:webHidden/>
          </w:rPr>
          <w:instrText xml:space="preserve"> PAGEREF _Toc81739193 \h </w:instrText>
        </w:r>
        <w:r w:rsidR="00B31130">
          <w:rPr>
            <w:noProof/>
            <w:webHidden/>
          </w:rPr>
        </w:r>
        <w:r w:rsidR="00B31130">
          <w:rPr>
            <w:noProof/>
            <w:webHidden/>
          </w:rPr>
          <w:fldChar w:fldCharType="separate"/>
        </w:r>
        <w:r w:rsidR="00B31130">
          <w:rPr>
            <w:noProof/>
            <w:webHidden/>
          </w:rPr>
          <w:t>51</w:t>
        </w:r>
        <w:r w:rsidR="00B31130">
          <w:rPr>
            <w:noProof/>
            <w:webHidden/>
          </w:rPr>
          <w:fldChar w:fldCharType="end"/>
        </w:r>
      </w:hyperlink>
    </w:p>
    <w:p w14:paraId="6E297518" w14:textId="00C4FFAD"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194" w:history="1">
        <w:r w:rsidR="00B31130" w:rsidRPr="0096164C">
          <w:rPr>
            <w:rStyle w:val="Hypertextovodkaz"/>
            <w:noProof/>
          </w:rPr>
          <w:t>2</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Co je skutečným problémem, na který má politika reagovat?</w:t>
        </w:r>
        <w:r w:rsidR="00B31130">
          <w:rPr>
            <w:noProof/>
            <w:webHidden/>
          </w:rPr>
          <w:tab/>
        </w:r>
        <w:r w:rsidR="00B31130">
          <w:rPr>
            <w:noProof/>
            <w:webHidden/>
          </w:rPr>
          <w:fldChar w:fldCharType="begin"/>
        </w:r>
        <w:r w:rsidR="00B31130">
          <w:rPr>
            <w:noProof/>
            <w:webHidden/>
          </w:rPr>
          <w:instrText xml:space="preserve"> PAGEREF _Toc81739194 \h </w:instrText>
        </w:r>
        <w:r w:rsidR="00B31130">
          <w:rPr>
            <w:noProof/>
            <w:webHidden/>
          </w:rPr>
        </w:r>
        <w:r w:rsidR="00B31130">
          <w:rPr>
            <w:noProof/>
            <w:webHidden/>
          </w:rPr>
          <w:fldChar w:fldCharType="separate"/>
        </w:r>
        <w:r w:rsidR="00B31130">
          <w:rPr>
            <w:noProof/>
            <w:webHidden/>
          </w:rPr>
          <w:t>52</w:t>
        </w:r>
        <w:r w:rsidR="00B31130">
          <w:rPr>
            <w:noProof/>
            <w:webHidden/>
          </w:rPr>
          <w:fldChar w:fldCharType="end"/>
        </w:r>
      </w:hyperlink>
    </w:p>
    <w:p w14:paraId="477E1055" w14:textId="20496705"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195" w:history="1">
        <w:r w:rsidR="00B31130" w:rsidRPr="0096164C">
          <w:rPr>
            <w:rStyle w:val="Hypertextovodkaz"/>
            <w:noProof/>
          </w:rPr>
          <w:t>3</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Jaký je mechanismus a příčiny tohoto problému?</w:t>
        </w:r>
        <w:r w:rsidR="00B31130">
          <w:rPr>
            <w:noProof/>
            <w:webHidden/>
          </w:rPr>
          <w:tab/>
        </w:r>
        <w:r w:rsidR="00B31130">
          <w:rPr>
            <w:noProof/>
            <w:webHidden/>
          </w:rPr>
          <w:fldChar w:fldCharType="begin"/>
        </w:r>
        <w:r w:rsidR="00B31130">
          <w:rPr>
            <w:noProof/>
            <w:webHidden/>
          </w:rPr>
          <w:instrText xml:space="preserve"> PAGEREF _Toc81739195 \h </w:instrText>
        </w:r>
        <w:r w:rsidR="00B31130">
          <w:rPr>
            <w:noProof/>
            <w:webHidden/>
          </w:rPr>
        </w:r>
        <w:r w:rsidR="00B31130">
          <w:rPr>
            <w:noProof/>
            <w:webHidden/>
          </w:rPr>
          <w:fldChar w:fldCharType="separate"/>
        </w:r>
        <w:r w:rsidR="00B31130">
          <w:rPr>
            <w:noProof/>
            <w:webHidden/>
          </w:rPr>
          <w:t>53</w:t>
        </w:r>
        <w:r w:rsidR="00B31130">
          <w:rPr>
            <w:noProof/>
            <w:webHidden/>
          </w:rPr>
          <w:fldChar w:fldCharType="end"/>
        </w:r>
      </w:hyperlink>
    </w:p>
    <w:p w14:paraId="4A455509" w14:textId="5C65EAB7"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196" w:history="1">
        <w:r w:rsidR="00B31130" w:rsidRPr="0096164C">
          <w:rPr>
            <w:rStyle w:val="Hypertextovodkaz"/>
            <w:noProof/>
          </w:rPr>
          <w:t>4</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Jak závažný je tento problém?</w:t>
        </w:r>
        <w:r w:rsidR="00B31130">
          <w:rPr>
            <w:noProof/>
            <w:webHidden/>
          </w:rPr>
          <w:tab/>
        </w:r>
        <w:r w:rsidR="00B31130">
          <w:rPr>
            <w:noProof/>
            <w:webHidden/>
          </w:rPr>
          <w:fldChar w:fldCharType="begin"/>
        </w:r>
        <w:r w:rsidR="00B31130">
          <w:rPr>
            <w:noProof/>
            <w:webHidden/>
          </w:rPr>
          <w:instrText xml:space="preserve"> PAGEREF _Toc81739196 \h </w:instrText>
        </w:r>
        <w:r w:rsidR="00B31130">
          <w:rPr>
            <w:noProof/>
            <w:webHidden/>
          </w:rPr>
        </w:r>
        <w:r w:rsidR="00B31130">
          <w:rPr>
            <w:noProof/>
            <w:webHidden/>
          </w:rPr>
          <w:fldChar w:fldCharType="separate"/>
        </w:r>
        <w:r w:rsidR="00B31130">
          <w:rPr>
            <w:noProof/>
            <w:webHidden/>
          </w:rPr>
          <w:t>57</w:t>
        </w:r>
        <w:r w:rsidR="00B31130">
          <w:rPr>
            <w:noProof/>
            <w:webHidden/>
          </w:rPr>
          <w:fldChar w:fldCharType="end"/>
        </w:r>
      </w:hyperlink>
    </w:p>
    <w:p w14:paraId="60DC1109" w14:textId="3B569C72"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197" w:history="1">
        <w:r w:rsidR="00B31130" w:rsidRPr="0096164C">
          <w:rPr>
            <w:rStyle w:val="Hypertextovodkaz"/>
            <w:noProof/>
          </w:rPr>
          <w:t>5</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Míra stávajícího řešení problému</w:t>
        </w:r>
        <w:r w:rsidR="00B31130">
          <w:rPr>
            <w:noProof/>
            <w:webHidden/>
          </w:rPr>
          <w:tab/>
        </w:r>
        <w:r w:rsidR="00B31130">
          <w:rPr>
            <w:noProof/>
            <w:webHidden/>
          </w:rPr>
          <w:fldChar w:fldCharType="begin"/>
        </w:r>
        <w:r w:rsidR="00B31130">
          <w:rPr>
            <w:noProof/>
            <w:webHidden/>
          </w:rPr>
          <w:instrText xml:space="preserve"> PAGEREF _Toc81739197 \h </w:instrText>
        </w:r>
        <w:r w:rsidR="00B31130">
          <w:rPr>
            <w:noProof/>
            <w:webHidden/>
          </w:rPr>
        </w:r>
        <w:r w:rsidR="00B31130">
          <w:rPr>
            <w:noProof/>
            <w:webHidden/>
          </w:rPr>
          <w:fldChar w:fldCharType="separate"/>
        </w:r>
        <w:r w:rsidR="00B31130">
          <w:rPr>
            <w:noProof/>
            <w:webHidden/>
          </w:rPr>
          <w:t>57</w:t>
        </w:r>
        <w:r w:rsidR="00B31130">
          <w:rPr>
            <w:noProof/>
            <w:webHidden/>
          </w:rPr>
          <w:fldChar w:fldCharType="end"/>
        </w:r>
      </w:hyperlink>
    </w:p>
    <w:p w14:paraId="75866D25" w14:textId="00849EF7" w:rsidR="00B31130" w:rsidRDefault="00E07272">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39198" w:history="1">
        <w:r w:rsidR="00B31130" w:rsidRPr="0096164C">
          <w:rPr>
            <w:rStyle w:val="Hypertextovodkaz"/>
            <w:noProof/>
          </w:rPr>
          <w:t>5.1</w:t>
        </w:r>
        <w:r w:rsidR="00B31130">
          <w:rPr>
            <w:rFonts w:asciiTheme="minorHAnsi" w:eastAsiaTheme="minorEastAsia" w:hAnsiTheme="minorHAnsi"/>
            <w:smallCaps w:val="0"/>
            <w:noProof/>
            <w:sz w:val="24"/>
            <w:szCs w:val="24"/>
            <w:lang w:val="cs-CZ" w:eastAsia="cs-CZ"/>
          </w:rPr>
          <w:tab/>
        </w:r>
        <w:r w:rsidR="00B31130" w:rsidRPr="0096164C">
          <w:rPr>
            <w:rStyle w:val="Hypertextovodkaz"/>
            <w:noProof/>
          </w:rPr>
          <w:t>Míra řešení ve stávající SZP (úspěšnost/neúspěšnost)</w:t>
        </w:r>
        <w:r w:rsidR="00B31130">
          <w:rPr>
            <w:noProof/>
            <w:webHidden/>
          </w:rPr>
          <w:tab/>
        </w:r>
        <w:r w:rsidR="00B31130">
          <w:rPr>
            <w:noProof/>
            <w:webHidden/>
          </w:rPr>
          <w:fldChar w:fldCharType="begin"/>
        </w:r>
        <w:r w:rsidR="00B31130">
          <w:rPr>
            <w:noProof/>
            <w:webHidden/>
          </w:rPr>
          <w:instrText xml:space="preserve"> PAGEREF _Toc81739198 \h </w:instrText>
        </w:r>
        <w:r w:rsidR="00B31130">
          <w:rPr>
            <w:noProof/>
            <w:webHidden/>
          </w:rPr>
        </w:r>
        <w:r w:rsidR="00B31130">
          <w:rPr>
            <w:noProof/>
            <w:webHidden/>
          </w:rPr>
          <w:fldChar w:fldCharType="separate"/>
        </w:r>
        <w:r w:rsidR="00B31130">
          <w:rPr>
            <w:noProof/>
            <w:webHidden/>
          </w:rPr>
          <w:t>57</w:t>
        </w:r>
        <w:r w:rsidR="00B31130">
          <w:rPr>
            <w:noProof/>
            <w:webHidden/>
          </w:rPr>
          <w:fldChar w:fldCharType="end"/>
        </w:r>
      </w:hyperlink>
    </w:p>
    <w:p w14:paraId="41160D57" w14:textId="14F93179" w:rsidR="00B31130" w:rsidRDefault="00E07272">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39199" w:history="1">
        <w:r w:rsidR="00B31130" w:rsidRPr="0096164C">
          <w:rPr>
            <w:rStyle w:val="Hypertextovodkaz"/>
            <w:noProof/>
          </w:rPr>
          <w:t>5.2</w:t>
        </w:r>
        <w:r w:rsidR="00B31130">
          <w:rPr>
            <w:rFonts w:asciiTheme="minorHAnsi" w:eastAsiaTheme="minorEastAsia" w:hAnsiTheme="minorHAnsi"/>
            <w:smallCaps w:val="0"/>
            <w:noProof/>
            <w:sz w:val="24"/>
            <w:szCs w:val="24"/>
            <w:lang w:val="cs-CZ" w:eastAsia="cs-CZ"/>
          </w:rPr>
          <w:tab/>
        </w:r>
        <w:r w:rsidR="00B31130" w:rsidRPr="0096164C">
          <w:rPr>
            <w:rStyle w:val="Hypertextovodkaz"/>
            <w:noProof/>
          </w:rPr>
          <w:t>Míra současného řešení problému jinými politikami</w:t>
        </w:r>
        <w:r w:rsidR="00B31130">
          <w:rPr>
            <w:noProof/>
            <w:webHidden/>
          </w:rPr>
          <w:tab/>
        </w:r>
        <w:r w:rsidR="00B31130">
          <w:rPr>
            <w:noProof/>
            <w:webHidden/>
          </w:rPr>
          <w:fldChar w:fldCharType="begin"/>
        </w:r>
        <w:r w:rsidR="00B31130">
          <w:rPr>
            <w:noProof/>
            <w:webHidden/>
          </w:rPr>
          <w:instrText xml:space="preserve"> PAGEREF _Toc81739199 \h </w:instrText>
        </w:r>
        <w:r w:rsidR="00B31130">
          <w:rPr>
            <w:noProof/>
            <w:webHidden/>
          </w:rPr>
        </w:r>
        <w:r w:rsidR="00B31130">
          <w:rPr>
            <w:noProof/>
            <w:webHidden/>
          </w:rPr>
          <w:fldChar w:fldCharType="separate"/>
        </w:r>
        <w:r w:rsidR="00B31130">
          <w:rPr>
            <w:noProof/>
            <w:webHidden/>
          </w:rPr>
          <w:t>60</w:t>
        </w:r>
        <w:r w:rsidR="00B31130">
          <w:rPr>
            <w:noProof/>
            <w:webHidden/>
          </w:rPr>
          <w:fldChar w:fldCharType="end"/>
        </w:r>
      </w:hyperlink>
    </w:p>
    <w:p w14:paraId="060AA7D6" w14:textId="69F61EA9"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00" w:history="1">
        <w:r w:rsidR="00B31130" w:rsidRPr="0096164C">
          <w:rPr>
            <w:rStyle w:val="Hypertextovodkaz"/>
            <w:noProof/>
          </w:rPr>
          <w:t>6</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Existence/neexistence možnosti efektivního řešení v rámci nástrojů SZP, které lze uvažovat v nových návrzích SZP</w:t>
        </w:r>
        <w:r w:rsidR="00B31130">
          <w:rPr>
            <w:noProof/>
            <w:webHidden/>
          </w:rPr>
          <w:tab/>
        </w:r>
        <w:r w:rsidR="00B31130">
          <w:rPr>
            <w:noProof/>
            <w:webHidden/>
          </w:rPr>
          <w:fldChar w:fldCharType="begin"/>
        </w:r>
        <w:r w:rsidR="00B31130">
          <w:rPr>
            <w:noProof/>
            <w:webHidden/>
          </w:rPr>
          <w:instrText xml:space="preserve"> PAGEREF _Toc81739200 \h </w:instrText>
        </w:r>
        <w:r w:rsidR="00B31130">
          <w:rPr>
            <w:noProof/>
            <w:webHidden/>
          </w:rPr>
        </w:r>
        <w:r w:rsidR="00B31130">
          <w:rPr>
            <w:noProof/>
            <w:webHidden/>
          </w:rPr>
          <w:fldChar w:fldCharType="separate"/>
        </w:r>
        <w:r w:rsidR="00B31130">
          <w:rPr>
            <w:noProof/>
            <w:webHidden/>
          </w:rPr>
          <w:t>61</w:t>
        </w:r>
        <w:r w:rsidR="00B31130">
          <w:rPr>
            <w:noProof/>
            <w:webHidden/>
          </w:rPr>
          <w:fldChar w:fldCharType="end"/>
        </w:r>
      </w:hyperlink>
    </w:p>
    <w:p w14:paraId="61D57F6D" w14:textId="0200F718"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01" w:history="1">
        <w:r w:rsidR="00B31130" w:rsidRPr="0096164C">
          <w:rPr>
            <w:rStyle w:val="Hypertextovodkaz"/>
            <w:noProof/>
          </w:rPr>
          <w:t>7</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SWOT analýza</w:t>
        </w:r>
        <w:r w:rsidR="00B31130">
          <w:rPr>
            <w:noProof/>
            <w:webHidden/>
          </w:rPr>
          <w:tab/>
        </w:r>
        <w:r w:rsidR="00B31130">
          <w:rPr>
            <w:noProof/>
            <w:webHidden/>
          </w:rPr>
          <w:fldChar w:fldCharType="begin"/>
        </w:r>
        <w:r w:rsidR="00B31130">
          <w:rPr>
            <w:noProof/>
            <w:webHidden/>
          </w:rPr>
          <w:instrText xml:space="preserve"> PAGEREF _Toc81739201 \h </w:instrText>
        </w:r>
        <w:r w:rsidR="00B31130">
          <w:rPr>
            <w:noProof/>
            <w:webHidden/>
          </w:rPr>
        </w:r>
        <w:r w:rsidR="00B31130">
          <w:rPr>
            <w:noProof/>
            <w:webHidden/>
          </w:rPr>
          <w:fldChar w:fldCharType="separate"/>
        </w:r>
        <w:r w:rsidR="00B31130">
          <w:rPr>
            <w:noProof/>
            <w:webHidden/>
          </w:rPr>
          <w:t>67</w:t>
        </w:r>
        <w:r w:rsidR="00B31130">
          <w:rPr>
            <w:noProof/>
            <w:webHidden/>
          </w:rPr>
          <w:fldChar w:fldCharType="end"/>
        </w:r>
      </w:hyperlink>
    </w:p>
    <w:p w14:paraId="56866BC3" w14:textId="2CDCB75B" w:rsidR="00B31130" w:rsidRDefault="00E07272">
      <w:pPr>
        <w:pStyle w:val="Obsah1"/>
        <w:tabs>
          <w:tab w:val="right" w:leader="dot" w:pos="9062"/>
        </w:tabs>
        <w:rPr>
          <w:rFonts w:asciiTheme="minorHAnsi" w:eastAsiaTheme="minorEastAsia" w:hAnsiTheme="minorHAnsi"/>
          <w:b w:val="0"/>
          <w:bCs w:val="0"/>
          <w:caps w:val="0"/>
          <w:noProof/>
          <w:sz w:val="24"/>
          <w:szCs w:val="24"/>
          <w:lang w:val="cs-CZ" w:eastAsia="cs-CZ"/>
        </w:rPr>
      </w:pPr>
      <w:hyperlink w:anchor="_Toc81739202" w:history="1">
        <w:r w:rsidR="00B31130" w:rsidRPr="0096164C">
          <w:rPr>
            <w:rStyle w:val="Hypertextovodkaz"/>
            <w:noProof/>
          </w:rPr>
          <w:t>CUKROVÁ ŘEPA</w:t>
        </w:r>
        <w:r w:rsidR="00B31130">
          <w:rPr>
            <w:noProof/>
            <w:webHidden/>
          </w:rPr>
          <w:tab/>
        </w:r>
        <w:r w:rsidR="00B31130">
          <w:rPr>
            <w:noProof/>
            <w:webHidden/>
          </w:rPr>
          <w:fldChar w:fldCharType="begin"/>
        </w:r>
        <w:r w:rsidR="00B31130">
          <w:rPr>
            <w:noProof/>
            <w:webHidden/>
          </w:rPr>
          <w:instrText xml:space="preserve"> PAGEREF _Toc81739202 \h </w:instrText>
        </w:r>
        <w:r w:rsidR="00B31130">
          <w:rPr>
            <w:noProof/>
            <w:webHidden/>
          </w:rPr>
        </w:r>
        <w:r w:rsidR="00B31130">
          <w:rPr>
            <w:noProof/>
            <w:webHidden/>
          </w:rPr>
          <w:fldChar w:fldCharType="separate"/>
        </w:r>
        <w:r w:rsidR="00B31130">
          <w:rPr>
            <w:noProof/>
            <w:webHidden/>
          </w:rPr>
          <w:t>69</w:t>
        </w:r>
        <w:r w:rsidR="00B31130">
          <w:rPr>
            <w:noProof/>
            <w:webHidden/>
          </w:rPr>
          <w:fldChar w:fldCharType="end"/>
        </w:r>
      </w:hyperlink>
    </w:p>
    <w:p w14:paraId="7DE0F8A5" w14:textId="5436B51E"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03" w:history="1">
        <w:r w:rsidR="00B31130" w:rsidRPr="0096164C">
          <w:rPr>
            <w:rStyle w:val="Hypertextovodkaz"/>
            <w:noProof/>
          </w:rPr>
          <w:t>1</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Analýza stávajících/navrhovaných právních předpisů EK/ČR a pravděpodobné nastavení směrů a cílů SZP</w:t>
        </w:r>
        <w:r w:rsidR="00B31130">
          <w:rPr>
            <w:noProof/>
            <w:webHidden/>
          </w:rPr>
          <w:tab/>
        </w:r>
        <w:r w:rsidR="00B31130">
          <w:rPr>
            <w:noProof/>
            <w:webHidden/>
          </w:rPr>
          <w:fldChar w:fldCharType="begin"/>
        </w:r>
        <w:r w:rsidR="00B31130">
          <w:rPr>
            <w:noProof/>
            <w:webHidden/>
          </w:rPr>
          <w:instrText xml:space="preserve"> PAGEREF _Toc81739203 \h </w:instrText>
        </w:r>
        <w:r w:rsidR="00B31130">
          <w:rPr>
            <w:noProof/>
            <w:webHidden/>
          </w:rPr>
        </w:r>
        <w:r w:rsidR="00B31130">
          <w:rPr>
            <w:noProof/>
            <w:webHidden/>
          </w:rPr>
          <w:fldChar w:fldCharType="separate"/>
        </w:r>
        <w:r w:rsidR="00B31130">
          <w:rPr>
            <w:noProof/>
            <w:webHidden/>
          </w:rPr>
          <w:t>69</w:t>
        </w:r>
        <w:r w:rsidR="00B31130">
          <w:rPr>
            <w:noProof/>
            <w:webHidden/>
          </w:rPr>
          <w:fldChar w:fldCharType="end"/>
        </w:r>
      </w:hyperlink>
    </w:p>
    <w:p w14:paraId="3AAFC5DB" w14:textId="3629389B"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04" w:history="1">
        <w:r w:rsidR="00B31130" w:rsidRPr="0096164C">
          <w:rPr>
            <w:rStyle w:val="Hypertextovodkaz"/>
            <w:noProof/>
          </w:rPr>
          <w:t>2</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Co je skutečným problémem, na který má politika reagovat?</w:t>
        </w:r>
        <w:r w:rsidR="00B31130">
          <w:rPr>
            <w:noProof/>
            <w:webHidden/>
          </w:rPr>
          <w:tab/>
        </w:r>
        <w:r w:rsidR="00B31130">
          <w:rPr>
            <w:noProof/>
            <w:webHidden/>
          </w:rPr>
          <w:fldChar w:fldCharType="begin"/>
        </w:r>
        <w:r w:rsidR="00B31130">
          <w:rPr>
            <w:noProof/>
            <w:webHidden/>
          </w:rPr>
          <w:instrText xml:space="preserve"> PAGEREF _Toc81739204 \h </w:instrText>
        </w:r>
        <w:r w:rsidR="00B31130">
          <w:rPr>
            <w:noProof/>
            <w:webHidden/>
          </w:rPr>
        </w:r>
        <w:r w:rsidR="00B31130">
          <w:rPr>
            <w:noProof/>
            <w:webHidden/>
          </w:rPr>
          <w:fldChar w:fldCharType="separate"/>
        </w:r>
        <w:r w:rsidR="00B31130">
          <w:rPr>
            <w:noProof/>
            <w:webHidden/>
          </w:rPr>
          <w:t>70</w:t>
        </w:r>
        <w:r w:rsidR="00B31130">
          <w:rPr>
            <w:noProof/>
            <w:webHidden/>
          </w:rPr>
          <w:fldChar w:fldCharType="end"/>
        </w:r>
      </w:hyperlink>
    </w:p>
    <w:p w14:paraId="04463C67" w14:textId="63080F5A"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05" w:history="1">
        <w:r w:rsidR="00B31130" w:rsidRPr="0096164C">
          <w:rPr>
            <w:rStyle w:val="Hypertextovodkaz"/>
            <w:noProof/>
          </w:rPr>
          <w:t>3</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Jaký je mechanismus a příčiny tohoto problému?</w:t>
        </w:r>
        <w:r w:rsidR="00B31130">
          <w:rPr>
            <w:noProof/>
            <w:webHidden/>
          </w:rPr>
          <w:tab/>
        </w:r>
        <w:r w:rsidR="00B31130">
          <w:rPr>
            <w:noProof/>
            <w:webHidden/>
          </w:rPr>
          <w:fldChar w:fldCharType="begin"/>
        </w:r>
        <w:r w:rsidR="00B31130">
          <w:rPr>
            <w:noProof/>
            <w:webHidden/>
          </w:rPr>
          <w:instrText xml:space="preserve"> PAGEREF _Toc81739205 \h </w:instrText>
        </w:r>
        <w:r w:rsidR="00B31130">
          <w:rPr>
            <w:noProof/>
            <w:webHidden/>
          </w:rPr>
        </w:r>
        <w:r w:rsidR="00B31130">
          <w:rPr>
            <w:noProof/>
            <w:webHidden/>
          </w:rPr>
          <w:fldChar w:fldCharType="separate"/>
        </w:r>
        <w:r w:rsidR="00B31130">
          <w:rPr>
            <w:noProof/>
            <w:webHidden/>
          </w:rPr>
          <w:t>71</w:t>
        </w:r>
        <w:r w:rsidR="00B31130">
          <w:rPr>
            <w:noProof/>
            <w:webHidden/>
          </w:rPr>
          <w:fldChar w:fldCharType="end"/>
        </w:r>
      </w:hyperlink>
    </w:p>
    <w:p w14:paraId="1587E6BB" w14:textId="485B71FE"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06" w:history="1">
        <w:r w:rsidR="00B31130" w:rsidRPr="0096164C">
          <w:rPr>
            <w:rStyle w:val="Hypertextovodkaz"/>
            <w:noProof/>
          </w:rPr>
          <w:t>4</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Jak závažný je tento problém?</w:t>
        </w:r>
        <w:r w:rsidR="00B31130">
          <w:rPr>
            <w:noProof/>
            <w:webHidden/>
          </w:rPr>
          <w:tab/>
        </w:r>
        <w:r w:rsidR="00B31130">
          <w:rPr>
            <w:noProof/>
            <w:webHidden/>
          </w:rPr>
          <w:fldChar w:fldCharType="begin"/>
        </w:r>
        <w:r w:rsidR="00B31130">
          <w:rPr>
            <w:noProof/>
            <w:webHidden/>
          </w:rPr>
          <w:instrText xml:space="preserve"> PAGEREF _Toc81739206 \h </w:instrText>
        </w:r>
        <w:r w:rsidR="00B31130">
          <w:rPr>
            <w:noProof/>
            <w:webHidden/>
          </w:rPr>
        </w:r>
        <w:r w:rsidR="00B31130">
          <w:rPr>
            <w:noProof/>
            <w:webHidden/>
          </w:rPr>
          <w:fldChar w:fldCharType="separate"/>
        </w:r>
        <w:r w:rsidR="00B31130">
          <w:rPr>
            <w:noProof/>
            <w:webHidden/>
          </w:rPr>
          <w:t>74</w:t>
        </w:r>
        <w:r w:rsidR="00B31130">
          <w:rPr>
            <w:noProof/>
            <w:webHidden/>
          </w:rPr>
          <w:fldChar w:fldCharType="end"/>
        </w:r>
      </w:hyperlink>
    </w:p>
    <w:p w14:paraId="19AB46F6" w14:textId="0C1688E9"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07" w:history="1">
        <w:r w:rsidR="00B31130" w:rsidRPr="0096164C">
          <w:rPr>
            <w:rStyle w:val="Hypertextovodkaz"/>
            <w:noProof/>
          </w:rPr>
          <w:t>5</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Míra stávajícího řešení problému</w:t>
        </w:r>
        <w:r w:rsidR="00B31130">
          <w:rPr>
            <w:noProof/>
            <w:webHidden/>
          </w:rPr>
          <w:tab/>
        </w:r>
        <w:r w:rsidR="00B31130">
          <w:rPr>
            <w:noProof/>
            <w:webHidden/>
          </w:rPr>
          <w:fldChar w:fldCharType="begin"/>
        </w:r>
        <w:r w:rsidR="00B31130">
          <w:rPr>
            <w:noProof/>
            <w:webHidden/>
          </w:rPr>
          <w:instrText xml:space="preserve"> PAGEREF _Toc81739207 \h </w:instrText>
        </w:r>
        <w:r w:rsidR="00B31130">
          <w:rPr>
            <w:noProof/>
            <w:webHidden/>
          </w:rPr>
        </w:r>
        <w:r w:rsidR="00B31130">
          <w:rPr>
            <w:noProof/>
            <w:webHidden/>
          </w:rPr>
          <w:fldChar w:fldCharType="separate"/>
        </w:r>
        <w:r w:rsidR="00B31130">
          <w:rPr>
            <w:noProof/>
            <w:webHidden/>
          </w:rPr>
          <w:t>75</w:t>
        </w:r>
        <w:r w:rsidR="00B31130">
          <w:rPr>
            <w:noProof/>
            <w:webHidden/>
          </w:rPr>
          <w:fldChar w:fldCharType="end"/>
        </w:r>
      </w:hyperlink>
    </w:p>
    <w:p w14:paraId="5ACE1997" w14:textId="1574B2A5" w:rsidR="00B31130" w:rsidRDefault="00E07272">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39208" w:history="1">
        <w:r w:rsidR="00B31130" w:rsidRPr="0096164C">
          <w:rPr>
            <w:rStyle w:val="Hypertextovodkaz"/>
            <w:noProof/>
          </w:rPr>
          <w:t>5.1</w:t>
        </w:r>
        <w:r w:rsidR="00B31130">
          <w:rPr>
            <w:rFonts w:asciiTheme="minorHAnsi" w:eastAsiaTheme="minorEastAsia" w:hAnsiTheme="minorHAnsi"/>
            <w:smallCaps w:val="0"/>
            <w:noProof/>
            <w:sz w:val="24"/>
            <w:szCs w:val="24"/>
            <w:lang w:val="cs-CZ" w:eastAsia="cs-CZ"/>
          </w:rPr>
          <w:tab/>
        </w:r>
        <w:r w:rsidR="00B31130" w:rsidRPr="0096164C">
          <w:rPr>
            <w:rStyle w:val="Hypertextovodkaz"/>
            <w:noProof/>
          </w:rPr>
          <w:t>Míra řešení ve stávající SZP (úspěšnost/neúspěšnost)</w:t>
        </w:r>
        <w:r w:rsidR="00B31130">
          <w:rPr>
            <w:noProof/>
            <w:webHidden/>
          </w:rPr>
          <w:tab/>
        </w:r>
        <w:r w:rsidR="00B31130">
          <w:rPr>
            <w:noProof/>
            <w:webHidden/>
          </w:rPr>
          <w:fldChar w:fldCharType="begin"/>
        </w:r>
        <w:r w:rsidR="00B31130">
          <w:rPr>
            <w:noProof/>
            <w:webHidden/>
          </w:rPr>
          <w:instrText xml:space="preserve"> PAGEREF _Toc81739208 \h </w:instrText>
        </w:r>
        <w:r w:rsidR="00B31130">
          <w:rPr>
            <w:noProof/>
            <w:webHidden/>
          </w:rPr>
        </w:r>
        <w:r w:rsidR="00B31130">
          <w:rPr>
            <w:noProof/>
            <w:webHidden/>
          </w:rPr>
          <w:fldChar w:fldCharType="separate"/>
        </w:r>
        <w:r w:rsidR="00B31130">
          <w:rPr>
            <w:noProof/>
            <w:webHidden/>
          </w:rPr>
          <w:t>75</w:t>
        </w:r>
        <w:r w:rsidR="00B31130">
          <w:rPr>
            <w:noProof/>
            <w:webHidden/>
          </w:rPr>
          <w:fldChar w:fldCharType="end"/>
        </w:r>
      </w:hyperlink>
    </w:p>
    <w:p w14:paraId="2FB8A7F9" w14:textId="0CF439FC" w:rsidR="00B31130" w:rsidRDefault="00E07272">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39209" w:history="1">
        <w:r w:rsidR="00B31130" w:rsidRPr="0096164C">
          <w:rPr>
            <w:rStyle w:val="Hypertextovodkaz"/>
            <w:noProof/>
          </w:rPr>
          <w:t>5.2</w:t>
        </w:r>
        <w:r w:rsidR="00B31130">
          <w:rPr>
            <w:rFonts w:asciiTheme="minorHAnsi" w:eastAsiaTheme="minorEastAsia" w:hAnsiTheme="minorHAnsi"/>
            <w:smallCaps w:val="0"/>
            <w:noProof/>
            <w:sz w:val="24"/>
            <w:szCs w:val="24"/>
            <w:lang w:val="cs-CZ" w:eastAsia="cs-CZ"/>
          </w:rPr>
          <w:tab/>
        </w:r>
        <w:r w:rsidR="00B31130" w:rsidRPr="0096164C">
          <w:rPr>
            <w:rStyle w:val="Hypertextovodkaz"/>
            <w:noProof/>
          </w:rPr>
          <w:t>Míra současného řešení problému jinými politikami</w:t>
        </w:r>
        <w:r w:rsidR="00B31130">
          <w:rPr>
            <w:noProof/>
            <w:webHidden/>
          </w:rPr>
          <w:tab/>
        </w:r>
        <w:r w:rsidR="00B31130">
          <w:rPr>
            <w:noProof/>
            <w:webHidden/>
          </w:rPr>
          <w:fldChar w:fldCharType="begin"/>
        </w:r>
        <w:r w:rsidR="00B31130">
          <w:rPr>
            <w:noProof/>
            <w:webHidden/>
          </w:rPr>
          <w:instrText xml:space="preserve"> PAGEREF _Toc81739209 \h </w:instrText>
        </w:r>
        <w:r w:rsidR="00B31130">
          <w:rPr>
            <w:noProof/>
            <w:webHidden/>
          </w:rPr>
        </w:r>
        <w:r w:rsidR="00B31130">
          <w:rPr>
            <w:noProof/>
            <w:webHidden/>
          </w:rPr>
          <w:fldChar w:fldCharType="separate"/>
        </w:r>
        <w:r w:rsidR="00B31130">
          <w:rPr>
            <w:noProof/>
            <w:webHidden/>
          </w:rPr>
          <w:t>76</w:t>
        </w:r>
        <w:r w:rsidR="00B31130">
          <w:rPr>
            <w:noProof/>
            <w:webHidden/>
          </w:rPr>
          <w:fldChar w:fldCharType="end"/>
        </w:r>
      </w:hyperlink>
    </w:p>
    <w:p w14:paraId="5A10C76F" w14:textId="42F6AA71"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10" w:history="1">
        <w:r w:rsidR="00B31130" w:rsidRPr="0096164C">
          <w:rPr>
            <w:rStyle w:val="Hypertextovodkaz"/>
            <w:noProof/>
          </w:rPr>
          <w:t>6</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Existence/neexistence možnosti efektivního řešení v rámci nástrojů SZP, které lze uvažovat v nových návrzích SZP</w:t>
        </w:r>
        <w:r w:rsidR="00B31130">
          <w:rPr>
            <w:noProof/>
            <w:webHidden/>
          </w:rPr>
          <w:tab/>
        </w:r>
        <w:r w:rsidR="00B31130">
          <w:rPr>
            <w:noProof/>
            <w:webHidden/>
          </w:rPr>
          <w:fldChar w:fldCharType="begin"/>
        </w:r>
        <w:r w:rsidR="00B31130">
          <w:rPr>
            <w:noProof/>
            <w:webHidden/>
          </w:rPr>
          <w:instrText xml:space="preserve"> PAGEREF _Toc81739210 \h </w:instrText>
        </w:r>
        <w:r w:rsidR="00B31130">
          <w:rPr>
            <w:noProof/>
            <w:webHidden/>
          </w:rPr>
        </w:r>
        <w:r w:rsidR="00B31130">
          <w:rPr>
            <w:noProof/>
            <w:webHidden/>
          </w:rPr>
          <w:fldChar w:fldCharType="separate"/>
        </w:r>
        <w:r w:rsidR="00B31130">
          <w:rPr>
            <w:noProof/>
            <w:webHidden/>
          </w:rPr>
          <w:t>77</w:t>
        </w:r>
        <w:r w:rsidR="00B31130">
          <w:rPr>
            <w:noProof/>
            <w:webHidden/>
          </w:rPr>
          <w:fldChar w:fldCharType="end"/>
        </w:r>
      </w:hyperlink>
    </w:p>
    <w:p w14:paraId="50BFCE35" w14:textId="6A6E1DB9"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11" w:history="1">
        <w:r w:rsidR="00B31130" w:rsidRPr="0096164C">
          <w:rPr>
            <w:rStyle w:val="Hypertextovodkaz"/>
            <w:noProof/>
          </w:rPr>
          <w:t>7</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SWOT analýza</w:t>
        </w:r>
        <w:r w:rsidR="00B31130">
          <w:rPr>
            <w:noProof/>
            <w:webHidden/>
          </w:rPr>
          <w:tab/>
        </w:r>
        <w:r w:rsidR="00B31130">
          <w:rPr>
            <w:noProof/>
            <w:webHidden/>
          </w:rPr>
          <w:fldChar w:fldCharType="begin"/>
        </w:r>
        <w:r w:rsidR="00B31130">
          <w:rPr>
            <w:noProof/>
            <w:webHidden/>
          </w:rPr>
          <w:instrText xml:space="preserve"> PAGEREF _Toc81739211 \h </w:instrText>
        </w:r>
        <w:r w:rsidR="00B31130">
          <w:rPr>
            <w:noProof/>
            <w:webHidden/>
          </w:rPr>
        </w:r>
        <w:r w:rsidR="00B31130">
          <w:rPr>
            <w:noProof/>
            <w:webHidden/>
          </w:rPr>
          <w:fldChar w:fldCharType="separate"/>
        </w:r>
        <w:r w:rsidR="00B31130">
          <w:rPr>
            <w:noProof/>
            <w:webHidden/>
          </w:rPr>
          <w:t>81</w:t>
        </w:r>
        <w:r w:rsidR="00B31130">
          <w:rPr>
            <w:noProof/>
            <w:webHidden/>
          </w:rPr>
          <w:fldChar w:fldCharType="end"/>
        </w:r>
      </w:hyperlink>
    </w:p>
    <w:p w14:paraId="69569BC5" w14:textId="0ECABBC6" w:rsidR="00B31130" w:rsidRDefault="00E07272">
      <w:pPr>
        <w:pStyle w:val="Obsah1"/>
        <w:tabs>
          <w:tab w:val="right" w:leader="dot" w:pos="9062"/>
        </w:tabs>
        <w:rPr>
          <w:rFonts w:asciiTheme="minorHAnsi" w:eastAsiaTheme="minorEastAsia" w:hAnsiTheme="minorHAnsi"/>
          <w:b w:val="0"/>
          <w:bCs w:val="0"/>
          <w:caps w:val="0"/>
          <w:noProof/>
          <w:sz w:val="24"/>
          <w:szCs w:val="24"/>
          <w:lang w:val="cs-CZ" w:eastAsia="cs-CZ"/>
        </w:rPr>
      </w:pPr>
      <w:hyperlink w:anchor="_Toc81739212" w:history="1">
        <w:r w:rsidR="00B31130" w:rsidRPr="0096164C">
          <w:rPr>
            <w:rStyle w:val="Hypertextovodkaz"/>
            <w:noProof/>
          </w:rPr>
          <w:t>BÍLKOVINNÉ PLODINY</w:t>
        </w:r>
        <w:r w:rsidR="00B31130">
          <w:rPr>
            <w:noProof/>
            <w:webHidden/>
          </w:rPr>
          <w:tab/>
        </w:r>
        <w:r w:rsidR="00B31130">
          <w:rPr>
            <w:noProof/>
            <w:webHidden/>
          </w:rPr>
          <w:fldChar w:fldCharType="begin"/>
        </w:r>
        <w:r w:rsidR="00B31130">
          <w:rPr>
            <w:noProof/>
            <w:webHidden/>
          </w:rPr>
          <w:instrText xml:space="preserve"> PAGEREF _Toc81739212 \h </w:instrText>
        </w:r>
        <w:r w:rsidR="00B31130">
          <w:rPr>
            <w:noProof/>
            <w:webHidden/>
          </w:rPr>
        </w:r>
        <w:r w:rsidR="00B31130">
          <w:rPr>
            <w:noProof/>
            <w:webHidden/>
          </w:rPr>
          <w:fldChar w:fldCharType="separate"/>
        </w:r>
        <w:r w:rsidR="00B31130">
          <w:rPr>
            <w:noProof/>
            <w:webHidden/>
          </w:rPr>
          <w:t>82</w:t>
        </w:r>
        <w:r w:rsidR="00B31130">
          <w:rPr>
            <w:noProof/>
            <w:webHidden/>
          </w:rPr>
          <w:fldChar w:fldCharType="end"/>
        </w:r>
      </w:hyperlink>
    </w:p>
    <w:p w14:paraId="3AA2D093" w14:textId="0EE8C8A3"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13" w:history="1">
        <w:r w:rsidR="00B31130" w:rsidRPr="0096164C">
          <w:rPr>
            <w:rStyle w:val="Hypertextovodkaz"/>
            <w:noProof/>
          </w:rPr>
          <w:t>1</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Analýza stávajících/navrhovaných právních předpisů EK/ČR a pravděpodobné nastavení směrů a cílů SZP</w:t>
        </w:r>
        <w:r w:rsidR="00B31130">
          <w:rPr>
            <w:noProof/>
            <w:webHidden/>
          </w:rPr>
          <w:tab/>
        </w:r>
        <w:r w:rsidR="00B31130">
          <w:rPr>
            <w:noProof/>
            <w:webHidden/>
          </w:rPr>
          <w:fldChar w:fldCharType="begin"/>
        </w:r>
        <w:r w:rsidR="00B31130">
          <w:rPr>
            <w:noProof/>
            <w:webHidden/>
          </w:rPr>
          <w:instrText xml:space="preserve"> PAGEREF _Toc81739213 \h </w:instrText>
        </w:r>
        <w:r w:rsidR="00B31130">
          <w:rPr>
            <w:noProof/>
            <w:webHidden/>
          </w:rPr>
        </w:r>
        <w:r w:rsidR="00B31130">
          <w:rPr>
            <w:noProof/>
            <w:webHidden/>
          </w:rPr>
          <w:fldChar w:fldCharType="separate"/>
        </w:r>
        <w:r w:rsidR="00B31130">
          <w:rPr>
            <w:noProof/>
            <w:webHidden/>
          </w:rPr>
          <w:t>83</w:t>
        </w:r>
        <w:r w:rsidR="00B31130">
          <w:rPr>
            <w:noProof/>
            <w:webHidden/>
          </w:rPr>
          <w:fldChar w:fldCharType="end"/>
        </w:r>
      </w:hyperlink>
    </w:p>
    <w:p w14:paraId="1328627C" w14:textId="32A3FC7E"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14" w:history="1">
        <w:r w:rsidR="00B31130" w:rsidRPr="0096164C">
          <w:rPr>
            <w:rStyle w:val="Hypertextovodkaz"/>
            <w:noProof/>
          </w:rPr>
          <w:t>2</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Co je skutečným problémem, na který má politika reagovat?</w:t>
        </w:r>
        <w:r w:rsidR="00B31130">
          <w:rPr>
            <w:noProof/>
            <w:webHidden/>
          </w:rPr>
          <w:tab/>
        </w:r>
        <w:r w:rsidR="00B31130">
          <w:rPr>
            <w:noProof/>
            <w:webHidden/>
          </w:rPr>
          <w:fldChar w:fldCharType="begin"/>
        </w:r>
        <w:r w:rsidR="00B31130">
          <w:rPr>
            <w:noProof/>
            <w:webHidden/>
          </w:rPr>
          <w:instrText xml:space="preserve"> PAGEREF _Toc81739214 \h </w:instrText>
        </w:r>
        <w:r w:rsidR="00B31130">
          <w:rPr>
            <w:noProof/>
            <w:webHidden/>
          </w:rPr>
        </w:r>
        <w:r w:rsidR="00B31130">
          <w:rPr>
            <w:noProof/>
            <w:webHidden/>
          </w:rPr>
          <w:fldChar w:fldCharType="separate"/>
        </w:r>
        <w:r w:rsidR="00B31130">
          <w:rPr>
            <w:noProof/>
            <w:webHidden/>
          </w:rPr>
          <w:t>84</w:t>
        </w:r>
        <w:r w:rsidR="00B31130">
          <w:rPr>
            <w:noProof/>
            <w:webHidden/>
          </w:rPr>
          <w:fldChar w:fldCharType="end"/>
        </w:r>
      </w:hyperlink>
    </w:p>
    <w:p w14:paraId="0F56E2AD" w14:textId="6A1F145B"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15" w:history="1">
        <w:r w:rsidR="00B31130" w:rsidRPr="0096164C">
          <w:rPr>
            <w:rStyle w:val="Hypertextovodkaz"/>
            <w:noProof/>
          </w:rPr>
          <w:t>3</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Jaký je mechanismus a příčiny tohoto problému?</w:t>
        </w:r>
        <w:r w:rsidR="00B31130">
          <w:rPr>
            <w:noProof/>
            <w:webHidden/>
          </w:rPr>
          <w:tab/>
        </w:r>
        <w:r w:rsidR="00B31130">
          <w:rPr>
            <w:noProof/>
            <w:webHidden/>
          </w:rPr>
          <w:fldChar w:fldCharType="begin"/>
        </w:r>
        <w:r w:rsidR="00B31130">
          <w:rPr>
            <w:noProof/>
            <w:webHidden/>
          </w:rPr>
          <w:instrText xml:space="preserve"> PAGEREF _Toc81739215 \h </w:instrText>
        </w:r>
        <w:r w:rsidR="00B31130">
          <w:rPr>
            <w:noProof/>
            <w:webHidden/>
          </w:rPr>
        </w:r>
        <w:r w:rsidR="00B31130">
          <w:rPr>
            <w:noProof/>
            <w:webHidden/>
          </w:rPr>
          <w:fldChar w:fldCharType="separate"/>
        </w:r>
        <w:r w:rsidR="00B31130">
          <w:rPr>
            <w:noProof/>
            <w:webHidden/>
          </w:rPr>
          <w:t>85</w:t>
        </w:r>
        <w:r w:rsidR="00B31130">
          <w:rPr>
            <w:noProof/>
            <w:webHidden/>
          </w:rPr>
          <w:fldChar w:fldCharType="end"/>
        </w:r>
      </w:hyperlink>
    </w:p>
    <w:p w14:paraId="1342C019" w14:textId="3A5D8E0C"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16" w:history="1">
        <w:r w:rsidR="00B31130" w:rsidRPr="0096164C">
          <w:rPr>
            <w:rStyle w:val="Hypertextovodkaz"/>
            <w:noProof/>
          </w:rPr>
          <w:t>4</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Jak závažný je tento problém?</w:t>
        </w:r>
        <w:r w:rsidR="00B31130">
          <w:rPr>
            <w:noProof/>
            <w:webHidden/>
          </w:rPr>
          <w:tab/>
        </w:r>
        <w:r w:rsidR="00B31130">
          <w:rPr>
            <w:noProof/>
            <w:webHidden/>
          </w:rPr>
          <w:fldChar w:fldCharType="begin"/>
        </w:r>
        <w:r w:rsidR="00B31130">
          <w:rPr>
            <w:noProof/>
            <w:webHidden/>
          </w:rPr>
          <w:instrText xml:space="preserve"> PAGEREF _Toc81739216 \h </w:instrText>
        </w:r>
        <w:r w:rsidR="00B31130">
          <w:rPr>
            <w:noProof/>
            <w:webHidden/>
          </w:rPr>
        </w:r>
        <w:r w:rsidR="00B31130">
          <w:rPr>
            <w:noProof/>
            <w:webHidden/>
          </w:rPr>
          <w:fldChar w:fldCharType="separate"/>
        </w:r>
        <w:r w:rsidR="00B31130">
          <w:rPr>
            <w:noProof/>
            <w:webHidden/>
          </w:rPr>
          <w:t>88</w:t>
        </w:r>
        <w:r w:rsidR="00B31130">
          <w:rPr>
            <w:noProof/>
            <w:webHidden/>
          </w:rPr>
          <w:fldChar w:fldCharType="end"/>
        </w:r>
      </w:hyperlink>
    </w:p>
    <w:p w14:paraId="02D029DF" w14:textId="4E96BC0C"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17" w:history="1">
        <w:r w:rsidR="00B31130" w:rsidRPr="0096164C">
          <w:rPr>
            <w:rStyle w:val="Hypertextovodkaz"/>
            <w:noProof/>
          </w:rPr>
          <w:t>5</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Míra stávajícího řešení problému</w:t>
        </w:r>
        <w:r w:rsidR="00B31130">
          <w:rPr>
            <w:noProof/>
            <w:webHidden/>
          </w:rPr>
          <w:tab/>
        </w:r>
        <w:r w:rsidR="00B31130">
          <w:rPr>
            <w:noProof/>
            <w:webHidden/>
          </w:rPr>
          <w:fldChar w:fldCharType="begin"/>
        </w:r>
        <w:r w:rsidR="00B31130">
          <w:rPr>
            <w:noProof/>
            <w:webHidden/>
          </w:rPr>
          <w:instrText xml:space="preserve"> PAGEREF _Toc81739217 \h </w:instrText>
        </w:r>
        <w:r w:rsidR="00B31130">
          <w:rPr>
            <w:noProof/>
            <w:webHidden/>
          </w:rPr>
        </w:r>
        <w:r w:rsidR="00B31130">
          <w:rPr>
            <w:noProof/>
            <w:webHidden/>
          </w:rPr>
          <w:fldChar w:fldCharType="separate"/>
        </w:r>
        <w:r w:rsidR="00B31130">
          <w:rPr>
            <w:noProof/>
            <w:webHidden/>
          </w:rPr>
          <w:t>88</w:t>
        </w:r>
        <w:r w:rsidR="00B31130">
          <w:rPr>
            <w:noProof/>
            <w:webHidden/>
          </w:rPr>
          <w:fldChar w:fldCharType="end"/>
        </w:r>
      </w:hyperlink>
    </w:p>
    <w:p w14:paraId="06E2F8A0" w14:textId="475F6335" w:rsidR="00B31130" w:rsidRDefault="00E07272">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39218" w:history="1">
        <w:r w:rsidR="00B31130" w:rsidRPr="0096164C">
          <w:rPr>
            <w:rStyle w:val="Hypertextovodkaz"/>
            <w:noProof/>
          </w:rPr>
          <w:t>5.1</w:t>
        </w:r>
        <w:r w:rsidR="00B31130">
          <w:rPr>
            <w:rFonts w:asciiTheme="minorHAnsi" w:eastAsiaTheme="minorEastAsia" w:hAnsiTheme="minorHAnsi"/>
            <w:smallCaps w:val="0"/>
            <w:noProof/>
            <w:sz w:val="24"/>
            <w:szCs w:val="24"/>
            <w:lang w:val="cs-CZ" w:eastAsia="cs-CZ"/>
          </w:rPr>
          <w:tab/>
        </w:r>
        <w:r w:rsidR="00B31130" w:rsidRPr="0096164C">
          <w:rPr>
            <w:rStyle w:val="Hypertextovodkaz"/>
            <w:noProof/>
          </w:rPr>
          <w:t>Míra řešení ve stávající SZP (úspěšnost/neúspěšnost)</w:t>
        </w:r>
        <w:r w:rsidR="00B31130">
          <w:rPr>
            <w:noProof/>
            <w:webHidden/>
          </w:rPr>
          <w:tab/>
        </w:r>
        <w:r w:rsidR="00B31130">
          <w:rPr>
            <w:noProof/>
            <w:webHidden/>
          </w:rPr>
          <w:fldChar w:fldCharType="begin"/>
        </w:r>
        <w:r w:rsidR="00B31130">
          <w:rPr>
            <w:noProof/>
            <w:webHidden/>
          </w:rPr>
          <w:instrText xml:space="preserve"> PAGEREF _Toc81739218 \h </w:instrText>
        </w:r>
        <w:r w:rsidR="00B31130">
          <w:rPr>
            <w:noProof/>
            <w:webHidden/>
          </w:rPr>
        </w:r>
        <w:r w:rsidR="00B31130">
          <w:rPr>
            <w:noProof/>
            <w:webHidden/>
          </w:rPr>
          <w:fldChar w:fldCharType="separate"/>
        </w:r>
        <w:r w:rsidR="00B31130">
          <w:rPr>
            <w:noProof/>
            <w:webHidden/>
          </w:rPr>
          <w:t>88</w:t>
        </w:r>
        <w:r w:rsidR="00B31130">
          <w:rPr>
            <w:noProof/>
            <w:webHidden/>
          </w:rPr>
          <w:fldChar w:fldCharType="end"/>
        </w:r>
      </w:hyperlink>
    </w:p>
    <w:p w14:paraId="4C68D6D6" w14:textId="20067CFE" w:rsidR="00B31130" w:rsidRDefault="00E07272">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39219" w:history="1">
        <w:r w:rsidR="00B31130" w:rsidRPr="0096164C">
          <w:rPr>
            <w:rStyle w:val="Hypertextovodkaz"/>
            <w:noProof/>
          </w:rPr>
          <w:t>5.2</w:t>
        </w:r>
        <w:r w:rsidR="00B31130">
          <w:rPr>
            <w:rFonts w:asciiTheme="minorHAnsi" w:eastAsiaTheme="minorEastAsia" w:hAnsiTheme="minorHAnsi"/>
            <w:smallCaps w:val="0"/>
            <w:noProof/>
            <w:sz w:val="24"/>
            <w:szCs w:val="24"/>
            <w:lang w:val="cs-CZ" w:eastAsia="cs-CZ"/>
          </w:rPr>
          <w:tab/>
        </w:r>
        <w:r w:rsidR="00B31130" w:rsidRPr="0096164C">
          <w:rPr>
            <w:rStyle w:val="Hypertextovodkaz"/>
            <w:noProof/>
          </w:rPr>
          <w:t>Míra současného řešení problému jinými politikami</w:t>
        </w:r>
        <w:r w:rsidR="00B31130">
          <w:rPr>
            <w:noProof/>
            <w:webHidden/>
          </w:rPr>
          <w:tab/>
        </w:r>
        <w:r w:rsidR="00B31130">
          <w:rPr>
            <w:noProof/>
            <w:webHidden/>
          </w:rPr>
          <w:fldChar w:fldCharType="begin"/>
        </w:r>
        <w:r w:rsidR="00B31130">
          <w:rPr>
            <w:noProof/>
            <w:webHidden/>
          </w:rPr>
          <w:instrText xml:space="preserve"> PAGEREF _Toc81739219 \h </w:instrText>
        </w:r>
        <w:r w:rsidR="00B31130">
          <w:rPr>
            <w:noProof/>
            <w:webHidden/>
          </w:rPr>
        </w:r>
        <w:r w:rsidR="00B31130">
          <w:rPr>
            <w:noProof/>
            <w:webHidden/>
          </w:rPr>
          <w:fldChar w:fldCharType="separate"/>
        </w:r>
        <w:r w:rsidR="00B31130">
          <w:rPr>
            <w:noProof/>
            <w:webHidden/>
          </w:rPr>
          <w:t>93</w:t>
        </w:r>
        <w:r w:rsidR="00B31130">
          <w:rPr>
            <w:noProof/>
            <w:webHidden/>
          </w:rPr>
          <w:fldChar w:fldCharType="end"/>
        </w:r>
      </w:hyperlink>
    </w:p>
    <w:p w14:paraId="6D06AFDD" w14:textId="11047BFD"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20" w:history="1">
        <w:r w:rsidR="00B31130" w:rsidRPr="0096164C">
          <w:rPr>
            <w:rStyle w:val="Hypertextovodkaz"/>
            <w:noProof/>
          </w:rPr>
          <w:t>6</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Existence/neexistence možnosti efektivního řešení v rámci nástrojů SZP, které lze uvažovat v nových návrzích SZP.</w:t>
        </w:r>
        <w:r w:rsidR="00B31130">
          <w:rPr>
            <w:noProof/>
            <w:webHidden/>
          </w:rPr>
          <w:tab/>
        </w:r>
        <w:r w:rsidR="00B31130">
          <w:rPr>
            <w:noProof/>
            <w:webHidden/>
          </w:rPr>
          <w:fldChar w:fldCharType="begin"/>
        </w:r>
        <w:r w:rsidR="00B31130">
          <w:rPr>
            <w:noProof/>
            <w:webHidden/>
          </w:rPr>
          <w:instrText xml:space="preserve"> PAGEREF _Toc81739220 \h </w:instrText>
        </w:r>
        <w:r w:rsidR="00B31130">
          <w:rPr>
            <w:noProof/>
            <w:webHidden/>
          </w:rPr>
        </w:r>
        <w:r w:rsidR="00B31130">
          <w:rPr>
            <w:noProof/>
            <w:webHidden/>
          </w:rPr>
          <w:fldChar w:fldCharType="separate"/>
        </w:r>
        <w:r w:rsidR="00B31130">
          <w:rPr>
            <w:noProof/>
            <w:webHidden/>
          </w:rPr>
          <w:t>96</w:t>
        </w:r>
        <w:r w:rsidR="00B31130">
          <w:rPr>
            <w:noProof/>
            <w:webHidden/>
          </w:rPr>
          <w:fldChar w:fldCharType="end"/>
        </w:r>
      </w:hyperlink>
    </w:p>
    <w:p w14:paraId="3495A3ED" w14:textId="6958DBEB"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21" w:history="1">
        <w:r w:rsidR="00B31130" w:rsidRPr="0096164C">
          <w:rPr>
            <w:rStyle w:val="Hypertextovodkaz"/>
            <w:noProof/>
          </w:rPr>
          <w:t>7</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SWOT analýza</w:t>
        </w:r>
        <w:r w:rsidR="00B31130">
          <w:rPr>
            <w:noProof/>
            <w:webHidden/>
          </w:rPr>
          <w:tab/>
        </w:r>
        <w:r w:rsidR="00B31130">
          <w:rPr>
            <w:noProof/>
            <w:webHidden/>
          </w:rPr>
          <w:fldChar w:fldCharType="begin"/>
        </w:r>
        <w:r w:rsidR="00B31130">
          <w:rPr>
            <w:noProof/>
            <w:webHidden/>
          </w:rPr>
          <w:instrText xml:space="preserve"> PAGEREF _Toc81739221 \h </w:instrText>
        </w:r>
        <w:r w:rsidR="00B31130">
          <w:rPr>
            <w:noProof/>
            <w:webHidden/>
          </w:rPr>
        </w:r>
        <w:r w:rsidR="00B31130">
          <w:rPr>
            <w:noProof/>
            <w:webHidden/>
          </w:rPr>
          <w:fldChar w:fldCharType="separate"/>
        </w:r>
        <w:r w:rsidR="00B31130">
          <w:rPr>
            <w:noProof/>
            <w:webHidden/>
          </w:rPr>
          <w:t>97</w:t>
        </w:r>
        <w:r w:rsidR="00B31130">
          <w:rPr>
            <w:noProof/>
            <w:webHidden/>
          </w:rPr>
          <w:fldChar w:fldCharType="end"/>
        </w:r>
      </w:hyperlink>
    </w:p>
    <w:p w14:paraId="6BBE91A3" w14:textId="1749BDD7" w:rsidR="00B31130" w:rsidRDefault="00E07272">
      <w:pPr>
        <w:pStyle w:val="Obsah1"/>
        <w:tabs>
          <w:tab w:val="right" w:leader="dot" w:pos="9062"/>
        </w:tabs>
        <w:rPr>
          <w:rFonts w:asciiTheme="minorHAnsi" w:eastAsiaTheme="minorEastAsia" w:hAnsiTheme="minorHAnsi"/>
          <w:b w:val="0"/>
          <w:bCs w:val="0"/>
          <w:caps w:val="0"/>
          <w:noProof/>
          <w:sz w:val="24"/>
          <w:szCs w:val="24"/>
          <w:lang w:val="cs-CZ" w:eastAsia="cs-CZ"/>
        </w:rPr>
      </w:pPr>
      <w:hyperlink w:anchor="_Toc81739222" w:history="1">
        <w:r w:rsidR="00B31130" w:rsidRPr="0096164C">
          <w:rPr>
            <w:rStyle w:val="Hypertextovodkaz"/>
            <w:noProof/>
          </w:rPr>
          <w:t>CHMEL</w:t>
        </w:r>
        <w:r w:rsidR="00B31130">
          <w:rPr>
            <w:noProof/>
            <w:webHidden/>
          </w:rPr>
          <w:tab/>
        </w:r>
        <w:r w:rsidR="00B31130">
          <w:rPr>
            <w:noProof/>
            <w:webHidden/>
          </w:rPr>
          <w:fldChar w:fldCharType="begin"/>
        </w:r>
        <w:r w:rsidR="00B31130">
          <w:rPr>
            <w:noProof/>
            <w:webHidden/>
          </w:rPr>
          <w:instrText xml:space="preserve"> PAGEREF _Toc81739222 \h </w:instrText>
        </w:r>
        <w:r w:rsidR="00B31130">
          <w:rPr>
            <w:noProof/>
            <w:webHidden/>
          </w:rPr>
        </w:r>
        <w:r w:rsidR="00B31130">
          <w:rPr>
            <w:noProof/>
            <w:webHidden/>
          </w:rPr>
          <w:fldChar w:fldCharType="separate"/>
        </w:r>
        <w:r w:rsidR="00B31130">
          <w:rPr>
            <w:noProof/>
            <w:webHidden/>
          </w:rPr>
          <w:t>98</w:t>
        </w:r>
        <w:r w:rsidR="00B31130">
          <w:rPr>
            <w:noProof/>
            <w:webHidden/>
          </w:rPr>
          <w:fldChar w:fldCharType="end"/>
        </w:r>
      </w:hyperlink>
    </w:p>
    <w:p w14:paraId="08E6128E" w14:textId="0E4544B6"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23" w:history="1">
        <w:r w:rsidR="00B31130" w:rsidRPr="0096164C">
          <w:rPr>
            <w:rStyle w:val="Hypertextovodkaz"/>
            <w:noProof/>
          </w:rPr>
          <w:t>1</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Analýza stávajících/navrhovaných právních předpisů EK/ČR a pravděpodobné nastavení směrů a cílů SZP</w:t>
        </w:r>
        <w:r w:rsidR="00B31130">
          <w:rPr>
            <w:noProof/>
            <w:webHidden/>
          </w:rPr>
          <w:tab/>
        </w:r>
        <w:r w:rsidR="00B31130">
          <w:rPr>
            <w:noProof/>
            <w:webHidden/>
          </w:rPr>
          <w:fldChar w:fldCharType="begin"/>
        </w:r>
        <w:r w:rsidR="00B31130">
          <w:rPr>
            <w:noProof/>
            <w:webHidden/>
          </w:rPr>
          <w:instrText xml:space="preserve"> PAGEREF _Toc81739223 \h </w:instrText>
        </w:r>
        <w:r w:rsidR="00B31130">
          <w:rPr>
            <w:noProof/>
            <w:webHidden/>
          </w:rPr>
        </w:r>
        <w:r w:rsidR="00B31130">
          <w:rPr>
            <w:noProof/>
            <w:webHidden/>
          </w:rPr>
          <w:fldChar w:fldCharType="separate"/>
        </w:r>
        <w:r w:rsidR="00B31130">
          <w:rPr>
            <w:noProof/>
            <w:webHidden/>
          </w:rPr>
          <w:t>98</w:t>
        </w:r>
        <w:r w:rsidR="00B31130">
          <w:rPr>
            <w:noProof/>
            <w:webHidden/>
          </w:rPr>
          <w:fldChar w:fldCharType="end"/>
        </w:r>
      </w:hyperlink>
    </w:p>
    <w:p w14:paraId="7D627A45" w14:textId="2C619EFC"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24" w:history="1">
        <w:r w:rsidR="00B31130" w:rsidRPr="0096164C">
          <w:rPr>
            <w:rStyle w:val="Hypertextovodkaz"/>
            <w:noProof/>
          </w:rPr>
          <w:t>2</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Co je skutečným problémem, na který má politika reagovat?</w:t>
        </w:r>
        <w:r w:rsidR="00B31130">
          <w:rPr>
            <w:noProof/>
            <w:webHidden/>
          </w:rPr>
          <w:tab/>
        </w:r>
        <w:r w:rsidR="00B31130">
          <w:rPr>
            <w:noProof/>
            <w:webHidden/>
          </w:rPr>
          <w:fldChar w:fldCharType="begin"/>
        </w:r>
        <w:r w:rsidR="00B31130">
          <w:rPr>
            <w:noProof/>
            <w:webHidden/>
          </w:rPr>
          <w:instrText xml:space="preserve"> PAGEREF _Toc81739224 \h </w:instrText>
        </w:r>
        <w:r w:rsidR="00B31130">
          <w:rPr>
            <w:noProof/>
            <w:webHidden/>
          </w:rPr>
        </w:r>
        <w:r w:rsidR="00B31130">
          <w:rPr>
            <w:noProof/>
            <w:webHidden/>
          </w:rPr>
          <w:fldChar w:fldCharType="separate"/>
        </w:r>
        <w:r w:rsidR="00B31130">
          <w:rPr>
            <w:noProof/>
            <w:webHidden/>
          </w:rPr>
          <w:t>99</w:t>
        </w:r>
        <w:r w:rsidR="00B31130">
          <w:rPr>
            <w:noProof/>
            <w:webHidden/>
          </w:rPr>
          <w:fldChar w:fldCharType="end"/>
        </w:r>
      </w:hyperlink>
    </w:p>
    <w:p w14:paraId="45F99B1B" w14:textId="1DCEBD2B"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25" w:history="1">
        <w:r w:rsidR="00B31130" w:rsidRPr="0096164C">
          <w:rPr>
            <w:rStyle w:val="Hypertextovodkaz"/>
            <w:noProof/>
          </w:rPr>
          <w:t>3</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Jaký je mechanizmus a příčiny tohoto problému?</w:t>
        </w:r>
        <w:r w:rsidR="00B31130">
          <w:rPr>
            <w:noProof/>
            <w:webHidden/>
          </w:rPr>
          <w:tab/>
        </w:r>
        <w:r w:rsidR="00B31130">
          <w:rPr>
            <w:noProof/>
            <w:webHidden/>
          </w:rPr>
          <w:fldChar w:fldCharType="begin"/>
        </w:r>
        <w:r w:rsidR="00B31130">
          <w:rPr>
            <w:noProof/>
            <w:webHidden/>
          </w:rPr>
          <w:instrText xml:space="preserve"> PAGEREF _Toc81739225 \h </w:instrText>
        </w:r>
        <w:r w:rsidR="00B31130">
          <w:rPr>
            <w:noProof/>
            <w:webHidden/>
          </w:rPr>
        </w:r>
        <w:r w:rsidR="00B31130">
          <w:rPr>
            <w:noProof/>
            <w:webHidden/>
          </w:rPr>
          <w:fldChar w:fldCharType="separate"/>
        </w:r>
        <w:r w:rsidR="00B31130">
          <w:rPr>
            <w:noProof/>
            <w:webHidden/>
          </w:rPr>
          <w:t>100</w:t>
        </w:r>
        <w:r w:rsidR="00B31130">
          <w:rPr>
            <w:noProof/>
            <w:webHidden/>
          </w:rPr>
          <w:fldChar w:fldCharType="end"/>
        </w:r>
      </w:hyperlink>
    </w:p>
    <w:p w14:paraId="13C04655" w14:textId="670552E8"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26" w:history="1">
        <w:r w:rsidR="00B31130" w:rsidRPr="0096164C">
          <w:rPr>
            <w:rStyle w:val="Hypertextovodkaz"/>
            <w:noProof/>
          </w:rPr>
          <w:t>4</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Jak závažný je tento problém?</w:t>
        </w:r>
        <w:r w:rsidR="00B31130">
          <w:rPr>
            <w:noProof/>
            <w:webHidden/>
          </w:rPr>
          <w:tab/>
        </w:r>
        <w:r w:rsidR="00B31130">
          <w:rPr>
            <w:noProof/>
            <w:webHidden/>
          </w:rPr>
          <w:fldChar w:fldCharType="begin"/>
        </w:r>
        <w:r w:rsidR="00B31130">
          <w:rPr>
            <w:noProof/>
            <w:webHidden/>
          </w:rPr>
          <w:instrText xml:space="preserve"> PAGEREF _Toc81739226 \h </w:instrText>
        </w:r>
        <w:r w:rsidR="00B31130">
          <w:rPr>
            <w:noProof/>
            <w:webHidden/>
          </w:rPr>
        </w:r>
        <w:r w:rsidR="00B31130">
          <w:rPr>
            <w:noProof/>
            <w:webHidden/>
          </w:rPr>
          <w:fldChar w:fldCharType="separate"/>
        </w:r>
        <w:r w:rsidR="00B31130">
          <w:rPr>
            <w:noProof/>
            <w:webHidden/>
          </w:rPr>
          <w:t>104</w:t>
        </w:r>
        <w:r w:rsidR="00B31130">
          <w:rPr>
            <w:noProof/>
            <w:webHidden/>
          </w:rPr>
          <w:fldChar w:fldCharType="end"/>
        </w:r>
      </w:hyperlink>
    </w:p>
    <w:p w14:paraId="5256F774" w14:textId="5CF25513"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27" w:history="1">
        <w:r w:rsidR="00B31130" w:rsidRPr="0096164C">
          <w:rPr>
            <w:rStyle w:val="Hypertextovodkaz"/>
            <w:noProof/>
          </w:rPr>
          <w:t>5</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Míra stávajícího řešení problému</w:t>
        </w:r>
        <w:r w:rsidR="00B31130">
          <w:rPr>
            <w:noProof/>
            <w:webHidden/>
          </w:rPr>
          <w:tab/>
        </w:r>
        <w:r w:rsidR="00B31130">
          <w:rPr>
            <w:noProof/>
            <w:webHidden/>
          </w:rPr>
          <w:fldChar w:fldCharType="begin"/>
        </w:r>
        <w:r w:rsidR="00B31130">
          <w:rPr>
            <w:noProof/>
            <w:webHidden/>
          </w:rPr>
          <w:instrText xml:space="preserve"> PAGEREF _Toc81739227 \h </w:instrText>
        </w:r>
        <w:r w:rsidR="00B31130">
          <w:rPr>
            <w:noProof/>
            <w:webHidden/>
          </w:rPr>
        </w:r>
        <w:r w:rsidR="00B31130">
          <w:rPr>
            <w:noProof/>
            <w:webHidden/>
          </w:rPr>
          <w:fldChar w:fldCharType="separate"/>
        </w:r>
        <w:r w:rsidR="00B31130">
          <w:rPr>
            <w:noProof/>
            <w:webHidden/>
          </w:rPr>
          <w:t>105</w:t>
        </w:r>
        <w:r w:rsidR="00B31130">
          <w:rPr>
            <w:noProof/>
            <w:webHidden/>
          </w:rPr>
          <w:fldChar w:fldCharType="end"/>
        </w:r>
      </w:hyperlink>
    </w:p>
    <w:p w14:paraId="6D600F67" w14:textId="5CD85BD0" w:rsidR="00B31130" w:rsidRDefault="00E07272">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39228" w:history="1">
        <w:r w:rsidR="00B31130" w:rsidRPr="0096164C">
          <w:rPr>
            <w:rStyle w:val="Hypertextovodkaz"/>
            <w:noProof/>
          </w:rPr>
          <w:t>5.1</w:t>
        </w:r>
        <w:r w:rsidR="00B31130">
          <w:rPr>
            <w:rFonts w:asciiTheme="minorHAnsi" w:eastAsiaTheme="minorEastAsia" w:hAnsiTheme="minorHAnsi"/>
            <w:smallCaps w:val="0"/>
            <w:noProof/>
            <w:sz w:val="24"/>
            <w:szCs w:val="24"/>
            <w:lang w:val="cs-CZ" w:eastAsia="cs-CZ"/>
          </w:rPr>
          <w:tab/>
        </w:r>
        <w:r w:rsidR="00B31130" w:rsidRPr="0096164C">
          <w:rPr>
            <w:rStyle w:val="Hypertextovodkaz"/>
            <w:noProof/>
          </w:rPr>
          <w:t>Míra řešení ve stávající SZP (úspěšnost/neúspěšnost)</w:t>
        </w:r>
        <w:r w:rsidR="00B31130">
          <w:rPr>
            <w:noProof/>
            <w:webHidden/>
          </w:rPr>
          <w:tab/>
        </w:r>
        <w:r w:rsidR="00B31130">
          <w:rPr>
            <w:noProof/>
            <w:webHidden/>
          </w:rPr>
          <w:fldChar w:fldCharType="begin"/>
        </w:r>
        <w:r w:rsidR="00B31130">
          <w:rPr>
            <w:noProof/>
            <w:webHidden/>
          </w:rPr>
          <w:instrText xml:space="preserve"> PAGEREF _Toc81739228 \h </w:instrText>
        </w:r>
        <w:r w:rsidR="00B31130">
          <w:rPr>
            <w:noProof/>
            <w:webHidden/>
          </w:rPr>
        </w:r>
        <w:r w:rsidR="00B31130">
          <w:rPr>
            <w:noProof/>
            <w:webHidden/>
          </w:rPr>
          <w:fldChar w:fldCharType="separate"/>
        </w:r>
        <w:r w:rsidR="00B31130">
          <w:rPr>
            <w:noProof/>
            <w:webHidden/>
          </w:rPr>
          <w:t>105</w:t>
        </w:r>
        <w:r w:rsidR="00B31130">
          <w:rPr>
            <w:noProof/>
            <w:webHidden/>
          </w:rPr>
          <w:fldChar w:fldCharType="end"/>
        </w:r>
      </w:hyperlink>
    </w:p>
    <w:p w14:paraId="193BE2B3" w14:textId="5554BD49" w:rsidR="00B31130" w:rsidRDefault="00E07272">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39229" w:history="1">
        <w:r w:rsidR="00B31130" w:rsidRPr="0096164C">
          <w:rPr>
            <w:rStyle w:val="Hypertextovodkaz"/>
            <w:noProof/>
          </w:rPr>
          <w:t>5.2</w:t>
        </w:r>
        <w:r w:rsidR="00B31130">
          <w:rPr>
            <w:rFonts w:asciiTheme="minorHAnsi" w:eastAsiaTheme="minorEastAsia" w:hAnsiTheme="minorHAnsi"/>
            <w:smallCaps w:val="0"/>
            <w:noProof/>
            <w:sz w:val="24"/>
            <w:szCs w:val="24"/>
            <w:lang w:val="cs-CZ" w:eastAsia="cs-CZ"/>
          </w:rPr>
          <w:tab/>
        </w:r>
        <w:r w:rsidR="00B31130" w:rsidRPr="0096164C">
          <w:rPr>
            <w:rStyle w:val="Hypertextovodkaz"/>
            <w:noProof/>
          </w:rPr>
          <w:t>Míra současného řešení problému jinými politikami</w:t>
        </w:r>
        <w:r w:rsidR="00B31130">
          <w:rPr>
            <w:noProof/>
            <w:webHidden/>
          </w:rPr>
          <w:tab/>
        </w:r>
        <w:r w:rsidR="00B31130">
          <w:rPr>
            <w:noProof/>
            <w:webHidden/>
          </w:rPr>
          <w:fldChar w:fldCharType="begin"/>
        </w:r>
        <w:r w:rsidR="00B31130">
          <w:rPr>
            <w:noProof/>
            <w:webHidden/>
          </w:rPr>
          <w:instrText xml:space="preserve"> PAGEREF _Toc81739229 \h </w:instrText>
        </w:r>
        <w:r w:rsidR="00B31130">
          <w:rPr>
            <w:noProof/>
            <w:webHidden/>
          </w:rPr>
        </w:r>
        <w:r w:rsidR="00B31130">
          <w:rPr>
            <w:noProof/>
            <w:webHidden/>
          </w:rPr>
          <w:fldChar w:fldCharType="separate"/>
        </w:r>
        <w:r w:rsidR="00B31130">
          <w:rPr>
            <w:noProof/>
            <w:webHidden/>
          </w:rPr>
          <w:t>106</w:t>
        </w:r>
        <w:r w:rsidR="00B31130">
          <w:rPr>
            <w:noProof/>
            <w:webHidden/>
          </w:rPr>
          <w:fldChar w:fldCharType="end"/>
        </w:r>
      </w:hyperlink>
    </w:p>
    <w:p w14:paraId="29749F4E" w14:textId="2AACFEF0"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30" w:history="1">
        <w:r w:rsidR="00B31130" w:rsidRPr="0096164C">
          <w:rPr>
            <w:rStyle w:val="Hypertextovodkaz"/>
            <w:noProof/>
          </w:rPr>
          <w:t>6</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Existence/neexistence možnosti efektivního řešení v rámci nástrojů SZP, které lze uvažovat v nových návrzích SZP</w:t>
        </w:r>
        <w:r w:rsidR="00B31130">
          <w:rPr>
            <w:noProof/>
            <w:webHidden/>
          </w:rPr>
          <w:tab/>
        </w:r>
        <w:r w:rsidR="00B31130">
          <w:rPr>
            <w:noProof/>
            <w:webHidden/>
          </w:rPr>
          <w:fldChar w:fldCharType="begin"/>
        </w:r>
        <w:r w:rsidR="00B31130">
          <w:rPr>
            <w:noProof/>
            <w:webHidden/>
          </w:rPr>
          <w:instrText xml:space="preserve"> PAGEREF _Toc81739230 \h </w:instrText>
        </w:r>
        <w:r w:rsidR="00B31130">
          <w:rPr>
            <w:noProof/>
            <w:webHidden/>
          </w:rPr>
        </w:r>
        <w:r w:rsidR="00B31130">
          <w:rPr>
            <w:noProof/>
            <w:webHidden/>
          </w:rPr>
          <w:fldChar w:fldCharType="separate"/>
        </w:r>
        <w:r w:rsidR="00B31130">
          <w:rPr>
            <w:noProof/>
            <w:webHidden/>
          </w:rPr>
          <w:t>108</w:t>
        </w:r>
        <w:r w:rsidR="00B31130">
          <w:rPr>
            <w:noProof/>
            <w:webHidden/>
          </w:rPr>
          <w:fldChar w:fldCharType="end"/>
        </w:r>
      </w:hyperlink>
    </w:p>
    <w:p w14:paraId="7A10489A" w14:textId="6135E7F5"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31" w:history="1">
        <w:r w:rsidR="00B31130" w:rsidRPr="0096164C">
          <w:rPr>
            <w:rStyle w:val="Hypertextovodkaz"/>
            <w:noProof/>
          </w:rPr>
          <w:t>7</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SWOT analýza</w:t>
        </w:r>
        <w:r w:rsidR="00B31130">
          <w:rPr>
            <w:noProof/>
            <w:webHidden/>
          </w:rPr>
          <w:tab/>
        </w:r>
        <w:r w:rsidR="00B31130">
          <w:rPr>
            <w:noProof/>
            <w:webHidden/>
          </w:rPr>
          <w:fldChar w:fldCharType="begin"/>
        </w:r>
        <w:r w:rsidR="00B31130">
          <w:rPr>
            <w:noProof/>
            <w:webHidden/>
          </w:rPr>
          <w:instrText xml:space="preserve"> PAGEREF _Toc81739231 \h </w:instrText>
        </w:r>
        <w:r w:rsidR="00B31130">
          <w:rPr>
            <w:noProof/>
            <w:webHidden/>
          </w:rPr>
        </w:r>
        <w:r w:rsidR="00B31130">
          <w:rPr>
            <w:noProof/>
            <w:webHidden/>
          </w:rPr>
          <w:fldChar w:fldCharType="separate"/>
        </w:r>
        <w:r w:rsidR="00B31130">
          <w:rPr>
            <w:noProof/>
            <w:webHidden/>
          </w:rPr>
          <w:t>112</w:t>
        </w:r>
        <w:r w:rsidR="00B31130">
          <w:rPr>
            <w:noProof/>
            <w:webHidden/>
          </w:rPr>
          <w:fldChar w:fldCharType="end"/>
        </w:r>
      </w:hyperlink>
    </w:p>
    <w:p w14:paraId="5DBE30E8" w14:textId="2A04C200" w:rsidR="00B31130" w:rsidRDefault="00E07272">
      <w:pPr>
        <w:pStyle w:val="Obsah1"/>
        <w:tabs>
          <w:tab w:val="right" w:leader="dot" w:pos="9062"/>
        </w:tabs>
        <w:rPr>
          <w:rFonts w:asciiTheme="minorHAnsi" w:eastAsiaTheme="minorEastAsia" w:hAnsiTheme="minorHAnsi"/>
          <w:b w:val="0"/>
          <w:bCs w:val="0"/>
          <w:caps w:val="0"/>
          <w:noProof/>
          <w:sz w:val="24"/>
          <w:szCs w:val="24"/>
          <w:lang w:val="cs-CZ" w:eastAsia="cs-CZ"/>
        </w:rPr>
      </w:pPr>
      <w:hyperlink w:anchor="_Toc81739232" w:history="1">
        <w:r w:rsidR="00B31130" w:rsidRPr="0096164C">
          <w:rPr>
            <w:rStyle w:val="Hypertextovodkaz"/>
            <w:noProof/>
          </w:rPr>
          <w:t>OBILOVINY</w:t>
        </w:r>
        <w:r w:rsidR="00B31130">
          <w:rPr>
            <w:noProof/>
            <w:webHidden/>
          </w:rPr>
          <w:tab/>
        </w:r>
        <w:r w:rsidR="00B31130">
          <w:rPr>
            <w:noProof/>
            <w:webHidden/>
          </w:rPr>
          <w:fldChar w:fldCharType="begin"/>
        </w:r>
        <w:r w:rsidR="00B31130">
          <w:rPr>
            <w:noProof/>
            <w:webHidden/>
          </w:rPr>
          <w:instrText xml:space="preserve"> PAGEREF _Toc81739232 \h </w:instrText>
        </w:r>
        <w:r w:rsidR="00B31130">
          <w:rPr>
            <w:noProof/>
            <w:webHidden/>
          </w:rPr>
        </w:r>
        <w:r w:rsidR="00B31130">
          <w:rPr>
            <w:noProof/>
            <w:webHidden/>
          </w:rPr>
          <w:fldChar w:fldCharType="separate"/>
        </w:r>
        <w:r w:rsidR="00B31130">
          <w:rPr>
            <w:noProof/>
            <w:webHidden/>
          </w:rPr>
          <w:t>113</w:t>
        </w:r>
        <w:r w:rsidR="00B31130">
          <w:rPr>
            <w:noProof/>
            <w:webHidden/>
          </w:rPr>
          <w:fldChar w:fldCharType="end"/>
        </w:r>
      </w:hyperlink>
    </w:p>
    <w:p w14:paraId="646722F3" w14:textId="64A400AC"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33" w:history="1">
        <w:r w:rsidR="00B31130" w:rsidRPr="0096164C">
          <w:rPr>
            <w:rStyle w:val="Hypertextovodkaz"/>
            <w:noProof/>
          </w:rPr>
          <w:t>1</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Analýza stávajících/navrhovaných právních předpisů EK/ČR a pravděpodobné nastavení směrů a cílů SZP</w:t>
        </w:r>
        <w:r w:rsidR="00B31130">
          <w:rPr>
            <w:noProof/>
            <w:webHidden/>
          </w:rPr>
          <w:tab/>
        </w:r>
        <w:r w:rsidR="00B31130">
          <w:rPr>
            <w:noProof/>
            <w:webHidden/>
          </w:rPr>
          <w:fldChar w:fldCharType="begin"/>
        </w:r>
        <w:r w:rsidR="00B31130">
          <w:rPr>
            <w:noProof/>
            <w:webHidden/>
          </w:rPr>
          <w:instrText xml:space="preserve"> PAGEREF _Toc81739233 \h </w:instrText>
        </w:r>
        <w:r w:rsidR="00B31130">
          <w:rPr>
            <w:noProof/>
            <w:webHidden/>
          </w:rPr>
        </w:r>
        <w:r w:rsidR="00B31130">
          <w:rPr>
            <w:noProof/>
            <w:webHidden/>
          </w:rPr>
          <w:fldChar w:fldCharType="separate"/>
        </w:r>
        <w:r w:rsidR="00B31130">
          <w:rPr>
            <w:noProof/>
            <w:webHidden/>
          </w:rPr>
          <w:t>113</w:t>
        </w:r>
        <w:r w:rsidR="00B31130">
          <w:rPr>
            <w:noProof/>
            <w:webHidden/>
          </w:rPr>
          <w:fldChar w:fldCharType="end"/>
        </w:r>
      </w:hyperlink>
    </w:p>
    <w:p w14:paraId="63B4A8FB" w14:textId="6424F7D2"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34" w:history="1">
        <w:r w:rsidR="00B31130" w:rsidRPr="0096164C">
          <w:rPr>
            <w:rStyle w:val="Hypertextovodkaz"/>
            <w:noProof/>
          </w:rPr>
          <w:t>2</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Co je skutečným problémem, na který má politika reagovat?</w:t>
        </w:r>
        <w:r w:rsidR="00B31130">
          <w:rPr>
            <w:noProof/>
            <w:webHidden/>
          </w:rPr>
          <w:tab/>
        </w:r>
        <w:r w:rsidR="00B31130">
          <w:rPr>
            <w:noProof/>
            <w:webHidden/>
          </w:rPr>
          <w:fldChar w:fldCharType="begin"/>
        </w:r>
        <w:r w:rsidR="00B31130">
          <w:rPr>
            <w:noProof/>
            <w:webHidden/>
          </w:rPr>
          <w:instrText xml:space="preserve"> PAGEREF _Toc81739234 \h </w:instrText>
        </w:r>
        <w:r w:rsidR="00B31130">
          <w:rPr>
            <w:noProof/>
            <w:webHidden/>
          </w:rPr>
        </w:r>
        <w:r w:rsidR="00B31130">
          <w:rPr>
            <w:noProof/>
            <w:webHidden/>
          </w:rPr>
          <w:fldChar w:fldCharType="separate"/>
        </w:r>
        <w:r w:rsidR="00B31130">
          <w:rPr>
            <w:noProof/>
            <w:webHidden/>
          </w:rPr>
          <w:t>114</w:t>
        </w:r>
        <w:r w:rsidR="00B31130">
          <w:rPr>
            <w:noProof/>
            <w:webHidden/>
          </w:rPr>
          <w:fldChar w:fldCharType="end"/>
        </w:r>
      </w:hyperlink>
    </w:p>
    <w:p w14:paraId="24C383D2" w14:textId="5D9136BF"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35" w:history="1">
        <w:r w:rsidR="00B31130" w:rsidRPr="0096164C">
          <w:rPr>
            <w:rStyle w:val="Hypertextovodkaz"/>
            <w:noProof/>
          </w:rPr>
          <w:t>3</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Jaký je mechanismus a příčiny tohoto problému?</w:t>
        </w:r>
        <w:r w:rsidR="00B31130">
          <w:rPr>
            <w:noProof/>
            <w:webHidden/>
          </w:rPr>
          <w:tab/>
        </w:r>
        <w:r w:rsidR="00B31130">
          <w:rPr>
            <w:noProof/>
            <w:webHidden/>
          </w:rPr>
          <w:fldChar w:fldCharType="begin"/>
        </w:r>
        <w:r w:rsidR="00B31130">
          <w:rPr>
            <w:noProof/>
            <w:webHidden/>
          </w:rPr>
          <w:instrText xml:space="preserve"> PAGEREF _Toc81739235 \h </w:instrText>
        </w:r>
        <w:r w:rsidR="00B31130">
          <w:rPr>
            <w:noProof/>
            <w:webHidden/>
          </w:rPr>
        </w:r>
        <w:r w:rsidR="00B31130">
          <w:rPr>
            <w:noProof/>
            <w:webHidden/>
          </w:rPr>
          <w:fldChar w:fldCharType="separate"/>
        </w:r>
        <w:r w:rsidR="00B31130">
          <w:rPr>
            <w:noProof/>
            <w:webHidden/>
          </w:rPr>
          <w:t>119</w:t>
        </w:r>
        <w:r w:rsidR="00B31130">
          <w:rPr>
            <w:noProof/>
            <w:webHidden/>
          </w:rPr>
          <w:fldChar w:fldCharType="end"/>
        </w:r>
      </w:hyperlink>
    </w:p>
    <w:p w14:paraId="7BA4D292" w14:textId="061EEE0B"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36" w:history="1">
        <w:r w:rsidR="00B31130" w:rsidRPr="0096164C">
          <w:rPr>
            <w:rStyle w:val="Hypertextovodkaz"/>
            <w:noProof/>
          </w:rPr>
          <w:t>4</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Jak závažný je tento problém?</w:t>
        </w:r>
        <w:r w:rsidR="00B31130">
          <w:rPr>
            <w:noProof/>
            <w:webHidden/>
          </w:rPr>
          <w:tab/>
        </w:r>
        <w:r w:rsidR="00B31130">
          <w:rPr>
            <w:noProof/>
            <w:webHidden/>
          </w:rPr>
          <w:fldChar w:fldCharType="begin"/>
        </w:r>
        <w:r w:rsidR="00B31130">
          <w:rPr>
            <w:noProof/>
            <w:webHidden/>
          </w:rPr>
          <w:instrText xml:space="preserve"> PAGEREF _Toc81739236 \h </w:instrText>
        </w:r>
        <w:r w:rsidR="00B31130">
          <w:rPr>
            <w:noProof/>
            <w:webHidden/>
          </w:rPr>
        </w:r>
        <w:r w:rsidR="00B31130">
          <w:rPr>
            <w:noProof/>
            <w:webHidden/>
          </w:rPr>
          <w:fldChar w:fldCharType="separate"/>
        </w:r>
        <w:r w:rsidR="00B31130">
          <w:rPr>
            <w:noProof/>
            <w:webHidden/>
          </w:rPr>
          <w:t>121</w:t>
        </w:r>
        <w:r w:rsidR="00B31130">
          <w:rPr>
            <w:noProof/>
            <w:webHidden/>
          </w:rPr>
          <w:fldChar w:fldCharType="end"/>
        </w:r>
      </w:hyperlink>
    </w:p>
    <w:p w14:paraId="7D2F2F95" w14:textId="6113C0B3"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37" w:history="1">
        <w:r w:rsidR="00B31130" w:rsidRPr="0096164C">
          <w:rPr>
            <w:rStyle w:val="Hypertextovodkaz"/>
            <w:noProof/>
          </w:rPr>
          <w:t>5</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Míra stávajícího řešení problému</w:t>
        </w:r>
        <w:r w:rsidR="00B31130">
          <w:rPr>
            <w:noProof/>
            <w:webHidden/>
          </w:rPr>
          <w:tab/>
        </w:r>
        <w:r w:rsidR="00B31130">
          <w:rPr>
            <w:noProof/>
            <w:webHidden/>
          </w:rPr>
          <w:fldChar w:fldCharType="begin"/>
        </w:r>
        <w:r w:rsidR="00B31130">
          <w:rPr>
            <w:noProof/>
            <w:webHidden/>
          </w:rPr>
          <w:instrText xml:space="preserve"> PAGEREF _Toc81739237 \h </w:instrText>
        </w:r>
        <w:r w:rsidR="00B31130">
          <w:rPr>
            <w:noProof/>
            <w:webHidden/>
          </w:rPr>
        </w:r>
        <w:r w:rsidR="00B31130">
          <w:rPr>
            <w:noProof/>
            <w:webHidden/>
          </w:rPr>
          <w:fldChar w:fldCharType="separate"/>
        </w:r>
        <w:r w:rsidR="00B31130">
          <w:rPr>
            <w:noProof/>
            <w:webHidden/>
          </w:rPr>
          <w:t>122</w:t>
        </w:r>
        <w:r w:rsidR="00B31130">
          <w:rPr>
            <w:noProof/>
            <w:webHidden/>
          </w:rPr>
          <w:fldChar w:fldCharType="end"/>
        </w:r>
      </w:hyperlink>
    </w:p>
    <w:p w14:paraId="164173C6" w14:textId="0ED9ED7F" w:rsidR="00B31130" w:rsidRDefault="00E07272">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39238" w:history="1">
        <w:r w:rsidR="00B31130" w:rsidRPr="0096164C">
          <w:rPr>
            <w:rStyle w:val="Hypertextovodkaz"/>
            <w:noProof/>
          </w:rPr>
          <w:t>5.1</w:t>
        </w:r>
        <w:r w:rsidR="00B31130">
          <w:rPr>
            <w:rFonts w:asciiTheme="minorHAnsi" w:eastAsiaTheme="minorEastAsia" w:hAnsiTheme="minorHAnsi"/>
            <w:smallCaps w:val="0"/>
            <w:noProof/>
            <w:sz w:val="24"/>
            <w:szCs w:val="24"/>
            <w:lang w:val="cs-CZ" w:eastAsia="cs-CZ"/>
          </w:rPr>
          <w:tab/>
        </w:r>
        <w:r w:rsidR="00B31130" w:rsidRPr="0096164C">
          <w:rPr>
            <w:rStyle w:val="Hypertextovodkaz"/>
            <w:noProof/>
          </w:rPr>
          <w:t>Míra řešení ve stávající SZP (úspěšnost/neúspěšnost)</w:t>
        </w:r>
        <w:r w:rsidR="00B31130">
          <w:rPr>
            <w:noProof/>
            <w:webHidden/>
          </w:rPr>
          <w:tab/>
        </w:r>
        <w:r w:rsidR="00B31130">
          <w:rPr>
            <w:noProof/>
            <w:webHidden/>
          </w:rPr>
          <w:fldChar w:fldCharType="begin"/>
        </w:r>
        <w:r w:rsidR="00B31130">
          <w:rPr>
            <w:noProof/>
            <w:webHidden/>
          </w:rPr>
          <w:instrText xml:space="preserve"> PAGEREF _Toc81739238 \h </w:instrText>
        </w:r>
        <w:r w:rsidR="00B31130">
          <w:rPr>
            <w:noProof/>
            <w:webHidden/>
          </w:rPr>
        </w:r>
        <w:r w:rsidR="00B31130">
          <w:rPr>
            <w:noProof/>
            <w:webHidden/>
          </w:rPr>
          <w:fldChar w:fldCharType="separate"/>
        </w:r>
        <w:r w:rsidR="00B31130">
          <w:rPr>
            <w:noProof/>
            <w:webHidden/>
          </w:rPr>
          <w:t>122</w:t>
        </w:r>
        <w:r w:rsidR="00B31130">
          <w:rPr>
            <w:noProof/>
            <w:webHidden/>
          </w:rPr>
          <w:fldChar w:fldCharType="end"/>
        </w:r>
      </w:hyperlink>
    </w:p>
    <w:p w14:paraId="68032428" w14:textId="141AF573" w:rsidR="00B31130" w:rsidRDefault="00E07272">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39239" w:history="1">
        <w:r w:rsidR="00B31130" w:rsidRPr="0096164C">
          <w:rPr>
            <w:rStyle w:val="Hypertextovodkaz"/>
            <w:noProof/>
          </w:rPr>
          <w:t>5.2</w:t>
        </w:r>
        <w:r w:rsidR="00B31130">
          <w:rPr>
            <w:rFonts w:asciiTheme="minorHAnsi" w:eastAsiaTheme="minorEastAsia" w:hAnsiTheme="minorHAnsi"/>
            <w:smallCaps w:val="0"/>
            <w:noProof/>
            <w:sz w:val="24"/>
            <w:szCs w:val="24"/>
            <w:lang w:val="cs-CZ" w:eastAsia="cs-CZ"/>
          </w:rPr>
          <w:tab/>
        </w:r>
        <w:r w:rsidR="00B31130" w:rsidRPr="0096164C">
          <w:rPr>
            <w:rStyle w:val="Hypertextovodkaz"/>
            <w:noProof/>
          </w:rPr>
          <w:t>Míra současného řešení problému jinými politikami</w:t>
        </w:r>
        <w:r w:rsidR="00B31130">
          <w:rPr>
            <w:noProof/>
            <w:webHidden/>
          </w:rPr>
          <w:tab/>
        </w:r>
        <w:r w:rsidR="00B31130">
          <w:rPr>
            <w:noProof/>
            <w:webHidden/>
          </w:rPr>
          <w:fldChar w:fldCharType="begin"/>
        </w:r>
        <w:r w:rsidR="00B31130">
          <w:rPr>
            <w:noProof/>
            <w:webHidden/>
          </w:rPr>
          <w:instrText xml:space="preserve"> PAGEREF _Toc81739239 \h </w:instrText>
        </w:r>
        <w:r w:rsidR="00B31130">
          <w:rPr>
            <w:noProof/>
            <w:webHidden/>
          </w:rPr>
        </w:r>
        <w:r w:rsidR="00B31130">
          <w:rPr>
            <w:noProof/>
            <w:webHidden/>
          </w:rPr>
          <w:fldChar w:fldCharType="separate"/>
        </w:r>
        <w:r w:rsidR="00B31130">
          <w:rPr>
            <w:noProof/>
            <w:webHidden/>
          </w:rPr>
          <w:t>122</w:t>
        </w:r>
        <w:r w:rsidR="00B31130">
          <w:rPr>
            <w:noProof/>
            <w:webHidden/>
          </w:rPr>
          <w:fldChar w:fldCharType="end"/>
        </w:r>
      </w:hyperlink>
    </w:p>
    <w:p w14:paraId="5B8EF955" w14:textId="022D9F01"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40" w:history="1">
        <w:r w:rsidR="00B31130" w:rsidRPr="0096164C">
          <w:rPr>
            <w:rStyle w:val="Hypertextovodkaz"/>
            <w:noProof/>
          </w:rPr>
          <w:t>6</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Existence/neexistence možnosti efektivního řešení v rámci nástrojů SZP, které lze uvažovat v nových návrzích SZP</w:t>
        </w:r>
        <w:r w:rsidR="00B31130">
          <w:rPr>
            <w:noProof/>
            <w:webHidden/>
          </w:rPr>
          <w:tab/>
        </w:r>
        <w:r w:rsidR="00B31130">
          <w:rPr>
            <w:noProof/>
            <w:webHidden/>
          </w:rPr>
          <w:fldChar w:fldCharType="begin"/>
        </w:r>
        <w:r w:rsidR="00B31130">
          <w:rPr>
            <w:noProof/>
            <w:webHidden/>
          </w:rPr>
          <w:instrText xml:space="preserve"> PAGEREF _Toc81739240 \h </w:instrText>
        </w:r>
        <w:r w:rsidR="00B31130">
          <w:rPr>
            <w:noProof/>
            <w:webHidden/>
          </w:rPr>
        </w:r>
        <w:r w:rsidR="00B31130">
          <w:rPr>
            <w:noProof/>
            <w:webHidden/>
          </w:rPr>
          <w:fldChar w:fldCharType="separate"/>
        </w:r>
        <w:r w:rsidR="00B31130">
          <w:rPr>
            <w:noProof/>
            <w:webHidden/>
          </w:rPr>
          <w:t>125</w:t>
        </w:r>
        <w:r w:rsidR="00B31130">
          <w:rPr>
            <w:noProof/>
            <w:webHidden/>
          </w:rPr>
          <w:fldChar w:fldCharType="end"/>
        </w:r>
      </w:hyperlink>
    </w:p>
    <w:p w14:paraId="170013D0" w14:textId="1FCC3523"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41" w:history="1">
        <w:r w:rsidR="00B31130" w:rsidRPr="0096164C">
          <w:rPr>
            <w:rStyle w:val="Hypertextovodkaz"/>
            <w:noProof/>
          </w:rPr>
          <w:t>7</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SWOT analýza</w:t>
        </w:r>
        <w:r w:rsidR="00B31130">
          <w:rPr>
            <w:noProof/>
            <w:webHidden/>
          </w:rPr>
          <w:tab/>
        </w:r>
        <w:r w:rsidR="00B31130">
          <w:rPr>
            <w:noProof/>
            <w:webHidden/>
          </w:rPr>
          <w:fldChar w:fldCharType="begin"/>
        </w:r>
        <w:r w:rsidR="00B31130">
          <w:rPr>
            <w:noProof/>
            <w:webHidden/>
          </w:rPr>
          <w:instrText xml:space="preserve"> PAGEREF _Toc81739241 \h </w:instrText>
        </w:r>
        <w:r w:rsidR="00B31130">
          <w:rPr>
            <w:noProof/>
            <w:webHidden/>
          </w:rPr>
        </w:r>
        <w:r w:rsidR="00B31130">
          <w:rPr>
            <w:noProof/>
            <w:webHidden/>
          </w:rPr>
          <w:fldChar w:fldCharType="separate"/>
        </w:r>
        <w:r w:rsidR="00B31130">
          <w:rPr>
            <w:noProof/>
            <w:webHidden/>
          </w:rPr>
          <w:t>126</w:t>
        </w:r>
        <w:r w:rsidR="00B31130">
          <w:rPr>
            <w:noProof/>
            <w:webHidden/>
          </w:rPr>
          <w:fldChar w:fldCharType="end"/>
        </w:r>
      </w:hyperlink>
    </w:p>
    <w:p w14:paraId="7904D58C" w14:textId="4F1822F3" w:rsidR="00B31130" w:rsidRDefault="00E07272">
      <w:pPr>
        <w:pStyle w:val="Obsah1"/>
        <w:tabs>
          <w:tab w:val="right" w:leader="dot" w:pos="9062"/>
        </w:tabs>
        <w:rPr>
          <w:rFonts w:asciiTheme="minorHAnsi" w:eastAsiaTheme="minorEastAsia" w:hAnsiTheme="minorHAnsi"/>
          <w:b w:val="0"/>
          <w:bCs w:val="0"/>
          <w:caps w:val="0"/>
          <w:noProof/>
          <w:sz w:val="24"/>
          <w:szCs w:val="24"/>
          <w:lang w:val="cs-CZ" w:eastAsia="cs-CZ"/>
        </w:rPr>
      </w:pPr>
      <w:hyperlink w:anchor="_Toc81739242" w:history="1">
        <w:r w:rsidR="00B31130" w:rsidRPr="0096164C">
          <w:rPr>
            <w:rStyle w:val="Hypertextovodkaz"/>
            <w:noProof/>
          </w:rPr>
          <w:t>OLEJNINY</w:t>
        </w:r>
        <w:r w:rsidR="00B31130">
          <w:rPr>
            <w:noProof/>
            <w:webHidden/>
          </w:rPr>
          <w:tab/>
        </w:r>
        <w:r w:rsidR="00B31130">
          <w:rPr>
            <w:noProof/>
            <w:webHidden/>
          </w:rPr>
          <w:fldChar w:fldCharType="begin"/>
        </w:r>
        <w:r w:rsidR="00B31130">
          <w:rPr>
            <w:noProof/>
            <w:webHidden/>
          </w:rPr>
          <w:instrText xml:space="preserve"> PAGEREF _Toc81739242 \h </w:instrText>
        </w:r>
        <w:r w:rsidR="00B31130">
          <w:rPr>
            <w:noProof/>
            <w:webHidden/>
          </w:rPr>
        </w:r>
        <w:r w:rsidR="00B31130">
          <w:rPr>
            <w:noProof/>
            <w:webHidden/>
          </w:rPr>
          <w:fldChar w:fldCharType="separate"/>
        </w:r>
        <w:r w:rsidR="00B31130">
          <w:rPr>
            <w:noProof/>
            <w:webHidden/>
          </w:rPr>
          <w:t>127</w:t>
        </w:r>
        <w:r w:rsidR="00B31130">
          <w:rPr>
            <w:noProof/>
            <w:webHidden/>
          </w:rPr>
          <w:fldChar w:fldCharType="end"/>
        </w:r>
      </w:hyperlink>
    </w:p>
    <w:p w14:paraId="49814489" w14:textId="4F868458"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43" w:history="1">
        <w:r w:rsidR="00B31130" w:rsidRPr="0096164C">
          <w:rPr>
            <w:rStyle w:val="Hypertextovodkaz"/>
            <w:noProof/>
          </w:rPr>
          <w:t>1</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Analýza stávajících/navrhovaných právních předpisů EK/ČR a pravděpodobné nastavení směrů a cílů SZP</w:t>
        </w:r>
        <w:r w:rsidR="00B31130">
          <w:rPr>
            <w:noProof/>
            <w:webHidden/>
          </w:rPr>
          <w:tab/>
        </w:r>
        <w:r w:rsidR="00B31130">
          <w:rPr>
            <w:noProof/>
            <w:webHidden/>
          </w:rPr>
          <w:fldChar w:fldCharType="begin"/>
        </w:r>
        <w:r w:rsidR="00B31130">
          <w:rPr>
            <w:noProof/>
            <w:webHidden/>
          </w:rPr>
          <w:instrText xml:space="preserve"> PAGEREF _Toc81739243 \h </w:instrText>
        </w:r>
        <w:r w:rsidR="00B31130">
          <w:rPr>
            <w:noProof/>
            <w:webHidden/>
          </w:rPr>
        </w:r>
        <w:r w:rsidR="00B31130">
          <w:rPr>
            <w:noProof/>
            <w:webHidden/>
          </w:rPr>
          <w:fldChar w:fldCharType="separate"/>
        </w:r>
        <w:r w:rsidR="00B31130">
          <w:rPr>
            <w:noProof/>
            <w:webHidden/>
          </w:rPr>
          <w:t>127</w:t>
        </w:r>
        <w:r w:rsidR="00B31130">
          <w:rPr>
            <w:noProof/>
            <w:webHidden/>
          </w:rPr>
          <w:fldChar w:fldCharType="end"/>
        </w:r>
      </w:hyperlink>
    </w:p>
    <w:p w14:paraId="7F2F0C2A" w14:textId="13C13418"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44" w:history="1">
        <w:r w:rsidR="00B31130" w:rsidRPr="0096164C">
          <w:rPr>
            <w:rStyle w:val="Hypertextovodkaz"/>
            <w:noProof/>
          </w:rPr>
          <w:t>2</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Co je skutečným problémem, na který má politika reagovat?</w:t>
        </w:r>
        <w:r w:rsidR="00B31130">
          <w:rPr>
            <w:noProof/>
            <w:webHidden/>
          </w:rPr>
          <w:tab/>
        </w:r>
        <w:r w:rsidR="00B31130">
          <w:rPr>
            <w:noProof/>
            <w:webHidden/>
          </w:rPr>
          <w:fldChar w:fldCharType="begin"/>
        </w:r>
        <w:r w:rsidR="00B31130">
          <w:rPr>
            <w:noProof/>
            <w:webHidden/>
          </w:rPr>
          <w:instrText xml:space="preserve"> PAGEREF _Toc81739244 \h </w:instrText>
        </w:r>
        <w:r w:rsidR="00B31130">
          <w:rPr>
            <w:noProof/>
            <w:webHidden/>
          </w:rPr>
        </w:r>
        <w:r w:rsidR="00B31130">
          <w:rPr>
            <w:noProof/>
            <w:webHidden/>
          </w:rPr>
          <w:fldChar w:fldCharType="separate"/>
        </w:r>
        <w:r w:rsidR="00B31130">
          <w:rPr>
            <w:noProof/>
            <w:webHidden/>
          </w:rPr>
          <w:t>128</w:t>
        </w:r>
        <w:r w:rsidR="00B31130">
          <w:rPr>
            <w:noProof/>
            <w:webHidden/>
          </w:rPr>
          <w:fldChar w:fldCharType="end"/>
        </w:r>
      </w:hyperlink>
    </w:p>
    <w:p w14:paraId="4AF2A3A3" w14:textId="741A127F"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45" w:history="1">
        <w:r w:rsidR="00B31130" w:rsidRPr="0096164C">
          <w:rPr>
            <w:rStyle w:val="Hypertextovodkaz"/>
            <w:noProof/>
          </w:rPr>
          <w:t>3</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Jaký je mechanismus a příčiny tohoto problému?</w:t>
        </w:r>
        <w:r w:rsidR="00B31130">
          <w:rPr>
            <w:noProof/>
            <w:webHidden/>
          </w:rPr>
          <w:tab/>
        </w:r>
        <w:r w:rsidR="00B31130">
          <w:rPr>
            <w:noProof/>
            <w:webHidden/>
          </w:rPr>
          <w:fldChar w:fldCharType="begin"/>
        </w:r>
        <w:r w:rsidR="00B31130">
          <w:rPr>
            <w:noProof/>
            <w:webHidden/>
          </w:rPr>
          <w:instrText xml:space="preserve"> PAGEREF _Toc81739245 \h </w:instrText>
        </w:r>
        <w:r w:rsidR="00B31130">
          <w:rPr>
            <w:noProof/>
            <w:webHidden/>
          </w:rPr>
        </w:r>
        <w:r w:rsidR="00B31130">
          <w:rPr>
            <w:noProof/>
            <w:webHidden/>
          </w:rPr>
          <w:fldChar w:fldCharType="separate"/>
        </w:r>
        <w:r w:rsidR="00B31130">
          <w:rPr>
            <w:noProof/>
            <w:webHidden/>
          </w:rPr>
          <w:t>130</w:t>
        </w:r>
        <w:r w:rsidR="00B31130">
          <w:rPr>
            <w:noProof/>
            <w:webHidden/>
          </w:rPr>
          <w:fldChar w:fldCharType="end"/>
        </w:r>
      </w:hyperlink>
    </w:p>
    <w:p w14:paraId="597C9222" w14:textId="1E752D71"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46" w:history="1">
        <w:r w:rsidR="00B31130" w:rsidRPr="0096164C">
          <w:rPr>
            <w:rStyle w:val="Hypertextovodkaz"/>
            <w:noProof/>
          </w:rPr>
          <w:t>4</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Jak závažný je tento problém?</w:t>
        </w:r>
        <w:r w:rsidR="00B31130">
          <w:rPr>
            <w:noProof/>
            <w:webHidden/>
          </w:rPr>
          <w:tab/>
        </w:r>
        <w:r w:rsidR="00B31130">
          <w:rPr>
            <w:noProof/>
            <w:webHidden/>
          </w:rPr>
          <w:fldChar w:fldCharType="begin"/>
        </w:r>
        <w:r w:rsidR="00B31130">
          <w:rPr>
            <w:noProof/>
            <w:webHidden/>
          </w:rPr>
          <w:instrText xml:space="preserve"> PAGEREF _Toc81739246 \h </w:instrText>
        </w:r>
        <w:r w:rsidR="00B31130">
          <w:rPr>
            <w:noProof/>
            <w:webHidden/>
          </w:rPr>
        </w:r>
        <w:r w:rsidR="00B31130">
          <w:rPr>
            <w:noProof/>
            <w:webHidden/>
          </w:rPr>
          <w:fldChar w:fldCharType="separate"/>
        </w:r>
        <w:r w:rsidR="00B31130">
          <w:rPr>
            <w:noProof/>
            <w:webHidden/>
          </w:rPr>
          <w:t>131</w:t>
        </w:r>
        <w:r w:rsidR="00B31130">
          <w:rPr>
            <w:noProof/>
            <w:webHidden/>
          </w:rPr>
          <w:fldChar w:fldCharType="end"/>
        </w:r>
      </w:hyperlink>
    </w:p>
    <w:p w14:paraId="1AFF0E1A" w14:textId="3F035324"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47" w:history="1">
        <w:r w:rsidR="00B31130" w:rsidRPr="0096164C">
          <w:rPr>
            <w:rStyle w:val="Hypertextovodkaz"/>
            <w:noProof/>
          </w:rPr>
          <w:t>5</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Míra stávajícího řešení problému</w:t>
        </w:r>
        <w:r w:rsidR="00B31130">
          <w:rPr>
            <w:noProof/>
            <w:webHidden/>
          </w:rPr>
          <w:tab/>
        </w:r>
        <w:r w:rsidR="00B31130">
          <w:rPr>
            <w:noProof/>
            <w:webHidden/>
          </w:rPr>
          <w:fldChar w:fldCharType="begin"/>
        </w:r>
        <w:r w:rsidR="00B31130">
          <w:rPr>
            <w:noProof/>
            <w:webHidden/>
          </w:rPr>
          <w:instrText xml:space="preserve"> PAGEREF _Toc81739247 \h </w:instrText>
        </w:r>
        <w:r w:rsidR="00B31130">
          <w:rPr>
            <w:noProof/>
            <w:webHidden/>
          </w:rPr>
        </w:r>
        <w:r w:rsidR="00B31130">
          <w:rPr>
            <w:noProof/>
            <w:webHidden/>
          </w:rPr>
          <w:fldChar w:fldCharType="separate"/>
        </w:r>
        <w:r w:rsidR="00B31130">
          <w:rPr>
            <w:noProof/>
            <w:webHidden/>
          </w:rPr>
          <w:t>133</w:t>
        </w:r>
        <w:r w:rsidR="00B31130">
          <w:rPr>
            <w:noProof/>
            <w:webHidden/>
          </w:rPr>
          <w:fldChar w:fldCharType="end"/>
        </w:r>
      </w:hyperlink>
    </w:p>
    <w:p w14:paraId="45CCB690" w14:textId="0438EC39" w:rsidR="00B31130" w:rsidRDefault="00E07272">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39248" w:history="1">
        <w:r w:rsidR="00B31130" w:rsidRPr="0096164C">
          <w:rPr>
            <w:rStyle w:val="Hypertextovodkaz"/>
            <w:noProof/>
          </w:rPr>
          <w:t>5.1</w:t>
        </w:r>
        <w:r w:rsidR="00B31130">
          <w:rPr>
            <w:rFonts w:asciiTheme="minorHAnsi" w:eastAsiaTheme="minorEastAsia" w:hAnsiTheme="minorHAnsi"/>
            <w:smallCaps w:val="0"/>
            <w:noProof/>
            <w:sz w:val="24"/>
            <w:szCs w:val="24"/>
            <w:lang w:val="cs-CZ" w:eastAsia="cs-CZ"/>
          </w:rPr>
          <w:tab/>
        </w:r>
        <w:r w:rsidR="00B31130" w:rsidRPr="0096164C">
          <w:rPr>
            <w:rStyle w:val="Hypertextovodkaz"/>
            <w:noProof/>
          </w:rPr>
          <w:t>Míra řešení ve stávající SZP (úspěšnost/neúspěšnost)</w:t>
        </w:r>
        <w:r w:rsidR="00B31130">
          <w:rPr>
            <w:noProof/>
            <w:webHidden/>
          </w:rPr>
          <w:tab/>
        </w:r>
        <w:r w:rsidR="00B31130">
          <w:rPr>
            <w:noProof/>
            <w:webHidden/>
          </w:rPr>
          <w:fldChar w:fldCharType="begin"/>
        </w:r>
        <w:r w:rsidR="00B31130">
          <w:rPr>
            <w:noProof/>
            <w:webHidden/>
          </w:rPr>
          <w:instrText xml:space="preserve"> PAGEREF _Toc81739248 \h </w:instrText>
        </w:r>
        <w:r w:rsidR="00B31130">
          <w:rPr>
            <w:noProof/>
            <w:webHidden/>
          </w:rPr>
        </w:r>
        <w:r w:rsidR="00B31130">
          <w:rPr>
            <w:noProof/>
            <w:webHidden/>
          </w:rPr>
          <w:fldChar w:fldCharType="separate"/>
        </w:r>
        <w:r w:rsidR="00B31130">
          <w:rPr>
            <w:noProof/>
            <w:webHidden/>
          </w:rPr>
          <w:t>133</w:t>
        </w:r>
        <w:r w:rsidR="00B31130">
          <w:rPr>
            <w:noProof/>
            <w:webHidden/>
          </w:rPr>
          <w:fldChar w:fldCharType="end"/>
        </w:r>
      </w:hyperlink>
    </w:p>
    <w:p w14:paraId="59849837" w14:textId="65F7E848" w:rsidR="00B31130" w:rsidRDefault="00E07272">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39249" w:history="1">
        <w:r w:rsidR="00B31130" w:rsidRPr="0096164C">
          <w:rPr>
            <w:rStyle w:val="Hypertextovodkaz"/>
            <w:noProof/>
          </w:rPr>
          <w:t>5.2</w:t>
        </w:r>
        <w:r w:rsidR="00B31130">
          <w:rPr>
            <w:rFonts w:asciiTheme="minorHAnsi" w:eastAsiaTheme="minorEastAsia" w:hAnsiTheme="minorHAnsi"/>
            <w:smallCaps w:val="0"/>
            <w:noProof/>
            <w:sz w:val="24"/>
            <w:szCs w:val="24"/>
            <w:lang w:val="cs-CZ" w:eastAsia="cs-CZ"/>
          </w:rPr>
          <w:tab/>
        </w:r>
        <w:r w:rsidR="00B31130" w:rsidRPr="0096164C">
          <w:rPr>
            <w:rStyle w:val="Hypertextovodkaz"/>
            <w:noProof/>
          </w:rPr>
          <w:t>Míra současného řešení problému jinými politikami</w:t>
        </w:r>
        <w:r w:rsidR="00B31130">
          <w:rPr>
            <w:noProof/>
            <w:webHidden/>
          </w:rPr>
          <w:tab/>
        </w:r>
        <w:r w:rsidR="00B31130">
          <w:rPr>
            <w:noProof/>
            <w:webHidden/>
          </w:rPr>
          <w:fldChar w:fldCharType="begin"/>
        </w:r>
        <w:r w:rsidR="00B31130">
          <w:rPr>
            <w:noProof/>
            <w:webHidden/>
          </w:rPr>
          <w:instrText xml:space="preserve"> PAGEREF _Toc81739249 \h </w:instrText>
        </w:r>
        <w:r w:rsidR="00B31130">
          <w:rPr>
            <w:noProof/>
            <w:webHidden/>
          </w:rPr>
        </w:r>
        <w:r w:rsidR="00B31130">
          <w:rPr>
            <w:noProof/>
            <w:webHidden/>
          </w:rPr>
          <w:fldChar w:fldCharType="separate"/>
        </w:r>
        <w:r w:rsidR="00B31130">
          <w:rPr>
            <w:noProof/>
            <w:webHidden/>
          </w:rPr>
          <w:t>133</w:t>
        </w:r>
        <w:r w:rsidR="00B31130">
          <w:rPr>
            <w:noProof/>
            <w:webHidden/>
          </w:rPr>
          <w:fldChar w:fldCharType="end"/>
        </w:r>
      </w:hyperlink>
    </w:p>
    <w:p w14:paraId="4ED05105" w14:textId="45DB63F4"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50" w:history="1">
        <w:r w:rsidR="00B31130" w:rsidRPr="0096164C">
          <w:rPr>
            <w:rStyle w:val="Hypertextovodkaz"/>
            <w:noProof/>
          </w:rPr>
          <w:t>6</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Existence/neexistence možnosti efektivního řešení v rámci nástrojů SZP, které lze uvažovat v nových návrzích SZP</w:t>
        </w:r>
        <w:r w:rsidR="00B31130">
          <w:rPr>
            <w:noProof/>
            <w:webHidden/>
          </w:rPr>
          <w:tab/>
        </w:r>
        <w:r w:rsidR="00B31130">
          <w:rPr>
            <w:noProof/>
            <w:webHidden/>
          </w:rPr>
          <w:fldChar w:fldCharType="begin"/>
        </w:r>
        <w:r w:rsidR="00B31130">
          <w:rPr>
            <w:noProof/>
            <w:webHidden/>
          </w:rPr>
          <w:instrText xml:space="preserve"> PAGEREF _Toc81739250 \h </w:instrText>
        </w:r>
        <w:r w:rsidR="00B31130">
          <w:rPr>
            <w:noProof/>
            <w:webHidden/>
          </w:rPr>
        </w:r>
        <w:r w:rsidR="00B31130">
          <w:rPr>
            <w:noProof/>
            <w:webHidden/>
          </w:rPr>
          <w:fldChar w:fldCharType="separate"/>
        </w:r>
        <w:r w:rsidR="00B31130">
          <w:rPr>
            <w:noProof/>
            <w:webHidden/>
          </w:rPr>
          <w:t>135</w:t>
        </w:r>
        <w:r w:rsidR="00B31130">
          <w:rPr>
            <w:noProof/>
            <w:webHidden/>
          </w:rPr>
          <w:fldChar w:fldCharType="end"/>
        </w:r>
      </w:hyperlink>
    </w:p>
    <w:p w14:paraId="28C0FAE5" w14:textId="75A5C8FC"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51" w:history="1">
        <w:r w:rsidR="00B31130" w:rsidRPr="0096164C">
          <w:rPr>
            <w:rStyle w:val="Hypertextovodkaz"/>
            <w:noProof/>
          </w:rPr>
          <w:t>7</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SWOT analýza</w:t>
        </w:r>
        <w:r w:rsidR="00B31130">
          <w:rPr>
            <w:noProof/>
            <w:webHidden/>
          </w:rPr>
          <w:tab/>
        </w:r>
        <w:r w:rsidR="00B31130">
          <w:rPr>
            <w:noProof/>
            <w:webHidden/>
          </w:rPr>
          <w:fldChar w:fldCharType="begin"/>
        </w:r>
        <w:r w:rsidR="00B31130">
          <w:rPr>
            <w:noProof/>
            <w:webHidden/>
          </w:rPr>
          <w:instrText xml:space="preserve"> PAGEREF _Toc81739251 \h </w:instrText>
        </w:r>
        <w:r w:rsidR="00B31130">
          <w:rPr>
            <w:noProof/>
            <w:webHidden/>
          </w:rPr>
        </w:r>
        <w:r w:rsidR="00B31130">
          <w:rPr>
            <w:noProof/>
            <w:webHidden/>
          </w:rPr>
          <w:fldChar w:fldCharType="separate"/>
        </w:r>
        <w:r w:rsidR="00B31130">
          <w:rPr>
            <w:noProof/>
            <w:webHidden/>
          </w:rPr>
          <w:t>136</w:t>
        </w:r>
        <w:r w:rsidR="00B31130">
          <w:rPr>
            <w:noProof/>
            <w:webHidden/>
          </w:rPr>
          <w:fldChar w:fldCharType="end"/>
        </w:r>
      </w:hyperlink>
    </w:p>
    <w:p w14:paraId="0E65E103" w14:textId="513C028A" w:rsidR="00B31130" w:rsidRDefault="00E07272">
      <w:pPr>
        <w:pStyle w:val="Obsah1"/>
        <w:tabs>
          <w:tab w:val="right" w:leader="dot" w:pos="9062"/>
        </w:tabs>
        <w:rPr>
          <w:rFonts w:asciiTheme="minorHAnsi" w:eastAsiaTheme="minorEastAsia" w:hAnsiTheme="minorHAnsi"/>
          <w:b w:val="0"/>
          <w:bCs w:val="0"/>
          <w:caps w:val="0"/>
          <w:noProof/>
          <w:sz w:val="24"/>
          <w:szCs w:val="24"/>
          <w:lang w:val="cs-CZ" w:eastAsia="cs-CZ"/>
        </w:rPr>
      </w:pPr>
      <w:hyperlink w:anchor="_Toc81739252" w:history="1">
        <w:r w:rsidR="00B31130" w:rsidRPr="0096164C">
          <w:rPr>
            <w:rStyle w:val="Hypertextovodkaz"/>
            <w:noProof/>
          </w:rPr>
          <w:t>LEN A KONOPÍ</w:t>
        </w:r>
        <w:r w:rsidR="00B31130">
          <w:rPr>
            <w:noProof/>
            <w:webHidden/>
          </w:rPr>
          <w:tab/>
        </w:r>
        <w:r w:rsidR="00B31130">
          <w:rPr>
            <w:noProof/>
            <w:webHidden/>
          </w:rPr>
          <w:fldChar w:fldCharType="begin"/>
        </w:r>
        <w:r w:rsidR="00B31130">
          <w:rPr>
            <w:noProof/>
            <w:webHidden/>
          </w:rPr>
          <w:instrText xml:space="preserve"> PAGEREF _Toc81739252 \h </w:instrText>
        </w:r>
        <w:r w:rsidR="00B31130">
          <w:rPr>
            <w:noProof/>
            <w:webHidden/>
          </w:rPr>
        </w:r>
        <w:r w:rsidR="00B31130">
          <w:rPr>
            <w:noProof/>
            <w:webHidden/>
          </w:rPr>
          <w:fldChar w:fldCharType="separate"/>
        </w:r>
        <w:r w:rsidR="00B31130">
          <w:rPr>
            <w:noProof/>
            <w:webHidden/>
          </w:rPr>
          <w:t>137</w:t>
        </w:r>
        <w:r w:rsidR="00B31130">
          <w:rPr>
            <w:noProof/>
            <w:webHidden/>
          </w:rPr>
          <w:fldChar w:fldCharType="end"/>
        </w:r>
      </w:hyperlink>
    </w:p>
    <w:p w14:paraId="7575DDF1" w14:textId="6B66D85B"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53" w:history="1">
        <w:r w:rsidR="00B31130" w:rsidRPr="0096164C">
          <w:rPr>
            <w:rStyle w:val="Hypertextovodkaz"/>
            <w:noProof/>
          </w:rPr>
          <w:t>1</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Analýza stávajících/navrhovaných právních předpisů EK/ČR a pravděpodobné nastavení směrů a cílů SZP</w:t>
        </w:r>
        <w:r w:rsidR="00B31130">
          <w:rPr>
            <w:noProof/>
            <w:webHidden/>
          </w:rPr>
          <w:tab/>
        </w:r>
        <w:r w:rsidR="00B31130">
          <w:rPr>
            <w:noProof/>
            <w:webHidden/>
          </w:rPr>
          <w:fldChar w:fldCharType="begin"/>
        </w:r>
        <w:r w:rsidR="00B31130">
          <w:rPr>
            <w:noProof/>
            <w:webHidden/>
          </w:rPr>
          <w:instrText xml:space="preserve"> PAGEREF _Toc81739253 \h </w:instrText>
        </w:r>
        <w:r w:rsidR="00B31130">
          <w:rPr>
            <w:noProof/>
            <w:webHidden/>
          </w:rPr>
        </w:r>
        <w:r w:rsidR="00B31130">
          <w:rPr>
            <w:noProof/>
            <w:webHidden/>
          </w:rPr>
          <w:fldChar w:fldCharType="separate"/>
        </w:r>
        <w:r w:rsidR="00B31130">
          <w:rPr>
            <w:noProof/>
            <w:webHidden/>
          </w:rPr>
          <w:t>137</w:t>
        </w:r>
        <w:r w:rsidR="00B31130">
          <w:rPr>
            <w:noProof/>
            <w:webHidden/>
          </w:rPr>
          <w:fldChar w:fldCharType="end"/>
        </w:r>
      </w:hyperlink>
    </w:p>
    <w:p w14:paraId="45D06D0C" w14:textId="2913151C"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54" w:history="1">
        <w:r w:rsidR="00B31130" w:rsidRPr="0096164C">
          <w:rPr>
            <w:rStyle w:val="Hypertextovodkaz"/>
            <w:noProof/>
          </w:rPr>
          <w:t>2</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Co je skutečným problémem, na který má politika reagovat?</w:t>
        </w:r>
        <w:r w:rsidR="00B31130">
          <w:rPr>
            <w:noProof/>
            <w:webHidden/>
          </w:rPr>
          <w:tab/>
        </w:r>
        <w:r w:rsidR="00B31130">
          <w:rPr>
            <w:noProof/>
            <w:webHidden/>
          </w:rPr>
          <w:fldChar w:fldCharType="begin"/>
        </w:r>
        <w:r w:rsidR="00B31130">
          <w:rPr>
            <w:noProof/>
            <w:webHidden/>
          </w:rPr>
          <w:instrText xml:space="preserve"> PAGEREF _Toc81739254 \h </w:instrText>
        </w:r>
        <w:r w:rsidR="00B31130">
          <w:rPr>
            <w:noProof/>
            <w:webHidden/>
          </w:rPr>
        </w:r>
        <w:r w:rsidR="00B31130">
          <w:rPr>
            <w:noProof/>
            <w:webHidden/>
          </w:rPr>
          <w:fldChar w:fldCharType="separate"/>
        </w:r>
        <w:r w:rsidR="00B31130">
          <w:rPr>
            <w:noProof/>
            <w:webHidden/>
          </w:rPr>
          <w:t>138</w:t>
        </w:r>
        <w:r w:rsidR="00B31130">
          <w:rPr>
            <w:noProof/>
            <w:webHidden/>
          </w:rPr>
          <w:fldChar w:fldCharType="end"/>
        </w:r>
      </w:hyperlink>
    </w:p>
    <w:p w14:paraId="67F440FF" w14:textId="651ED622"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55" w:history="1">
        <w:r w:rsidR="00B31130" w:rsidRPr="0096164C">
          <w:rPr>
            <w:rStyle w:val="Hypertextovodkaz"/>
            <w:noProof/>
          </w:rPr>
          <w:t>3</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Jaký je mechanismus a příčiny tohoto problému?</w:t>
        </w:r>
        <w:r w:rsidR="00B31130">
          <w:rPr>
            <w:noProof/>
            <w:webHidden/>
          </w:rPr>
          <w:tab/>
        </w:r>
        <w:r w:rsidR="00B31130">
          <w:rPr>
            <w:noProof/>
            <w:webHidden/>
          </w:rPr>
          <w:fldChar w:fldCharType="begin"/>
        </w:r>
        <w:r w:rsidR="00B31130">
          <w:rPr>
            <w:noProof/>
            <w:webHidden/>
          </w:rPr>
          <w:instrText xml:space="preserve"> PAGEREF _Toc81739255 \h </w:instrText>
        </w:r>
        <w:r w:rsidR="00B31130">
          <w:rPr>
            <w:noProof/>
            <w:webHidden/>
          </w:rPr>
        </w:r>
        <w:r w:rsidR="00B31130">
          <w:rPr>
            <w:noProof/>
            <w:webHidden/>
          </w:rPr>
          <w:fldChar w:fldCharType="separate"/>
        </w:r>
        <w:r w:rsidR="00B31130">
          <w:rPr>
            <w:noProof/>
            <w:webHidden/>
          </w:rPr>
          <w:t>140</w:t>
        </w:r>
        <w:r w:rsidR="00B31130">
          <w:rPr>
            <w:noProof/>
            <w:webHidden/>
          </w:rPr>
          <w:fldChar w:fldCharType="end"/>
        </w:r>
      </w:hyperlink>
    </w:p>
    <w:p w14:paraId="206E5619" w14:textId="6902CBAA"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56" w:history="1">
        <w:r w:rsidR="00B31130" w:rsidRPr="0096164C">
          <w:rPr>
            <w:rStyle w:val="Hypertextovodkaz"/>
            <w:noProof/>
          </w:rPr>
          <w:t>4</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Jak závažný je tento problém?</w:t>
        </w:r>
        <w:r w:rsidR="00B31130">
          <w:rPr>
            <w:noProof/>
            <w:webHidden/>
          </w:rPr>
          <w:tab/>
        </w:r>
        <w:r w:rsidR="00B31130">
          <w:rPr>
            <w:noProof/>
            <w:webHidden/>
          </w:rPr>
          <w:fldChar w:fldCharType="begin"/>
        </w:r>
        <w:r w:rsidR="00B31130">
          <w:rPr>
            <w:noProof/>
            <w:webHidden/>
          </w:rPr>
          <w:instrText xml:space="preserve"> PAGEREF _Toc81739256 \h </w:instrText>
        </w:r>
        <w:r w:rsidR="00B31130">
          <w:rPr>
            <w:noProof/>
            <w:webHidden/>
          </w:rPr>
        </w:r>
        <w:r w:rsidR="00B31130">
          <w:rPr>
            <w:noProof/>
            <w:webHidden/>
          </w:rPr>
          <w:fldChar w:fldCharType="separate"/>
        </w:r>
        <w:r w:rsidR="00B31130">
          <w:rPr>
            <w:noProof/>
            <w:webHidden/>
          </w:rPr>
          <w:t>143</w:t>
        </w:r>
        <w:r w:rsidR="00B31130">
          <w:rPr>
            <w:noProof/>
            <w:webHidden/>
          </w:rPr>
          <w:fldChar w:fldCharType="end"/>
        </w:r>
      </w:hyperlink>
    </w:p>
    <w:p w14:paraId="43E9C04B" w14:textId="600C4BA6"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57" w:history="1">
        <w:r w:rsidR="00B31130" w:rsidRPr="0096164C">
          <w:rPr>
            <w:rStyle w:val="Hypertextovodkaz"/>
            <w:noProof/>
          </w:rPr>
          <w:t>5</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Míra stávajícího řešení problému</w:t>
        </w:r>
        <w:r w:rsidR="00B31130">
          <w:rPr>
            <w:noProof/>
            <w:webHidden/>
          </w:rPr>
          <w:tab/>
        </w:r>
        <w:r w:rsidR="00B31130">
          <w:rPr>
            <w:noProof/>
            <w:webHidden/>
          </w:rPr>
          <w:fldChar w:fldCharType="begin"/>
        </w:r>
        <w:r w:rsidR="00B31130">
          <w:rPr>
            <w:noProof/>
            <w:webHidden/>
          </w:rPr>
          <w:instrText xml:space="preserve"> PAGEREF _Toc81739257 \h </w:instrText>
        </w:r>
        <w:r w:rsidR="00B31130">
          <w:rPr>
            <w:noProof/>
            <w:webHidden/>
          </w:rPr>
        </w:r>
        <w:r w:rsidR="00B31130">
          <w:rPr>
            <w:noProof/>
            <w:webHidden/>
          </w:rPr>
          <w:fldChar w:fldCharType="separate"/>
        </w:r>
        <w:r w:rsidR="00B31130">
          <w:rPr>
            <w:noProof/>
            <w:webHidden/>
          </w:rPr>
          <w:t>154</w:t>
        </w:r>
        <w:r w:rsidR="00B31130">
          <w:rPr>
            <w:noProof/>
            <w:webHidden/>
          </w:rPr>
          <w:fldChar w:fldCharType="end"/>
        </w:r>
      </w:hyperlink>
    </w:p>
    <w:p w14:paraId="7982D476" w14:textId="20BE9EA0" w:rsidR="00B31130" w:rsidRDefault="00E07272">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39258" w:history="1">
        <w:r w:rsidR="00B31130" w:rsidRPr="0096164C">
          <w:rPr>
            <w:rStyle w:val="Hypertextovodkaz"/>
            <w:noProof/>
          </w:rPr>
          <w:t>5.1</w:t>
        </w:r>
        <w:r w:rsidR="00B31130">
          <w:rPr>
            <w:rFonts w:asciiTheme="minorHAnsi" w:eastAsiaTheme="minorEastAsia" w:hAnsiTheme="minorHAnsi"/>
            <w:smallCaps w:val="0"/>
            <w:noProof/>
            <w:sz w:val="24"/>
            <w:szCs w:val="24"/>
            <w:lang w:val="cs-CZ" w:eastAsia="cs-CZ"/>
          </w:rPr>
          <w:tab/>
        </w:r>
        <w:r w:rsidR="00B31130" w:rsidRPr="0096164C">
          <w:rPr>
            <w:rStyle w:val="Hypertextovodkaz"/>
            <w:noProof/>
          </w:rPr>
          <w:t>Míra řešení ve stávající SZP (úspěšnost/neúspěšnost)</w:t>
        </w:r>
        <w:r w:rsidR="00B31130">
          <w:rPr>
            <w:noProof/>
            <w:webHidden/>
          </w:rPr>
          <w:tab/>
        </w:r>
        <w:r w:rsidR="00B31130">
          <w:rPr>
            <w:noProof/>
            <w:webHidden/>
          </w:rPr>
          <w:fldChar w:fldCharType="begin"/>
        </w:r>
        <w:r w:rsidR="00B31130">
          <w:rPr>
            <w:noProof/>
            <w:webHidden/>
          </w:rPr>
          <w:instrText xml:space="preserve"> PAGEREF _Toc81739258 \h </w:instrText>
        </w:r>
        <w:r w:rsidR="00B31130">
          <w:rPr>
            <w:noProof/>
            <w:webHidden/>
          </w:rPr>
        </w:r>
        <w:r w:rsidR="00B31130">
          <w:rPr>
            <w:noProof/>
            <w:webHidden/>
          </w:rPr>
          <w:fldChar w:fldCharType="separate"/>
        </w:r>
        <w:r w:rsidR="00B31130">
          <w:rPr>
            <w:noProof/>
            <w:webHidden/>
          </w:rPr>
          <w:t>154</w:t>
        </w:r>
        <w:r w:rsidR="00B31130">
          <w:rPr>
            <w:noProof/>
            <w:webHidden/>
          </w:rPr>
          <w:fldChar w:fldCharType="end"/>
        </w:r>
      </w:hyperlink>
    </w:p>
    <w:p w14:paraId="2B1D9D31" w14:textId="62F6045D" w:rsidR="00B31130" w:rsidRDefault="00E07272">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39259" w:history="1">
        <w:r w:rsidR="00B31130" w:rsidRPr="0096164C">
          <w:rPr>
            <w:rStyle w:val="Hypertextovodkaz"/>
            <w:noProof/>
          </w:rPr>
          <w:t>5.2</w:t>
        </w:r>
        <w:r w:rsidR="00B31130">
          <w:rPr>
            <w:rFonts w:asciiTheme="minorHAnsi" w:eastAsiaTheme="minorEastAsia" w:hAnsiTheme="minorHAnsi"/>
            <w:smallCaps w:val="0"/>
            <w:noProof/>
            <w:sz w:val="24"/>
            <w:szCs w:val="24"/>
            <w:lang w:val="cs-CZ" w:eastAsia="cs-CZ"/>
          </w:rPr>
          <w:tab/>
        </w:r>
        <w:r w:rsidR="00B31130" w:rsidRPr="0096164C">
          <w:rPr>
            <w:rStyle w:val="Hypertextovodkaz"/>
            <w:noProof/>
          </w:rPr>
          <w:t>Míra současného řešení problému jinými politikami</w:t>
        </w:r>
        <w:r w:rsidR="00B31130">
          <w:rPr>
            <w:noProof/>
            <w:webHidden/>
          </w:rPr>
          <w:tab/>
        </w:r>
        <w:r w:rsidR="00B31130">
          <w:rPr>
            <w:noProof/>
            <w:webHidden/>
          </w:rPr>
          <w:fldChar w:fldCharType="begin"/>
        </w:r>
        <w:r w:rsidR="00B31130">
          <w:rPr>
            <w:noProof/>
            <w:webHidden/>
          </w:rPr>
          <w:instrText xml:space="preserve"> PAGEREF _Toc81739259 \h </w:instrText>
        </w:r>
        <w:r w:rsidR="00B31130">
          <w:rPr>
            <w:noProof/>
            <w:webHidden/>
          </w:rPr>
        </w:r>
        <w:r w:rsidR="00B31130">
          <w:rPr>
            <w:noProof/>
            <w:webHidden/>
          </w:rPr>
          <w:fldChar w:fldCharType="separate"/>
        </w:r>
        <w:r w:rsidR="00B31130">
          <w:rPr>
            <w:noProof/>
            <w:webHidden/>
          </w:rPr>
          <w:t>155</w:t>
        </w:r>
        <w:r w:rsidR="00B31130">
          <w:rPr>
            <w:noProof/>
            <w:webHidden/>
          </w:rPr>
          <w:fldChar w:fldCharType="end"/>
        </w:r>
      </w:hyperlink>
    </w:p>
    <w:p w14:paraId="2A24310D" w14:textId="4CEF8DA4"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60" w:history="1">
        <w:r w:rsidR="00B31130" w:rsidRPr="0096164C">
          <w:rPr>
            <w:rStyle w:val="Hypertextovodkaz"/>
            <w:noProof/>
          </w:rPr>
          <w:t>6</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Existence/neexistence možnosti efektivního řešení v rámci nástrojů SZP, které lze uvažovat v nových návrzích SZP</w:t>
        </w:r>
        <w:r w:rsidR="00B31130">
          <w:rPr>
            <w:noProof/>
            <w:webHidden/>
          </w:rPr>
          <w:tab/>
        </w:r>
        <w:r w:rsidR="00B31130">
          <w:rPr>
            <w:noProof/>
            <w:webHidden/>
          </w:rPr>
          <w:fldChar w:fldCharType="begin"/>
        </w:r>
        <w:r w:rsidR="00B31130">
          <w:rPr>
            <w:noProof/>
            <w:webHidden/>
          </w:rPr>
          <w:instrText xml:space="preserve"> PAGEREF _Toc81739260 \h </w:instrText>
        </w:r>
        <w:r w:rsidR="00B31130">
          <w:rPr>
            <w:noProof/>
            <w:webHidden/>
          </w:rPr>
        </w:r>
        <w:r w:rsidR="00B31130">
          <w:rPr>
            <w:noProof/>
            <w:webHidden/>
          </w:rPr>
          <w:fldChar w:fldCharType="separate"/>
        </w:r>
        <w:r w:rsidR="00B31130">
          <w:rPr>
            <w:noProof/>
            <w:webHidden/>
          </w:rPr>
          <w:t>157</w:t>
        </w:r>
        <w:r w:rsidR="00B31130">
          <w:rPr>
            <w:noProof/>
            <w:webHidden/>
          </w:rPr>
          <w:fldChar w:fldCharType="end"/>
        </w:r>
      </w:hyperlink>
    </w:p>
    <w:p w14:paraId="497A87CE" w14:textId="08E510EB"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61" w:history="1">
        <w:r w:rsidR="00B31130" w:rsidRPr="0096164C">
          <w:rPr>
            <w:rStyle w:val="Hypertextovodkaz"/>
            <w:noProof/>
          </w:rPr>
          <w:t>7</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SWOT analýza</w:t>
        </w:r>
        <w:r w:rsidR="00B31130">
          <w:rPr>
            <w:noProof/>
            <w:webHidden/>
          </w:rPr>
          <w:tab/>
        </w:r>
        <w:r w:rsidR="00B31130">
          <w:rPr>
            <w:noProof/>
            <w:webHidden/>
          </w:rPr>
          <w:fldChar w:fldCharType="begin"/>
        </w:r>
        <w:r w:rsidR="00B31130">
          <w:rPr>
            <w:noProof/>
            <w:webHidden/>
          </w:rPr>
          <w:instrText xml:space="preserve"> PAGEREF _Toc81739261 \h </w:instrText>
        </w:r>
        <w:r w:rsidR="00B31130">
          <w:rPr>
            <w:noProof/>
            <w:webHidden/>
          </w:rPr>
        </w:r>
        <w:r w:rsidR="00B31130">
          <w:rPr>
            <w:noProof/>
            <w:webHidden/>
          </w:rPr>
          <w:fldChar w:fldCharType="separate"/>
        </w:r>
        <w:r w:rsidR="00B31130">
          <w:rPr>
            <w:noProof/>
            <w:webHidden/>
          </w:rPr>
          <w:t>159</w:t>
        </w:r>
        <w:r w:rsidR="00B31130">
          <w:rPr>
            <w:noProof/>
            <w:webHidden/>
          </w:rPr>
          <w:fldChar w:fldCharType="end"/>
        </w:r>
      </w:hyperlink>
    </w:p>
    <w:p w14:paraId="7CB8B9A2" w14:textId="32578F4D" w:rsidR="00B31130" w:rsidRDefault="00E07272">
      <w:pPr>
        <w:pStyle w:val="Obsah1"/>
        <w:tabs>
          <w:tab w:val="right" w:leader="dot" w:pos="9062"/>
        </w:tabs>
        <w:rPr>
          <w:rFonts w:asciiTheme="minorHAnsi" w:eastAsiaTheme="minorEastAsia" w:hAnsiTheme="minorHAnsi"/>
          <w:b w:val="0"/>
          <w:bCs w:val="0"/>
          <w:caps w:val="0"/>
          <w:noProof/>
          <w:sz w:val="24"/>
          <w:szCs w:val="24"/>
          <w:lang w:val="cs-CZ" w:eastAsia="cs-CZ"/>
        </w:rPr>
      </w:pPr>
      <w:hyperlink w:anchor="_Toc81739262" w:history="1">
        <w:r w:rsidR="00B31130" w:rsidRPr="0096164C">
          <w:rPr>
            <w:rStyle w:val="Hypertextovodkaz"/>
            <w:noProof/>
          </w:rPr>
          <w:t>TRÁVY A PÍCNINY NA SEMENO</w:t>
        </w:r>
        <w:r w:rsidR="00B31130">
          <w:rPr>
            <w:noProof/>
            <w:webHidden/>
          </w:rPr>
          <w:tab/>
        </w:r>
        <w:r w:rsidR="00B31130">
          <w:rPr>
            <w:noProof/>
            <w:webHidden/>
          </w:rPr>
          <w:fldChar w:fldCharType="begin"/>
        </w:r>
        <w:r w:rsidR="00B31130">
          <w:rPr>
            <w:noProof/>
            <w:webHidden/>
          </w:rPr>
          <w:instrText xml:space="preserve"> PAGEREF _Toc81739262 \h </w:instrText>
        </w:r>
        <w:r w:rsidR="00B31130">
          <w:rPr>
            <w:noProof/>
            <w:webHidden/>
          </w:rPr>
        </w:r>
        <w:r w:rsidR="00B31130">
          <w:rPr>
            <w:noProof/>
            <w:webHidden/>
          </w:rPr>
          <w:fldChar w:fldCharType="separate"/>
        </w:r>
        <w:r w:rsidR="00B31130">
          <w:rPr>
            <w:noProof/>
            <w:webHidden/>
          </w:rPr>
          <w:t>161</w:t>
        </w:r>
        <w:r w:rsidR="00B31130">
          <w:rPr>
            <w:noProof/>
            <w:webHidden/>
          </w:rPr>
          <w:fldChar w:fldCharType="end"/>
        </w:r>
      </w:hyperlink>
    </w:p>
    <w:p w14:paraId="55B666D9" w14:textId="105D4804"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63" w:history="1">
        <w:r w:rsidR="00B31130" w:rsidRPr="0096164C">
          <w:rPr>
            <w:rStyle w:val="Hypertextovodkaz"/>
            <w:noProof/>
          </w:rPr>
          <w:t>1</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Analýza stávajících/navrhovaných právních předpisů EK/ČR a pravděpodobné nastavení směrů a cílů SZP</w:t>
        </w:r>
        <w:r w:rsidR="00B31130">
          <w:rPr>
            <w:noProof/>
            <w:webHidden/>
          </w:rPr>
          <w:tab/>
        </w:r>
        <w:r w:rsidR="00B31130">
          <w:rPr>
            <w:noProof/>
            <w:webHidden/>
          </w:rPr>
          <w:fldChar w:fldCharType="begin"/>
        </w:r>
        <w:r w:rsidR="00B31130">
          <w:rPr>
            <w:noProof/>
            <w:webHidden/>
          </w:rPr>
          <w:instrText xml:space="preserve"> PAGEREF _Toc81739263 \h </w:instrText>
        </w:r>
        <w:r w:rsidR="00B31130">
          <w:rPr>
            <w:noProof/>
            <w:webHidden/>
          </w:rPr>
        </w:r>
        <w:r w:rsidR="00B31130">
          <w:rPr>
            <w:noProof/>
            <w:webHidden/>
          </w:rPr>
          <w:fldChar w:fldCharType="separate"/>
        </w:r>
        <w:r w:rsidR="00B31130">
          <w:rPr>
            <w:noProof/>
            <w:webHidden/>
          </w:rPr>
          <w:t>161</w:t>
        </w:r>
        <w:r w:rsidR="00B31130">
          <w:rPr>
            <w:noProof/>
            <w:webHidden/>
          </w:rPr>
          <w:fldChar w:fldCharType="end"/>
        </w:r>
      </w:hyperlink>
    </w:p>
    <w:p w14:paraId="51947B5B" w14:textId="1FB536BB"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64" w:history="1">
        <w:r w:rsidR="00B31130" w:rsidRPr="0096164C">
          <w:rPr>
            <w:rStyle w:val="Hypertextovodkaz"/>
            <w:noProof/>
          </w:rPr>
          <w:t>2</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Co je skutečným problémem, na který má politika reagovat?</w:t>
        </w:r>
        <w:r w:rsidR="00B31130">
          <w:rPr>
            <w:noProof/>
            <w:webHidden/>
          </w:rPr>
          <w:tab/>
        </w:r>
        <w:r w:rsidR="00B31130">
          <w:rPr>
            <w:noProof/>
            <w:webHidden/>
          </w:rPr>
          <w:fldChar w:fldCharType="begin"/>
        </w:r>
        <w:r w:rsidR="00B31130">
          <w:rPr>
            <w:noProof/>
            <w:webHidden/>
          </w:rPr>
          <w:instrText xml:space="preserve"> PAGEREF _Toc81739264 \h </w:instrText>
        </w:r>
        <w:r w:rsidR="00B31130">
          <w:rPr>
            <w:noProof/>
            <w:webHidden/>
          </w:rPr>
        </w:r>
        <w:r w:rsidR="00B31130">
          <w:rPr>
            <w:noProof/>
            <w:webHidden/>
          </w:rPr>
          <w:fldChar w:fldCharType="separate"/>
        </w:r>
        <w:r w:rsidR="00B31130">
          <w:rPr>
            <w:noProof/>
            <w:webHidden/>
          </w:rPr>
          <w:t>162</w:t>
        </w:r>
        <w:r w:rsidR="00B31130">
          <w:rPr>
            <w:noProof/>
            <w:webHidden/>
          </w:rPr>
          <w:fldChar w:fldCharType="end"/>
        </w:r>
      </w:hyperlink>
    </w:p>
    <w:p w14:paraId="484D3ACF" w14:textId="645754E1"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65" w:history="1">
        <w:r w:rsidR="00B31130" w:rsidRPr="0096164C">
          <w:rPr>
            <w:rStyle w:val="Hypertextovodkaz"/>
            <w:noProof/>
          </w:rPr>
          <w:t>3</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Jaký je mechanismus a příčiny tohoto problému?</w:t>
        </w:r>
        <w:r w:rsidR="00B31130">
          <w:rPr>
            <w:noProof/>
            <w:webHidden/>
          </w:rPr>
          <w:tab/>
        </w:r>
        <w:r w:rsidR="00B31130">
          <w:rPr>
            <w:noProof/>
            <w:webHidden/>
          </w:rPr>
          <w:fldChar w:fldCharType="begin"/>
        </w:r>
        <w:r w:rsidR="00B31130">
          <w:rPr>
            <w:noProof/>
            <w:webHidden/>
          </w:rPr>
          <w:instrText xml:space="preserve"> PAGEREF _Toc81739265 \h </w:instrText>
        </w:r>
        <w:r w:rsidR="00B31130">
          <w:rPr>
            <w:noProof/>
            <w:webHidden/>
          </w:rPr>
        </w:r>
        <w:r w:rsidR="00B31130">
          <w:rPr>
            <w:noProof/>
            <w:webHidden/>
          </w:rPr>
          <w:fldChar w:fldCharType="separate"/>
        </w:r>
        <w:r w:rsidR="00B31130">
          <w:rPr>
            <w:noProof/>
            <w:webHidden/>
          </w:rPr>
          <w:t>165</w:t>
        </w:r>
        <w:r w:rsidR="00B31130">
          <w:rPr>
            <w:noProof/>
            <w:webHidden/>
          </w:rPr>
          <w:fldChar w:fldCharType="end"/>
        </w:r>
      </w:hyperlink>
    </w:p>
    <w:p w14:paraId="55D5EE7D" w14:textId="7D75F764"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66" w:history="1">
        <w:r w:rsidR="00B31130" w:rsidRPr="0096164C">
          <w:rPr>
            <w:rStyle w:val="Hypertextovodkaz"/>
            <w:noProof/>
          </w:rPr>
          <w:t>4</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Jak závažný je tento problém?</w:t>
        </w:r>
        <w:r w:rsidR="00B31130">
          <w:rPr>
            <w:noProof/>
            <w:webHidden/>
          </w:rPr>
          <w:tab/>
        </w:r>
        <w:r w:rsidR="00B31130">
          <w:rPr>
            <w:noProof/>
            <w:webHidden/>
          </w:rPr>
          <w:fldChar w:fldCharType="begin"/>
        </w:r>
        <w:r w:rsidR="00B31130">
          <w:rPr>
            <w:noProof/>
            <w:webHidden/>
          </w:rPr>
          <w:instrText xml:space="preserve"> PAGEREF _Toc81739266 \h </w:instrText>
        </w:r>
        <w:r w:rsidR="00B31130">
          <w:rPr>
            <w:noProof/>
            <w:webHidden/>
          </w:rPr>
        </w:r>
        <w:r w:rsidR="00B31130">
          <w:rPr>
            <w:noProof/>
            <w:webHidden/>
          </w:rPr>
          <w:fldChar w:fldCharType="separate"/>
        </w:r>
        <w:r w:rsidR="00B31130">
          <w:rPr>
            <w:noProof/>
            <w:webHidden/>
          </w:rPr>
          <w:t>167</w:t>
        </w:r>
        <w:r w:rsidR="00B31130">
          <w:rPr>
            <w:noProof/>
            <w:webHidden/>
          </w:rPr>
          <w:fldChar w:fldCharType="end"/>
        </w:r>
      </w:hyperlink>
    </w:p>
    <w:p w14:paraId="0B2B22B5" w14:textId="22B43308"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67" w:history="1">
        <w:r w:rsidR="00B31130" w:rsidRPr="0096164C">
          <w:rPr>
            <w:rStyle w:val="Hypertextovodkaz"/>
            <w:noProof/>
          </w:rPr>
          <w:t>5</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Míra stávajícího řešení problému</w:t>
        </w:r>
        <w:r w:rsidR="00B31130">
          <w:rPr>
            <w:noProof/>
            <w:webHidden/>
          </w:rPr>
          <w:tab/>
        </w:r>
        <w:r w:rsidR="00B31130">
          <w:rPr>
            <w:noProof/>
            <w:webHidden/>
          </w:rPr>
          <w:fldChar w:fldCharType="begin"/>
        </w:r>
        <w:r w:rsidR="00B31130">
          <w:rPr>
            <w:noProof/>
            <w:webHidden/>
          </w:rPr>
          <w:instrText xml:space="preserve"> PAGEREF _Toc81739267 \h </w:instrText>
        </w:r>
        <w:r w:rsidR="00B31130">
          <w:rPr>
            <w:noProof/>
            <w:webHidden/>
          </w:rPr>
        </w:r>
        <w:r w:rsidR="00B31130">
          <w:rPr>
            <w:noProof/>
            <w:webHidden/>
          </w:rPr>
          <w:fldChar w:fldCharType="separate"/>
        </w:r>
        <w:r w:rsidR="00B31130">
          <w:rPr>
            <w:noProof/>
            <w:webHidden/>
          </w:rPr>
          <w:t>172</w:t>
        </w:r>
        <w:r w:rsidR="00B31130">
          <w:rPr>
            <w:noProof/>
            <w:webHidden/>
          </w:rPr>
          <w:fldChar w:fldCharType="end"/>
        </w:r>
      </w:hyperlink>
    </w:p>
    <w:p w14:paraId="10DF1F72" w14:textId="0A138797" w:rsidR="00B31130" w:rsidRDefault="00E07272">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39268" w:history="1">
        <w:r w:rsidR="00B31130" w:rsidRPr="0096164C">
          <w:rPr>
            <w:rStyle w:val="Hypertextovodkaz"/>
            <w:noProof/>
          </w:rPr>
          <w:t>5.1</w:t>
        </w:r>
        <w:r w:rsidR="00B31130">
          <w:rPr>
            <w:rFonts w:asciiTheme="minorHAnsi" w:eastAsiaTheme="minorEastAsia" w:hAnsiTheme="minorHAnsi"/>
            <w:smallCaps w:val="0"/>
            <w:noProof/>
            <w:sz w:val="24"/>
            <w:szCs w:val="24"/>
            <w:lang w:val="cs-CZ" w:eastAsia="cs-CZ"/>
          </w:rPr>
          <w:tab/>
        </w:r>
        <w:r w:rsidR="00B31130" w:rsidRPr="0096164C">
          <w:rPr>
            <w:rStyle w:val="Hypertextovodkaz"/>
            <w:noProof/>
          </w:rPr>
          <w:t>Míra řešení ve stávající SZP (úspěšnost/neúspěšnost)</w:t>
        </w:r>
        <w:r w:rsidR="00B31130">
          <w:rPr>
            <w:noProof/>
            <w:webHidden/>
          </w:rPr>
          <w:tab/>
        </w:r>
        <w:r w:rsidR="00B31130">
          <w:rPr>
            <w:noProof/>
            <w:webHidden/>
          </w:rPr>
          <w:fldChar w:fldCharType="begin"/>
        </w:r>
        <w:r w:rsidR="00B31130">
          <w:rPr>
            <w:noProof/>
            <w:webHidden/>
          </w:rPr>
          <w:instrText xml:space="preserve"> PAGEREF _Toc81739268 \h </w:instrText>
        </w:r>
        <w:r w:rsidR="00B31130">
          <w:rPr>
            <w:noProof/>
            <w:webHidden/>
          </w:rPr>
        </w:r>
        <w:r w:rsidR="00B31130">
          <w:rPr>
            <w:noProof/>
            <w:webHidden/>
          </w:rPr>
          <w:fldChar w:fldCharType="separate"/>
        </w:r>
        <w:r w:rsidR="00B31130">
          <w:rPr>
            <w:noProof/>
            <w:webHidden/>
          </w:rPr>
          <w:t>172</w:t>
        </w:r>
        <w:r w:rsidR="00B31130">
          <w:rPr>
            <w:noProof/>
            <w:webHidden/>
          </w:rPr>
          <w:fldChar w:fldCharType="end"/>
        </w:r>
      </w:hyperlink>
    </w:p>
    <w:p w14:paraId="5AC619E6" w14:textId="21D65B12" w:rsidR="00B31130" w:rsidRDefault="00E07272">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39269" w:history="1">
        <w:r w:rsidR="00B31130" w:rsidRPr="0096164C">
          <w:rPr>
            <w:rStyle w:val="Hypertextovodkaz"/>
            <w:noProof/>
          </w:rPr>
          <w:t>5.2</w:t>
        </w:r>
        <w:r w:rsidR="00B31130">
          <w:rPr>
            <w:rFonts w:asciiTheme="minorHAnsi" w:eastAsiaTheme="minorEastAsia" w:hAnsiTheme="minorHAnsi"/>
            <w:smallCaps w:val="0"/>
            <w:noProof/>
            <w:sz w:val="24"/>
            <w:szCs w:val="24"/>
            <w:lang w:val="cs-CZ" w:eastAsia="cs-CZ"/>
          </w:rPr>
          <w:tab/>
        </w:r>
        <w:r w:rsidR="00B31130" w:rsidRPr="0096164C">
          <w:rPr>
            <w:rStyle w:val="Hypertextovodkaz"/>
            <w:noProof/>
          </w:rPr>
          <w:t>Míra současného řešení problému jinými politikami</w:t>
        </w:r>
        <w:r w:rsidR="00B31130">
          <w:rPr>
            <w:noProof/>
            <w:webHidden/>
          </w:rPr>
          <w:tab/>
        </w:r>
        <w:r w:rsidR="00B31130">
          <w:rPr>
            <w:noProof/>
            <w:webHidden/>
          </w:rPr>
          <w:fldChar w:fldCharType="begin"/>
        </w:r>
        <w:r w:rsidR="00B31130">
          <w:rPr>
            <w:noProof/>
            <w:webHidden/>
          </w:rPr>
          <w:instrText xml:space="preserve"> PAGEREF _Toc81739269 \h </w:instrText>
        </w:r>
        <w:r w:rsidR="00B31130">
          <w:rPr>
            <w:noProof/>
            <w:webHidden/>
          </w:rPr>
        </w:r>
        <w:r w:rsidR="00B31130">
          <w:rPr>
            <w:noProof/>
            <w:webHidden/>
          </w:rPr>
          <w:fldChar w:fldCharType="separate"/>
        </w:r>
        <w:r w:rsidR="00B31130">
          <w:rPr>
            <w:noProof/>
            <w:webHidden/>
          </w:rPr>
          <w:t>172</w:t>
        </w:r>
        <w:r w:rsidR="00B31130">
          <w:rPr>
            <w:noProof/>
            <w:webHidden/>
          </w:rPr>
          <w:fldChar w:fldCharType="end"/>
        </w:r>
      </w:hyperlink>
    </w:p>
    <w:p w14:paraId="7CDC8350" w14:textId="2B0F53D3"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70" w:history="1">
        <w:r w:rsidR="00B31130" w:rsidRPr="0096164C">
          <w:rPr>
            <w:rStyle w:val="Hypertextovodkaz"/>
            <w:noProof/>
          </w:rPr>
          <w:t>6</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Existence/neexistence možnosti efektivního řešení v rámci nástrojů SZP, které lze uvažovat v nových návrzích SZP</w:t>
        </w:r>
        <w:r w:rsidR="00B31130">
          <w:rPr>
            <w:noProof/>
            <w:webHidden/>
          </w:rPr>
          <w:tab/>
        </w:r>
        <w:r w:rsidR="00B31130">
          <w:rPr>
            <w:noProof/>
            <w:webHidden/>
          </w:rPr>
          <w:fldChar w:fldCharType="begin"/>
        </w:r>
        <w:r w:rsidR="00B31130">
          <w:rPr>
            <w:noProof/>
            <w:webHidden/>
          </w:rPr>
          <w:instrText xml:space="preserve"> PAGEREF _Toc81739270 \h </w:instrText>
        </w:r>
        <w:r w:rsidR="00B31130">
          <w:rPr>
            <w:noProof/>
            <w:webHidden/>
          </w:rPr>
        </w:r>
        <w:r w:rsidR="00B31130">
          <w:rPr>
            <w:noProof/>
            <w:webHidden/>
          </w:rPr>
          <w:fldChar w:fldCharType="separate"/>
        </w:r>
        <w:r w:rsidR="00B31130">
          <w:rPr>
            <w:noProof/>
            <w:webHidden/>
          </w:rPr>
          <w:t>174</w:t>
        </w:r>
        <w:r w:rsidR="00B31130">
          <w:rPr>
            <w:noProof/>
            <w:webHidden/>
          </w:rPr>
          <w:fldChar w:fldCharType="end"/>
        </w:r>
      </w:hyperlink>
    </w:p>
    <w:p w14:paraId="32A69072" w14:textId="7B1FDF95"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71" w:history="1">
        <w:r w:rsidR="00B31130" w:rsidRPr="0096164C">
          <w:rPr>
            <w:rStyle w:val="Hypertextovodkaz"/>
            <w:noProof/>
          </w:rPr>
          <w:t>7</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SWOT analýza</w:t>
        </w:r>
        <w:r w:rsidR="00B31130">
          <w:rPr>
            <w:noProof/>
            <w:webHidden/>
          </w:rPr>
          <w:tab/>
        </w:r>
        <w:r w:rsidR="00B31130">
          <w:rPr>
            <w:noProof/>
            <w:webHidden/>
          </w:rPr>
          <w:fldChar w:fldCharType="begin"/>
        </w:r>
        <w:r w:rsidR="00B31130">
          <w:rPr>
            <w:noProof/>
            <w:webHidden/>
          </w:rPr>
          <w:instrText xml:space="preserve"> PAGEREF _Toc81739271 \h </w:instrText>
        </w:r>
        <w:r w:rsidR="00B31130">
          <w:rPr>
            <w:noProof/>
            <w:webHidden/>
          </w:rPr>
        </w:r>
        <w:r w:rsidR="00B31130">
          <w:rPr>
            <w:noProof/>
            <w:webHidden/>
          </w:rPr>
          <w:fldChar w:fldCharType="separate"/>
        </w:r>
        <w:r w:rsidR="00B31130">
          <w:rPr>
            <w:noProof/>
            <w:webHidden/>
          </w:rPr>
          <w:t>176</w:t>
        </w:r>
        <w:r w:rsidR="00B31130">
          <w:rPr>
            <w:noProof/>
            <w:webHidden/>
          </w:rPr>
          <w:fldChar w:fldCharType="end"/>
        </w:r>
      </w:hyperlink>
    </w:p>
    <w:p w14:paraId="3B002CF9" w14:textId="23592E02" w:rsidR="00B31130" w:rsidRDefault="00E07272">
      <w:pPr>
        <w:pStyle w:val="Obsah1"/>
        <w:tabs>
          <w:tab w:val="right" w:leader="dot" w:pos="9062"/>
        </w:tabs>
        <w:rPr>
          <w:rFonts w:asciiTheme="minorHAnsi" w:eastAsiaTheme="minorEastAsia" w:hAnsiTheme="minorHAnsi"/>
          <w:b w:val="0"/>
          <w:bCs w:val="0"/>
          <w:caps w:val="0"/>
          <w:noProof/>
          <w:sz w:val="24"/>
          <w:szCs w:val="24"/>
          <w:lang w:val="cs-CZ" w:eastAsia="cs-CZ"/>
        </w:rPr>
      </w:pPr>
      <w:hyperlink w:anchor="_Toc81739272" w:history="1">
        <w:r w:rsidR="00B31130" w:rsidRPr="0096164C">
          <w:rPr>
            <w:rStyle w:val="Hypertextovodkaz"/>
            <w:noProof/>
          </w:rPr>
          <w:t>MLÉKO</w:t>
        </w:r>
        <w:r w:rsidR="00B31130">
          <w:rPr>
            <w:noProof/>
            <w:webHidden/>
          </w:rPr>
          <w:tab/>
        </w:r>
        <w:r w:rsidR="00B31130">
          <w:rPr>
            <w:noProof/>
            <w:webHidden/>
          </w:rPr>
          <w:fldChar w:fldCharType="begin"/>
        </w:r>
        <w:r w:rsidR="00B31130">
          <w:rPr>
            <w:noProof/>
            <w:webHidden/>
          </w:rPr>
          <w:instrText xml:space="preserve"> PAGEREF _Toc81739272 \h </w:instrText>
        </w:r>
        <w:r w:rsidR="00B31130">
          <w:rPr>
            <w:noProof/>
            <w:webHidden/>
          </w:rPr>
        </w:r>
        <w:r w:rsidR="00B31130">
          <w:rPr>
            <w:noProof/>
            <w:webHidden/>
          </w:rPr>
          <w:fldChar w:fldCharType="separate"/>
        </w:r>
        <w:r w:rsidR="00B31130">
          <w:rPr>
            <w:noProof/>
            <w:webHidden/>
          </w:rPr>
          <w:t>177</w:t>
        </w:r>
        <w:r w:rsidR="00B31130">
          <w:rPr>
            <w:noProof/>
            <w:webHidden/>
          </w:rPr>
          <w:fldChar w:fldCharType="end"/>
        </w:r>
      </w:hyperlink>
    </w:p>
    <w:p w14:paraId="10CA11D8" w14:textId="72745A5A"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73" w:history="1">
        <w:r w:rsidR="00B31130" w:rsidRPr="0096164C">
          <w:rPr>
            <w:rStyle w:val="Hypertextovodkaz"/>
            <w:noProof/>
          </w:rPr>
          <w:t>1</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Analýza stávajících/navrhovaných právních předpisů EK/ČR a pravděpodobné nastavení směrů a cílů SZP</w:t>
        </w:r>
        <w:r w:rsidR="00B31130">
          <w:rPr>
            <w:noProof/>
            <w:webHidden/>
          </w:rPr>
          <w:tab/>
        </w:r>
        <w:r w:rsidR="00B31130">
          <w:rPr>
            <w:noProof/>
            <w:webHidden/>
          </w:rPr>
          <w:fldChar w:fldCharType="begin"/>
        </w:r>
        <w:r w:rsidR="00B31130">
          <w:rPr>
            <w:noProof/>
            <w:webHidden/>
          </w:rPr>
          <w:instrText xml:space="preserve"> PAGEREF _Toc81739273 \h </w:instrText>
        </w:r>
        <w:r w:rsidR="00B31130">
          <w:rPr>
            <w:noProof/>
            <w:webHidden/>
          </w:rPr>
        </w:r>
        <w:r w:rsidR="00B31130">
          <w:rPr>
            <w:noProof/>
            <w:webHidden/>
          </w:rPr>
          <w:fldChar w:fldCharType="separate"/>
        </w:r>
        <w:r w:rsidR="00B31130">
          <w:rPr>
            <w:noProof/>
            <w:webHidden/>
          </w:rPr>
          <w:t>177</w:t>
        </w:r>
        <w:r w:rsidR="00B31130">
          <w:rPr>
            <w:noProof/>
            <w:webHidden/>
          </w:rPr>
          <w:fldChar w:fldCharType="end"/>
        </w:r>
      </w:hyperlink>
    </w:p>
    <w:p w14:paraId="331B4697" w14:textId="15B555DF"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74" w:history="1">
        <w:r w:rsidR="00B31130" w:rsidRPr="0096164C">
          <w:rPr>
            <w:rStyle w:val="Hypertextovodkaz"/>
            <w:noProof/>
          </w:rPr>
          <w:t>2</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Co je skutečným problémem, na který má politika reagovat?</w:t>
        </w:r>
        <w:r w:rsidR="00B31130">
          <w:rPr>
            <w:noProof/>
            <w:webHidden/>
          </w:rPr>
          <w:tab/>
        </w:r>
        <w:r w:rsidR="00B31130">
          <w:rPr>
            <w:noProof/>
            <w:webHidden/>
          </w:rPr>
          <w:fldChar w:fldCharType="begin"/>
        </w:r>
        <w:r w:rsidR="00B31130">
          <w:rPr>
            <w:noProof/>
            <w:webHidden/>
          </w:rPr>
          <w:instrText xml:space="preserve"> PAGEREF _Toc81739274 \h </w:instrText>
        </w:r>
        <w:r w:rsidR="00B31130">
          <w:rPr>
            <w:noProof/>
            <w:webHidden/>
          </w:rPr>
        </w:r>
        <w:r w:rsidR="00B31130">
          <w:rPr>
            <w:noProof/>
            <w:webHidden/>
          </w:rPr>
          <w:fldChar w:fldCharType="separate"/>
        </w:r>
        <w:r w:rsidR="00B31130">
          <w:rPr>
            <w:noProof/>
            <w:webHidden/>
          </w:rPr>
          <w:t>178</w:t>
        </w:r>
        <w:r w:rsidR="00B31130">
          <w:rPr>
            <w:noProof/>
            <w:webHidden/>
          </w:rPr>
          <w:fldChar w:fldCharType="end"/>
        </w:r>
      </w:hyperlink>
    </w:p>
    <w:p w14:paraId="386FCE65" w14:textId="471E884F"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75" w:history="1">
        <w:r w:rsidR="00B31130" w:rsidRPr="0096164C">
          <w:rPr>
            <w:rStyle w:val="Hypertextovodkaz"/>
            <w:noProof/>
          </w:rPr>
          <w:t>3</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Jaký je mechanizmus a příčiny tohoto problému?</w:t>
        </w:r>
        <w:r w:rsidR="00B31130">
          <w:rPr>
            <w:noProof/>
            <w:webHidden/>
          </w:rPr>
          <w:tab/>
        </w:r>
        <w:r w:rsidR="00B31130">
          <w:rPr>
            <w:noProof/>
            <w:webHidden/>
          </w:rPr>
          <w:fldChar w:fldCharType="begin"/>
        </w:r>
        <w:r w:rsidR="00B31130">
          <w:rPr>
            <w:noProof/>
            <w:webHidden/>
          </w:rPr>
          <w:instrText xml:space="preserve"> PAGEREF _Toc81739275 \h </w:instrText>
        </w:r>
        <w:r w:rsidR="00B31130">
          <w:rPr>
            <w:noProof/>
            <w:webHidden/>
          </w:rPr>
        </w:r>
        <w:r w:rsidR="00B31130">
          <w:rPr>
            <w:noProof/>
            <w:webHidden/>
          </w:rPr>
          <w:fldChar w:fldCharType="separate"/>
        </w:r>
        <w:r w:rsidR="00B31130">
          <w:rPr>
            <w:noProof/>
            <w:webHidden/>
          </w:rPr>
          <w:t>180</w:t>
        </w:r>
        <w:r w:rsidR="00B31130">
          <w:rPr>
            <w:noProof/>
            <w:webHidden/>
          </w:rPr>
          <w:fldChar w:fldCharType="end"/>
        </w:r>
      </w:hyperlink>
    </w:p>
    <w:p w14:paraId="344DD3BB" w14:textId="3B4179A6"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76" w:history="1">
        <w:r w:rsidR="00B31130" w:rsidRPr="0096164C">
          <w:rPr>
            <w:rStyle w:val="Hypertextovodkaz"/>
            <w:noProof/>
          </w:rPr>
          <w:t>4</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Jak závažný je tento problém?</w:t>
        </w:r>
        <w:r w:rsidR="00B31130">
          <w:rPr>
            <w:noProof/>
            <w:webHidden/>
          </w:rPr>
          <w:tab/>
        </w:r>
        <w:r w:rsidR="00B31130">
          <w:rPr>
            <w:noProof/>
            <w:webHidden/>
          </w:rPr>
          <w:fldChar w:fldCharType="begin"/>
        </w:r>
        <w:r w:rsidR="00B31130">
          <w:rPr>
            <w:noProof/>
            <w:webHidden/>
          </w:rPr>
          <w:instrText xml:space="preserve"> PAGEREF _Toc81739276 \h </w:instrText>
        </w:r>
        <w:r w:rsidR="00B31130">
          <w:rPr>
            <w:noProof/>
            <w:webHidden/>
          </w:rPr>
        </w:r>
        <w:r w:rsidR="00B31130">
          <w:rPr>
            <w:noProof/>
            <w:webHidden/>
          </w:rPr>
          <w:fldChar w:fldCharType="separate"/>
        </w:r>
        <w:r w:rsidR="00B31130">
          <w:rPr>
            <w:noProof/>
            <w:webHidden/>
          </w:rPr>
          <w:t>183</w:t>
        </w:r>
        <w:r w:rsidR="00B31130">
          <w:rPr>
            <w:noProof/>
            <w:webHidden/>
          </w:rPr>
          <w:fldChar w:fldCharType="end"/>
        </w:r>
      </w:hyperlink>
    </w:p>
    <w:p w14:paraId="28C07B03" w14:textId="27B44F11"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77" w:history="1">
        <w:r w:rsidR="00B31130" w:rsidRPr="0096164C">
          <w:rPr>
            <w:rStyle w:val="Hypertextovodkaz"/>
            <w:noProof/>
          </w:rPr>
          <w:t>5</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Míra stávajícího řešení problému</w:t>
        </w:r>
        <w:r w:rsidR="00B31130">
          <w:rPr>
            <w:noProof/>
            <w:webHidden/>
          </w:rPr>
          <w:tab/>
        </w:r>
        <w:r w:rsidR="00B31130">
          <w:rPr>
            <w:noProof/>
            <w:webHidden/>
          </w:rPr>
          <w:fldChar w:fldCharType="begin"/>
        </w:r>
        <w:r w:rsidR="00B31130">
          <w:rPr>
            <w:noProof/>
            <w:webHidden/>
          </w:rPr>
          <w:instrText xml:space="preserve"> PAGEREF _Toc81739277 \h </w:instrText>
        </w:r>
        <w:r w:rsidR="00B31130">
          <w:rPr>
            <w:noProof/>
            <w:webHidden/>
          </w:rPr>
        </w:r>
        <w:r w:rsidR="00B31130">
          <w:rPr>
            <w:noProof/>
            <w:webHidden/>
          </w:rPr>
          <w:fldChar w:fldCharType="separate"/>
        </w:r>
        <w:r w:rsidR="00B31130">
          <w:rPr>
            <w:noProof/>
            <w:webHidden/>
          </w:rPr>
          <w:t>184</w:t>
        </w:r>
        <w:r w:rsidR="00B31130">
          <w:rPr>
            <w:noProof/>
            <w:webHidden/>
          </w:rPr>
          <w:fldChar w:fldCharType="end"/>
        </w:r>
      </w:hyperlink>
    </w:p>
    <w:p w14:paraId="7B3BDFE7" w14:textId="02B59B4E" w:rsidR="00B31130" w:rsidRDefault="00E07272">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39278" w:history="1">
        <w:r w:rsidR="00B31130" w:rsidRPr="0096164C">
          <w:rPr>
            <w:rStyle w:val="Hypertextovodkaz"/>
            <w:noProof/>
          </w:rPr>
          <w:t>5.1</w:t>
        </w:r>
        <w:r w:rsidR="00B31130">
          <w:rPr>
            <w:rFonts w:asciiTheme="minorHAnsi" w:eastAsiaTheme="minorEastAsia" w:hAnsiTheme="minorHAnsi"/>
            <w:smallCaps w:val="0"/>
            <w:noProof/>
            <w:sz w:val="24"/>
            <w:szCs w:val="24"/>
            <w:lang w:val="cs-CZ" w:eastAsia="cs-CZ"/>
          </w:rPr>
          <w:tab/>
        </w:r>
        <w:r w:rsidR="00B31130" w:rsidRPr="0096164C">
          <w:rPr>
            <w:rStyle w:val="Hypertextovodkaz"/>
            <w:noProof/>
          </w:rPr>
          <w:t>Míra řešení ve stávající SZP (úspěšnost/neúspěšnost)</w:t>
        </w:r>
        <w:r w:rsidR="00B31130">
          <w:rPr>
            <w:noProof/>
            <w:webHidden/>
          </w:rPr>
          <w:tab/>
        </w:r>
        <w:r w:rsidR="00B31130">
          <w:rPr>
            <w:noProof/>
            <w:webHidden/>
          </w:rPr>
          <w:fldChar w:fldCharType="begin"/>
        </w:r>
        <w:r w:rsidR="00B31130">
          <w:rPr>
            <w:noProof/>
            <w:webHidden/>
          </w:rPr>
          <w:instrText xml:space="preserve"> PAGEREF _Toc81739278 \h </w:instrText>
        </w:r>
        <w:r w:rsidR="00B31130">
          <w:rPr>
            <w:noProof/>
            <w:webHidden/>
          </w:rPr>
        </w:r>
        <w:r w:rsidR="00B31130">
          <w:rPr>
            <w:noProof/>
            <w:webHidden/>
          </w:rPr>
          <w:fldChar w:fldCharType="separate"/>
        </w:r>
        <w:r w:rsidR="00B31130">
          <w:rPr>
            <w:noProof/>
            <w:webHidden/>
          </w:rPr>
          <w:t>184</w:t>
        </w:r>
        <w:r w:rsidR="00B31130">
          <w:rPr>
            <w:noProof/>
            <w:webHidden/>
          </w:rPr>
          <w:fldChar w:fldCharType="end"/>
        </w:r>
      </w:hyperlink>
    </w:p>
    <w:p w14:paraId="43099B80" w14:textId="468616CE" w:rsidR="00B31130" w:rsidRDefault="00E07272">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39279" w:history="1">
        <w:r w:rsidR="00B31130" w:rsidRPr="0096164C">
          <w:rPr>
            <w:rStyle w:val="Hypertextovodkaz"/>
            <w:noProof/>
          </w:rPr>
          <w:t>5.2</w:t>
        </w:r>
        <w:r w:rsidR="00B31130">
          <w:rPr>
            <w:rFonts w:asciiTheme="minorHAnsi" w:eastAsiaTheme="minorEastAsia" w:hAnsiTheme="minorHAnsi"/>
            <w:smallCaps w:val="0"/>
            <w:noProof/>
            <w:sz w:val="24"/>
            <w:szCs w:val="24"/>
            <w:lang w:val="cs-CZ" w:eastAsia="cs-CZ"/>
          </w:rPr>
          <w:tab/>
        </w:r>
        <w:r w:rsidR="00B31130" w:rsidRPr="0096164C">
          <w:rPr>
            <w:rStyle w:val="Hypertextovodkaz"/>
            <w:noProof/>
          </w:rPr>
          <w:t>Míra současného řešení problému jinými politikami</w:t>
        </w:r>
        <w:r w:rsidR="00B31130">
          <w:rPr>
            <w:noProof/>
            <w:webHidden/>
          </w:rPr>
          <w:tab/>
        </w:r>
        <w:r w:rsidR="00B31130">
          <w:rPr>
            <w:noProof/>
            <w:webHidden/>
          </w:rPr>
          <w:fldChar w:fldCharType="begin"/>
        </w:r>
        <w:r w:rsidR="00B31130">
          <w:rPr>
            <w:noProof/>
            <w:webHidden/>
          </w:rPr>
          <w:instrText xml:space="preserve"> PAGEREF _Toc81739279 \h </w:instrText>
        </w:r>
        <w:r w:rsidR="00B31130">
          <w:rPr>
            <w:noProof/>
            <w:webHidden/>
          </w:rPr>
        </w:r>
        <w:r w:rsidR="00B31130">
          <w:rPr>
            <w:noProof/>
            <w:webHidden/>
          </w:rPr>
          <w:fldChar w:fldCharType="separate"/>
        </w:r>
        <w:r w:rsidR="00B31130">
          <w:rPr>
            <w:noProof/>
            <w:webHidden/>
          </w:rPr>
          <w:t>185</w:t>
        </w:r>
        <w:r w:rsidR="00B31130">
          <w:rPr>
            <w:noProof/>
            <w:webHidden/>
          </w:rPr>
          <w:fldChar w:fldCharType="end"/>
        </w:r>
      </w:hyperlink>
    </w:p>
    <w:p w14:paraId="629F5DA2" w14:textId="50CD6172"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80" w:history="1">
        <w:r w:rsidR="00B31130" w:rsidRPr="0096164C">
          <w:rPr>
            <w:rStyle w:val="Hypertextovodkaz"/>
            <w:noProof/>
          </w:rPr>
          <w:t>6</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Existence/neexistence možnosti efektivního řešení v rámci nástrojů SZP, které lze uvažovat v nových návrzích SZP</w:t>
        </w:r>
        <w:r w:rsidR="00B31130">
          <w:rPr>
            <w:noProof/>
            <w:webHidden/>
          </w:rPr>
          <w:tab/>
        </w:r>
        <w:r w:rsidR="00B31130">
          <w:rPr>
            <w:noProof/>
            <w:webHidden/>
          </w:rPr>
          <w:fldChar w:fldCharType="begin"/>
        </w:r>
        <w:r w:rsidR="00B31130">
          <w:rPr>
            <w:noProof/>
            <w:webHidden/>
          </w:rPr>
          <w:instrText xml:space="preserve"> PAGEREF _Toc81739280 \h </w:instrText>
        </w:r>
        <w:r w:rsidR="00B31130">
          <w:rPr>
            <w:noProof/>
            <w:webHidden/>
          </w:rPr>
        </w:r>
        <w:r w:rsidR="00B31130">
          <w:rPr>
            <w:noProof/>
            <w:webHidden/>
          </w:rPr>
          <w:fldChar w:fldCharType="separate"/>
        </w:r>
        <w:r w:rsidR="00B31130">
          <w:rPr>
            <w:noProof/>
            <w:webHidden/>
          </w:rPr>
          <w:t>187</w:t>
        </w:r>
        <w:r w:rsidR="00B31130">
          <w:rPr>
            <w:noProof/>
            <w:webHidden/>
          </w:rPr>
          <w:fldChar w:fldCharType="end"/>
        </w:r>
      </w:hyperlink>
    </w:p>
    <w:p w14:paraId="16D7EB6B" w14:textId="2626ED34"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81" w:history="1">
        <w:r w:rsidR="00B31130" w:rsidRPr="0096164C">
          <w:rPr>
            <w:rStyle w:val="Hypertextovodkaz"/>
            <w:noProof/>
          </w:rPr>
          <w:t>7</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SWOT analýza</w:t>
        </w:r>
        <w:r w:rsidR="00B31130">
          <w:rPr>
            <w:noProof/>
            <w:webHidden/>
          </w:rPr>
          <w:tab/>
        </w:r>
        <w:r w:rsidR="00B31130">
          <w:rPr>
            <w:noProof/>
            <w:webHidden/>
          </w:rPr>
          <w:fldChar w:fldCharType="begin"/>
        </w:r>
        <w:r w:rsidR="00B31130">
          <w:rPr>
            <w:noProof/>
            <w:webHidden/>
          </w:rPr>
          <w:instrText xml:space="preserve"> PAGEREF _Toc81739281 \h </w:instrText>
        </w:r>
        <w:r w:rsidR="00B31130">
          <w:rPr>
            <w:noProof/>
            <w:webHidden/>
          </w:rPr>
        </w:r>
        <w:r w:rsidR="00B31130">
          <w:rPr>
            <w:noProof/>
            <w:webHidden/>
          </w:rPr>
          <w:fldChar w:fldCharType="separate"/>
        </w:r>
        <w:r w:rsidR="00B31130">
          <w:rPr>
            <w:noProof/>
            <w:webHidden/>
          </w:rPr>
          <w:t>191</w:t>
        </w:r>
        <w:r w:rsidR="00B31130">
          <w:rPr>
            <w:noProof/>
            <w:webHidden/>
          </w:rPr>
          <w:fldChar w:fldCharType="end"/>
        </w:r>
      </w:hyperlink>
    </w:p>
    <w:p w14:paraId="746F19FF" w14:textId="5274BA67" w:rsidR="00B31130" w:rsidRDefault="00E07272">
      <w:pPr>
        <w:pStyle w:val="Obsah1"/>
        <w:tabs>
          <w:tab w:val="right" w:leader="dot" w:pos="9062"/>
        </w:tabs>
        <w:rPr>
          <w:rFonts w:asciiTheme="minorHAnsi" w:eastAsiaTheme="minorEastAsia" w:hAnsiTheme="minorHAnsi"/>
          <w:b w:val="0"/>
          <w:bCs w:val="0"/>
          <w:caps w:val="0"/>
          <w:noProof/>
          <w:sz w:val="24"/>
          <w:szCs w:val="24"/>
          <w:lang w:val="cs-CZ" w:eastAsia="cs-CZ"/>
        </w:rPr>
      </w:pPr>
      <w:hyperlink w:anchor="_Toc81739282" w:history="1">
        <w:r w:rsidR="00B31130" w:rsidRPr="0096164C">
          <w:rPr>
            <w:rStyle w:val="Hypertextovodkaz"/>
            <w:noProof/>
          </w:rPr>
          <w:t>HOVĚZÍ MASO</w:t>
        </w:r>
        <w:r w:rsidR="00B31130">
          <w:rPr>
            <w:noProof/>
            <w:webHidden/>
          </w:rPr>
          <w:tab/>
        </w:r>
        <w:r w:rsidR="00B31130">
          <w:rPr>
            <w:noProof/>
            <w:webHidden/>
          </w:rPr>
          <w:fldChar w:fldCharType="begin"/>
        </w:r>
        <w:r w:rsidR="00B31130">
          <w:rPr>
            <w:noProof/>
            <w:webHidden/>
          </w:rPr>
          <w:instrText xml:space="preserve"> PAGEREF _Toc81739282 \h </w:instrText>
        </w:r>
        <w:r w:rsidR="00B31130">
          <w:rPr>
            <w:noProof/>
            <w:webHidden/>
          </w:rPr>
        </w:r>
        <w:r w:rsidR="00B31130">
          <w:rPr>
            <w:noProof/>
            <w:webHidden/>
          </w:rPr>
          <w:fldChar w:fldCharType="separate"/>
        </w:r>
        <w:r w:rsidR="00B31130">
          <w:rPr>
            <w:noProof/>
            <w:webHidden/>
          </w:rPr>
          <w:t>192</w:t>
        </w:r>
        <w:r w:rsidR="00B31130">
          <w:rPr>
            <w:noProof/>
            <w:webHidden/>
          </w:rPr>
          <w:fldChar w:fldCharType="end"/>
        </w:r>
      </w:hyperlink>
    </w:p>
    <w:p w14:paraId="65453954" w14:textId="750A7025"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83" w:history="1">
        <w:r w:rsidR="00B31130" w:rsidRPr="0096164C">
          <w:rPr>
            <w:rStyle w:val="Hypertextovodkaz"/>
            <w:noProof/>
          </w:rPr>
          <w:t>1</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Analýza stávajících/navrhovaných právních předpisů EK/ČR a pravděpodobné nastavení směrů a cílů SZP</w:t>
        </w:r>
        <w:r w:rsidR="00B31130">
          <w:rPr>
            <w:noProof/>
            <w:webHidden/>
          </w:rPr>
          <w:tab/>
        </w:r>
        <w:r w:rsidR="00B31130">
          <w:rPr>
            <w:noProof/>
            <w:webHidden/>
          </w:rPr>
          <w:fldChar w:fldCharType="begin"/>
        </w:r>
        <w:r w:rsidR="00B31130">
          <w:rPr>
            <w:noProof/>
            <w:webHidden/>
          </w:rPr>
          <w:instrText xml:space="preserve"> PAGEREF _Toc81739283 \h </w:instrText>
        </w:r>
        <w:r w:rsidR="00B31130">
          <w:rPr>
            <w:noProof/>
            <w:webHidden/>
          </w:rPr>
        </w:r>
        <w:r w:rsidR="00B31130">
          <w:rPr>
            <w:noProof/>
            <w:webHidden/>
          </w:rPr>
          <w:fldChar w:fldCharType="separate"/>
        </w:r>
        <w:r w:rsidR="00B31130">
          <w:rPr>
            <w:noProof/>
            <w:webHidden/>
          </w:rPr>
          <w:t>192</w:t>
        </w:r>
        <w:r w:rsidR="00B31130">
          <w:rPr>
            <w:noProof/>
            <w:webHidden/>
          </w:rPr>
          <w:fldChar w:fldCharType="end"/>
        </w:r>
      </w:hyperlink>
    </w:p>
    <w:p w14:paraId="2BB548B9" w14:textId="2A9BB68A"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84" w:history="1">
        <w:r w:rsidR="00B31130" w:rsidRPr="0096164C">
          <w:rPr>
            <w:rStyle w:val="Hypertextovodkaz"/>
            <w:noProof/>
          </w:rPr>
          <w:t>2</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Co je skutečným problémem, na který má politika reagovat?</w:t>
        </w:r>
        <w:r w:rsidR="00B31130">
          <w:rPr>
            <w:noProof/>
            <w:webHidden/>
          </w:rPr>
          <w:tab/>
        </w:r>
        <w:r w:rsidR="00B31130">
          <w:rPr>
            <w:noProof/>
            <w:webHidden/>
          </w:rPr>
          <w:fldChar w:fldCharType="begin"/>
        </w:r>
        <w:r w:rsidR="00B31130">
          <w:rPr>
            <w:noProof/>
            <w:webHidden/>
          </w:rPr>
          <w:instrText xml:space="preserve"> PAGEREF _Toc81739284 \h </w:instrText>
        </w:r>
        <w:r w:rsidR="00B31130">
          <w:rPr>
            <w:noProof/>
            <w:webHidden/>
          </w:rPr>
        </w:r>
        <w:r w:rsidR="00B31130">
          <w:rPr>
            <w:noProof/>
            <w:webHidden/>
          </w:rPr>
          <w:fldChar w:fldCharType="separate"/>
        </w:r>
        <w:r w:rsidR="00B31130">
          <w:rPr>
            <w:noProof/>
            <w:webHidden/>
          </w:rPr>
          <w:t>193</w:t>
        </w:r>
        <w:r w:rsidR="00B31130">
          <w:rPr>
            <w:noProof/>
            <w:webHidden/>
          </w:rPr>
          <w:fldChar w:fldCharType="end"/>
        </w:r>
      </w:hyperlink>
    </w:p>
    <w:p w14:paraId="64B3A8B0" w14:textId="1AA6A3C2"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85" w:history="1">
        <w:r w:rsidR="00B31130" w:rsidRPr="0096164C">
          <w:rPr>
            <w:rStyle w:val="Hypertextovodkaz"/>
            <w:noProof/>
          </w:rPr>
          <w:t>3</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Jaký je mechanizmus a příčiny tohoto problému?</w:t>
        </w:r>
        <w:r w:rsidR="00B31130">
          <w:rPr>
            <w:noProof/>
            <w:webHidden/>
          </w:rPr>
          <w:tab/>
        </w:r>
        <w:r w:rsidR="00B31130">
          <w:rPr>
            <w:noProof/>
            <w:webHidden/>
          </w:rPr>
          <w:fldChar w:fldCharType="begin"/>
        </w:r>
        <w:r w:rsidR="00B31130">
          <w:rPr>
            <w:noProof/>
            <w:webHidden/>
          </w:rPr>
          <w:instrText xml:space="preserve"> PAGEREF _Toc81739285 \h </w:instrText>
        </w:r>
        <w:r w:rsidR="00B31130">
          <w:rPr>
            <w:noProof/>
            <w:webHidden/>
          </w:rPr>
        </w:r>
        <w:r w:rsidR="00B31130">
          <w:rPr>
            <w:noProof/>
            <w:webHidden/>
          </w:rPr>
          <w:fldChar w:fldCharType="separate"/>
        </w:r>
        <w:r w:rsidR="00B31130">
          <w:rPr>
            <w:noProof/>
            <w:webHidden/>
          </w:rPr>
          <w:t>198</w:t>
        </w:r>
        <w:r w:rsidR="00B31130">
          <w:rPr>
            <w:noProof/>
            <w:webHidden/>
          </w:rPr>
          <w:fldChar w:fldCharType="end"/>
        </w:r>
      </w:hyperlink>
    </w:p>
    <w:p w14:paraId="5B5B4CB7" w14:textId="3F46E279"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86" w:history="1">
        <w:r w:rsidR="00B31130" w:rsidRPr="0096164C">
          <w:rPr>
            <w:rStyle w:val="Hypertextovodkaz"/>
            <w:noProof/>
          </w:rPr>
          <w:t>4</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Jak závažný je tento problém?</w:t>
        </w:r>
        <w:r w:rsidR="00B31130">
          <w:rPr>
            <w:noProof/>
            <w:webHidden/>
          </w:rPr>
          <w:tab/>
        </w:r>
        <w:r w:rsidR="00B31130">
          <w:rPr>
            <w:noProof/>
            <w:webHidden/>
          </w:rPr>
          <w:fldChar w:fldCharType="begin"/>
        </w:r>
        <w:r w:rsidR="00B31130">
          <w:rPr>
            <w:noProof/>
            <w:webHidden/>
          </w:rPr>
          <w:instrText xml:space="preserve"> PAGEREF _Toc81739286 \h </w:instrText>
        </w:r>
        <w:r w:rsidR="00B31130">
          <w:rPr>
            <w:noProof/>
            <w:webHidden/>
          </w:rPr>
        </w:r>
        <w:r w:rsidR="00B31130">
          <w:rPr>
            <w:noProof/>
            <w:webHidden/>
          </w:rPr>
          <w:fldChar w:fldCharType="separate"/>
        </w:r>
        <w:r w:rsidR="00B31130">
          <w:rPr>
            <w:noProof/>
            <w:webHidden/>
          </w:rPr>
          <w:t>199</w:t>
        </w:r>
        <w:r w:rsidR="00B31130">
          <w:rPr>
            <w:noProof/>
            <w:webHidden/>
          </w:rPr>
          <w:fldChar w:fldCharType="end"/>
        </w:r>
      </w:hyperlink>
    </w:p>
    <w:p w14:paraId="589AEE15" w14:textId="35FA9719"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87" w:history="1">
        <w:r w:rsidR="00B31130" w:rsidRPr="0096164C">
          <w:rPr>
            <w:rStyle w:val="Hypertextovodkaz"/>
            <w:noProof/>
          </w:rPr>
          <w:t>5</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Míra stávajícího řešení problému</w:t>
        </w:r>
        <w:r w:rsidR="00B31130">
          <w:rPr>
            <w:noProof/>
            <w:webHidden/>
          </w:rPr>
          <w:tab/>
        </w:r>
        <w:r w:rsidR="00B31130">
          <w:rPr>
            <w:noProof/>
            <w:webHidden/>
          </w:rPr>
          <w:fldChar w:fldCharType="begin"/>
        </w:r>
        <w:r w:rsidR="00B31130">
          <w:rPr>
            <w:noProof/>
            <w:webHidden/>
          </w:rPr>
          <w:instrText xml:space="preserve"> PAGEREF _Toc81739287 \h </w:instrText>
        </w:r>
        <w:r w:rsidR="00B31130">
          <w:rPr>
            <w:noProof/>
            <w:webHidden/>
          </w:rPr>
        </w:r>
        <w:r w:rsidR="00B31130">
          <w:rPr>
            <w:noProof/>
            <w:webHidden/>
          </w:rPr>
          <w:fldChar w:fldCharType="separate"/>
        </w:r>
        <w:r w:rsidR="00B31130">
          <w:rPr>
            <w:noProof/>
            <w:webHidden/>
          </w:rPr>
          <w:t>200</w:t>
        </w:r>
        <w:r w:rsidR="00B31130">
          <w:rPr>
            <w:noProof/>
            <w:webHidden/>
          </w:rPr>
          <w:fldChar w:fldCharType="end"/>
        </w:r>
      </w:hyperlink>
    </w:p>
    <w:p w14:paraId="4AAC8128" w14:textId="06C60B4B" w:rsidR="00B31130" w:rsidRDefault="00E07272">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39288" w:history="1">
        <w:r w:rsidR="00B31130" w:rsidRPr="0096164C">
          <w:rPr>
            <w:rStyle w:val="Hypertextovodkaz"/>
            <w:noProof/>
          </w:rPr>
          <w:t>5.1</w:t>
        </w:r>
        <w:r w:rsidR="00B31130">
          <w:rPr>
            <w:rFonts w:asciiTheme="minorHAnsi" w:eastAsiaTheme="minorEastAsia" w:hAnsiTheme="minorHAnsi"/>
            <w:smallCaps w:val="0"/>
            <w:noProof/>
            <w:sz w:val="24"/>
            <w:szCs w:val="24"/>
            <w:lang w:val="cs-CZ" w:eastAsia="cs-CZ"/>
          </w:rPr>
          <w:tab/>
        </w:r>
        <w:r w:rsidR="00B31130" w:rsidRPr="0096164C">
          <w:rPr>
            <w:rStyle w:val="Hypertextovodkaz"/>
            <w:noProof/>
          </w:rPr>
          <w:t>Míra řešení ve stávající SZP (úspěšnost/neúspěšnost)</w:t>
        </w:r>
        <w:r w:rsidR="00B31130">
          <w:rPr>
            <w:noProof/>
            <w:webHidden/>
          </w:rPr>
          <w:tab/>
        </w:r>
        <w:r w:rsidR="00B31130">
          <w:rPr>
            <w:noProof/>
            <w:webHidden/>
          </w:rPr>
          <w:fldChar w:fldCharType="begin"/>
        </w:r>
        <w:r w:rsidR="00B31130">
          <w:rPr>
            <w:noProof/>
            <w:webHidden/>
          </w:rPr>
          <w:instrText xml:space="preserve"> PAGEREF _Toc81739288 \h </w:instrText>
        </w:r>
        <w:r w:rsidR="00B31130">
          <w:rPr>
            <w:noProof/>
            <w:webHidden/>
          </w:rPr>
        </w:r>
        <w:r w:rsidR="00B31130">
          <w:rPr>
            <w:noProof/>
            <w:webHidden/>
          </w:rPr>
          <w:fldChar w:fldCharType="separate"/>
        </w:r>
        <w:r w:rsidR="00B31130">
          <w:rPr>
            <w:noProof/>
            <w:webHidden/>
          </w:rPr>
          <w:t>200</w:t>
        </w:r>
        <w:r w:rsidR="00B31130">
          <w:rPr>
            <w:noProof/>
            <w:webHidden/>
          </w:rPr>
          <w:fldChar w:fldCharType="end"/>
        </w:r>
      </w:hyperlink>
    </w:p>
    <w:p w14:paraId="56E3BA17" w14:textId="71093F0B" w:rsidR="00B31130" w:rsidRDefault="00E07272">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39289" w:history="1">
        <w:r w:rsidR="00B31130" w:rsidRPr="0096164C">
          <w:rPr>
            <w:rStyle w:val="Hypertextovodkaz"/>
            <w:noProof/>
          </w:rPr>
          <w:t>5.2</w:t>
        </w:r>
        <w:r w:rsidR="00B31130">
          <w:rPr>
            <w:rFonts w:asciiTheme="minorHAnsi" w:eastAsiaTheme="minorEastAsia" w:hAnsiTheme="minorHAnsi"/>
            <w:smallCaps w:val="0"/>
            <w:noProof/>
            <w:sz w:val="24"/>
            <w:szCs w:val="24"/>
            <w:lang w:val="cs-CZ" w:eastAsia="cs-CZ"/>
          </w:rPr>
          <w:tab/>
        </w:r>
        <w:r w:rsidR="00B31130" w:rsidRPr="0096164C">
          <w:rPr>
            <w:rStyle w:val="Hypertextovodkaz"/>
            <w:noProof/>
          </w:rPr>
          <w:t>Míra současného řešení problému jinými politikami</w:t>
        </w:r>
        <w:r w:rsidR="00B31130">
          <w:rPr>
            <w:noProof/>
            <w:webHidden/>
          </w:rPr>
          <w:tab/>
        </w:r>
        <w:r w:rsidR="00B31130">
          <w:rPr>
            <w:noProof/>
            <w:webHidden/>
          </w:rPr>
          <w:fldChar w:fldCharType="begin"/>
        </w:r>
        <w:r w:rsidR="00B31130">
          <w:rPr>
            <w:noProof/>
            <w:webHidden/>
          </w:rPr>
          <w:instrText xml:space="preserve"> PAGEREF _Toc81739289 \h </w:instrText>
        </w:r>
        <w:r w:rsidR="00B31130">
          <w:rPr>
            <w:noProof/>
            <w:webHidden/>
          </w:rPr>
        </w:r>
        <w:r w:rsidR="00B31130">
          <w:rPr>
            <w:noProof/>
            <w:webHidden/>
          </w:rPr>
          <w:fldChar w:fldCharType="separate"/>
        </w:r>
        <w:r w:rsidR="00B31130">
          <w:rPr>
            <w:noProof/>
            <w:webHidden/>
          </w:rPr>
          <w:t>200</w:t>
        </w:r>
        <w:r w:rsidR="00B31130">
          <w:rPr>
            <w:noProof/>
            <w:webHidden/>
          </w:rPr>
          <w:fldChar w:fldCharType="end"/>
        </w:r>
      </w:hyperlink>
    </w:p>
    <w:p w14:paraId="7966E708" w14:textId="37DAE081"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90" w:history="1">
        <w:r w:rsidR="00B31130" w:rsidRPr="0096164C">
          <w:rPr>
            <w:rStyle w:val="Hypertextovodkaz"/>
            <w:noProof/>
          </w:rPr>
          <w:t>6</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Existence/neexistence možnosti efektivního řešení v rámci nástrojů SZP, které lze uvažovat v nových návrzích SZP</w:t>
        </w:r>
        <w:r w:rsidR="00B31130">
          <w:rPr>
            <w:noProof/>
            <w:webHidden/>
          </w:rPr>
          <w:tab/>
        </w:r>
        <w:r w:rsidR="00B31130">
          <w:rPr>
            <w:noProof/>
            <w:webHidden/>
          </w:rPr>
          <w:fldChar w:fldCharType="begin"/>
        </w:r>
        <w:r w:rsidR="00B31130">
          <w:rPr>
            <w:noProof/>
            <w:webHidden/>
          </w:rPr>
          <w:instrText xml:space="preserve"> PAGEREF _Toc81739290 \h </w:instrText>
        </w:r>
        <w:r w:rsidR="00B31130">
          <w:rPr>
            <w:noProof/>
            <w:webHidden/>
          </w:rPr>
        </w:r>
        <w:r w:rsidR="00B31130">
          <w:rPr>
            <w:noProof/>
            <w:webHidden/>
          </w:rPr>
          <w:fldChar w:fldCharType="separate"/>
        </w:r>
        <w:r w:rsidR="00B31130">
          <w:rPr>
            <w:noProof/>
            <w:webHidden/>
          </w:rPr>
          <w:t>204</w:t>
        </w:r>
        <w:r w:rsidR="00B31130">
          <w:rPr>
            <w:noProof/>
            <w:webHidden/>
          </w:rPr>
          <w:fldChar w:fldCharType="end"/>
        </w:r>
      </w:hyperlink>
    </w:p>
    <w:p w14:paraId="7BBA2692" w14:textId="32DA9C61"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91" w:history="1">
        <w:r w:rsidR="00B31130" w:rsidRPr="0096164C">
          <w:rPr>
            <w:rStyle w:val="Hypertextovodkaz"/>
            <w:noProof/>
          </w:rPr>
          <w:t>7</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SWOT analýza</w:t>
        </w:r>
        <w:r w:rsidR="00B31130">
          <w:rPr>
            <w:noProof/>
            <w:webHidden/>
          </w:rPr>
          <w:tab/>
        </w:r>
        <w:r w:rsidR="00B31130">
          <w:rPr>
            <w:noProof/>
            <w:webHidden/>
          </w:rPr>
          <w:fldChar w:fldCharType="begin"/>
        </w:r>
        <w:r w:rsidR="00B31130">
          <w:rPr>
            <w:noProof/>
            <w:webHidden/>
          </w:rPr>
          <w:instrText xml:space="preserve"> PAGEREF _Toc81739291 \h </w:instrText>
        </w:r>
        <w:r w:rsidR="00B31130">
          <w:rPr>
            <w:noProof/>
            <w:webHidden/>
          </w:rPr>
        </w:r>
        <w:r w:rsidR="00B31130">
          <w:rPr>
            <w:noProof/>
            <w:webHidden/>
          </w:rPr>
          <w:fldChar w:fldCharType="separate"/>
        </w:r>
        <w:r w:rsidR="00B31130">
          <w:rPr>
            <w:noProof/>
            <w:webHidden/>
          </w:rPr>
          <w:t>209</w:t>
        </w:r>
        <w:r w:rsidR="00B31130">
          <w:rPr>
            <w:noProof/>
            <w:webHidden/>
          </w:rPr>
          <w:fldChar w:fldCharType="end"/>
        </w:r>
      </w:hyperlink>
    </w:p>
    <w:p w14:paraId="2F66BB3B" w14:textId="442BC8F4" w:rsidR="00B31130" w:rsidRDefault="00E07272">
      <w:pPr>
        <w:pStyle w:val="Obsah1"/>
        <w:tabs>
          <w:tab w:val="right" w:leader="dot" w:pos="9062"/>
        </w:tabs>
        <w:rPr>
          <w:rFonts w:asciiTheme="minorHAnsi" w:eastAsiaTheme="minorEastAsia" w:hAnsiTheme="minorHAnsi"/>
          <w:b w:val="0"/>
          <w:bCs w:val="0"/>
          <w:caps w:val="0"/>
          <w:noProof/>
          <w:sz w:val="24"/>
          <w:szCs w:val="24"/>
          <w:lang w:val="cs-CZ" w:eastAsia="cs-CZ"/>
        </w:rPr>
      </w:pPr>
      <w:hyperlink w:anchor="_Toc81739292" w:history="1">
        <w:r w:rsidR="00B31130" w:rsidRPr="0096164C">
          <w:rPr>
            <w:rStyle w:val="Hypertextovodkaz"/>
            <w:noProof/>
          </w:rPr>
          <w:t>VEPŘOVÉ MASO</w:t>
        </w:r>
        <w:r w:rsidR="00B31130">
          <w:rPr>
            <w:noProof/>
            <w:webHidden/>
          </w:rPr>
          <w:tab/>
        </w:r>
        <w:r w:rsidR="00B31130">
          <w:rPr>
            <w:noProof/>
            <w:webHidden/>
          </w:rPr>
          <w:fldChar w:fldCharType="begin"/>
        </w:r>
        <w:r w:rsidR="00B31130">
          <w:rPr>
            <w:noProof/>
            <w:webHidden/>
          </w:rPr>
          <w:instrText xml:space="preserve"> PAGEREF _Toc81739292 \h </w:instrText>
        </w:r>
        <w:r w:rsidR="00B31130">
          <w:rPr>
            <w:noProof/>
            <w:webHidden/>
          </w:rPr>
        </w:r>
        <w:r w:rsidR="00B31130">
          <w:rPr>
            <w:noProof/>
            <w:webHidden/>
          </w:rPr>
          <w:fldChar w:fldCharType="separate"/>
        </w:r>
        <w:r w:rsidR="00B31130">
          <w:rPr>
            <w:noProof/>
            <w:webHidden/>
          </w:rPr>
          <w:t>211</w:t>
        </w:r>
        <w:r w:rsidR="00B31130">
          <w:rPr>
            <w:noProof/>
            <w:webHidden/>
          </w:rPr>
          <w:fldChar w:fldCharType="end"/>
        </w:r>
      </w:hyperlink>
    </w:p>
    <w:p w14:paraId="13299A95" w14:textId="190CE174"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93" w:history="1">
        <w:r w:rsidR="00B31130" w:rsidRPr="0096164C">
          <w:rPr>
            <w:rStyle w:val="Hypertextovodkaz"/>
            <w:noProof/>
          </w:rPr>
          <w:t>1</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Analýza stávajících/navrhovaných právních předpisů EK/ČR a pravděpodobné nastavení směrů a cílů SZP</w:t>
        </w:r>
        <w:r w:rsidR="00B31130">
          <w:rPr>
            <w:noProof/>
            <w:webHidden/>
          </w:rPr>
          <w:tab/>
        </w:r>
        <w:r w:rsidR="00B31130">
          <w:rPr>
            <w:noProof/>
            <w:webHidden/>
          </w:rPr>
          <w:fldChar w:fldCharType="begin"/>
        </w:r>
        <w:r w:rsidR="00B31130">
          <w:rPr>
            <w:noProof/>
            <w:webHidden/>
          </w:rPr>
          <w:instrText xml:space="preserve"> PAGEREF _Toc81739293 \h </w:instrText>
        </w:r>
        <w:r w:rsidR="00B31130">
          <w:rPr>
            <w:noProof/>
            <w:webHidden/>
          </w:rPr>
        </w:r>
        <w:r w:rsidR="00B31130">
          <w:rPr>
            <w:noProof/>
            <w:webHidden/>
          </w:rPr>
          <w:fldChar w:fldCharType="separate"/>
        </w:r>
        <w:r w:rsidR="00B31130">
          <w:rPr>
            <w:noProof/>
            <w:webHidden/>
          </w:rPr>
          <w:t>211</w:t>
        </w:r>
        <w:r w:rsidR="00B31130">
          <w:rPr>
            <w:noProof/>
            <w:webHidden/>
          </w:rPr>
          <w:fldChar w:fldCharType="end"/>
        </w:r>
      </w:hyperlink>
    </w:p>
    <w:p w14:paraId="3E1BF8EE" w14:textId="32EEAFCA"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94" w:history="1">
        <w:r w:rsidR="00B31130" w:rsidRPr="0096164C">
          <w:rPr>
            <w:rStyle w:val="Hypertextovodkaz"/>
            <w:noProof/>
          </w:rPr>
          <w:t>2</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Co je skutečným problémem, na který má politika reagovat?</w:t>
        </w:r>
        <w:r w:rsidR="00B31130">
          <w:rPr>
            <w:noProof/>
            <w:webHidden/>
          </w:rPr>
          <w:tab/>
        </w:r>
        <w:r w:rsidR="00B31130">
          <w:rPr>
            <w:noProof/>
            <w:webHidden/>
          </w:rPr>
          <w:fldChar w:fldCharType="begin"/>
        </w:r>
        <w:r w:rsidR="00B31130">
          <w:rPr>
            <w:noProof/>
            <w:webHidden/>
          </w:rPr>
          <w:instrText xml:space="preserve"> PAGEREF _Toc81739294 \h </w:instrText>
        </w:r>
        <w:r w:rsidR="00B31130">
          <w:rPr>
            <w:noProof/>
            <w:webHidden/>
          </w:rPr>
        </w:r>
        <w:r w:rsidR="00B31130">
          <w:rPr>
            <w:noProof/>
            <w:webHidden/>
          </w:rPr>
          <w:fldChar w:fldCharType="separate"/>
        </w:r>
        <w:r w:rsidR="00B31130">
          <w:rPr>
            <w:noProof/>
            <w:webHidden/>
          </w:rPr>
          <w:t>212</w:t>
        </w:r>
        <w:r w:rsidR="00B31130">
          <w:rPr>
            <w:noProof/>
            <w:webHidden/>
          </w:rPr>
          <w:fldChar w:fldCharType="end"/>
        </w:r>
      </w:hyperlink>
    </w:p>
    <w:p w14:paraId="5229A225" w14:textId="269B9145"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95" w:history="1">
        <w:r w:rsidR="00B31130" w:rsidRPr="0096164C">
          <w:rPr>
            <w:rStyle w:val="Hypertextovodkaz"/>
            <w:noProof/>
          </w:rPr>
          <w:t>3</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Jaký je mechanizmus a příčiny tohoto problému?</w:t>
        </w:r>
        <w:r w:rsidR="00B31130">
          <w:rPr>
            <w:noProof/>
            <w:webHidden/>
          </w:rPr>
          <w:tab/>
        </w:r>
        <w:r w:rsidR="00B31130">
          <w:rPr>
            <w:noProof/>
            <w:webHidden/>
          </w:rPr>
          <w:fldChar w:fldCharType="begin"/>
        </w:r>
        <w:r w:rsidR="00B31130">
          <w:rPr>
            <w:noProof/>
            <w:webHidden/>
          </w:rPr>
          <w:instrText xml:space="preserve"> PAGEREF _Toc81739295 \h </w:instrText>
        </w:r>
        <w:r w:rsidR="00B31130">
          <w:rPr>
            <w:noProof/>
            <w:webHidden/>
          </w:rPr>
        </w:r>
        <w:r w:rsidR="00B31130">
          <w:rPr>
            <w:noProof/>
            <w:webHidden/>
          </w:rPr>
          <w:fldChar w:fldCharType="separate"/>
        </w:r>
        <w:r w:rsidR="00B31130">
          <w:rPr>
            <w:noProof/>
            <w:webHidden/>
          </w:rPr>
          <w:t>213</w:t>
        </w:r>
        <w:r w:rsidR="00B31130">
          <w:rPr>
            <w:noProof/>
            <w:webHidden/>
          </w:rPr>
          <w:fldChar w:fldCharType="end"/>
        </w:r>
      </w:hyperlink>
    </w:p>
    <w:p w14:paraId="223E3D8F" w14:textId="13B60DEE"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96" w:history="1">
        <w:r w:rsidR="00B31130" w:rsidRPr="0096164C">
          <w:rPr>
            <w:rStyle w:val="Hypertextovodkaz"/>
            <w:noProof/>
          </w:rPr>
          <w:t>4</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Jak závažný je tento problém?</w:t>
        </w:r>
        <w:r w:rsidR="00B31130">
          <w:rPr>
            <w:noProof/>
            <w:webHidden/>
          </w:rPr>
          <w:tab/>
        </w:r>
        <w:r w:rsidR="00B31130">
          <w:rPr>
            <w:noProof/>
            <w:webHidden/>
          </w:rPr>
          <w:fldChar w:fldCharType="begin"/>
        </w:r>
        <w:r w:rsidR="00B31130">
          <w:rPr>
            <w:noProof/>
            <w:webHidden/>
          </w:rPr>
          <w:instrText xml:space="preserve"> PAGEREF _Toc81739296 \h </w:instrText>
        </w:r>
        <w:r w:rsidR="00B31130">
          <w:rPr>
            <w:noProof/>
            <w:webHidden/>
          </w:rPr>
        </w:r>
        <w:r w:rsidR="00B31130">
          <w:rPr>
            <w:noProof/>
            <w:webHidden/>
          </w:rPr>
          <w:fldChar w:fldCharType="separate"/>
        </w:r>
        <w:r w:rsidR="00B31130">
          <w:rPr>
            <w:noProof/>
            <w:webHidden/>
          </w:rPr>
          <w:t>220</w:t>
        </w:r>
        <w:r w:rsidR="00B31130">
          <w:rPr>
            <w:noProof/>
            <w:webHidden/>
          </w:rPr>
          <w:fldChar w:fldCharType="end"/>
        </w:r>
      </w:hyperlink>
    </w:p>
    <w:p w14:paraId="48CC61CD" w14:textId="23D0C202"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297" w:history="1">
        <w:r w:rsidR="00B31130" w:rsidRPr="0096164C">
          <w:rPr>
            <w:rStyle w:val="Hypertextovodkaz"/>
            <w:noProof/>
          </w:rPr>
          <w:t>5</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Míra stávajícího řešení problému</w:t>
        </w:r>
        <w:r w:rsidR="00B31130">
          <w:rPr>
            <w:noProof/>
            <w:webHidden/>
          </w:rPr>
          <w:tab/>
        </w:r>
        <w:r w:rsidR="00B31130">
          <w:rPr>
            <w:noProof/>
            <w:webHidden/>
          </w:rPr>
          <w:fldChar w:fldCharType="begin"/>
        </w:r>
        <w:r w:rsidR="00B31130">
          <w:rPr>
            <w:noProof/>
            <w:webHidden/>
          </w:rPr>
          <w:instrText xml:space="preserve"> PAGEREF _Toc81739297 \h </w:instrText>
        </w:r>
        <w:r w:rsidR="00B31130">
          <w:rPr>
            <w:noProof/>
            <w:webHidden/>
          </w:rPr>
        </w:r>
        <w:r w:rsidR="00B31130">
          <w:rPr>
            <w:noProof/>
            <w:webHidden/>
          </w:rPr>
          <w:fldChar w:fldCharType="separate"/>
        </w:r>
        <w:r w:rsidR="00B31130">
          <w:rPr>
            <w:noProof/>
            <w:webHidden/>
          </w:rPr>
          <w:t>222</w:t>
        </w:r>
        <w:r w:rsidR="00B31130">
          <w:rPr>
            <w:noProof/>
            <w:webHidden/>
          </w:rPr>
          <w:fldChar w:fldCharType="end"/>
        </w:r>
      </w:hyperlink>
    </w:p>
    <w:p w14:paraId="63D0E0EB" w14:textId="0B3F313E" w:rsidR="00B31130" w:rsidRDefault="00E07272">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39298" w:history="1">
        <w:r w:rsidR="00B31130" w:rsidRPr="0096164C">
          <w:rPr>
            <w:rStyle w:val="Hypertextovodkaz"/>
            <w:noProof/>
          </w:rPr>
          <w:t>5.1</w:t>
        </w:r>
        <w:r w:rsidR="00B31130">
          <w:rPr>
            <w:rFonts w:asciiTheme="minorHAnsi" w:eastAsiaTheme="minorEastAsia" w:hAnsiTheme="minorHAnsi"/>
            <w:smallCaps w:val="0"/>
            <w:noProof/>
            <w:sz w:val="24"/>
            <w:szCs w:val="24"/>
            <w:lang w:val="cs-CZ" w:eastAsia="cs-CZ"/>
          </w:rPr>
          <w:tab/>
        </w:r>
        <w:r w:rsidR="00B31130" w:rsidRPr="0096164C">
          <w:rPr>
            <w:rStyle w:val="Hypertextovodkaz"/>
            <w:noProof/>
          </w:rPr>
          <w:t>Míra řešení ve stávající SZP (úspěšnost/neúspěšnost)</w:t>
        </w:r>
        <w:r w:rsidR="00B31130">
          <w:rPr>
            <w:noProof/>
            <w:webHidden/>
          </w:rPr>
          <w:tab/>
        </w:r>
        <w:r w:rsidR="00B31130">
          <w:rPr>
            <w:noProof/>
            <w:webHidden/>
          </w:rPr>
          <w:fldChar w:fldCharType="begin"/>
        </w:r>
        <w:r w:rsidR="00B31130">
          <w:rPr>
            <w:noProof/>
            <w:webHidden/>
          </w:rPr>
          <w:instrText xml:space="preserve"> PAGEREF _Toc81739298 \h </w:instrText>
        </w:r>
        <w:r w:rsidR="00B31130">
          <w:rPr>
            <w:noProof/>
            <w:webHidden/>
          </w:rPr>
        </w:r>
        <w:r w:rsidR="00B31130">
          <w:rPr>
            <w:noProof/>
            <w:webHidden/>
          </w:rPr>
          <w:fldChar w:fldCharType="separate"/>
        </w:r>
        <w:r w:rsidR="00B31130">
          <w:rPr>
            <w:noProof/>
            <w:webHidden/>
          </w:rPr>
          <w:t>222</w:t>
        </w:r>
        <w:r w:rsidR="00B31130">
          <w:rPr>
            <w:noProof/>
            <w:webHidden/>
          </w:rPr>
          <w:fldChar w:fldCharType="end"/>
        </w:r>
      </w:hyperlink>
    </w:p>
    <w:p w14:paraId="5F518357" w14:textId="6AE953F7" w:rsidR="00B31130" w:rsidRDefault="00E07272">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39299" w:history="1">
        <w:r w:rsidR="00B31130" w:rsidRPr="0096164C">
          <w:rPr>
            <w:rStyle w:val="Hypertextovodkaz"/>
            <w:noProof/>
          </w:rPr>
          <w:t>5.2</w:t>
        </w:r>
        <w:r w:rsidR="00B31130">
          <w:rPr>
            <w:rFonts w:asciiTheme="minorHAnsi" w:eastAsiaTheme="minorEastAsia" w:hAnsiTheme="minorHAnsi"/>
            <w:smallCaps w:val="0"/>
            <w:noProof/>
            <w:sz w:val="24"/>
            <w:szCs w:val="24"/>
            <w:lang w:val="cs-CZ" w:eastAsia="cs-CZ"/>
          </w:rPr>
          <w:tab/>
        </w:r>
        <w:r w:rsidR="00B31130" w:rsidRPr="0096164C">
          <w:rPr>
            <w:rStyle w:val="Hypertextovodkaz"/>
            <w:noProof/>
          </w:rPr>
          <w:t>Míra současného řešení problému jinými politikami</w:t>
        </w:r>
        <w:r w:rsidR="00B31130">
          <w:rPr>
            <w:noProof/>
            <w:webHidden/>
          </w:rPr>
          <w:tab/>
        </w:r>
        <w:r w:rsidR="00B31130">
          <w:rPr>
            <w:noProof/>
            <w:webHidden/>
          </w:rPr>
          <w:fldChar w:fldCharType="begin"/>
        </w:r>
        <w:r w:rsidR="00B31130">
          <w:rPr>
            <w:noProof/>
            <w:webHidden/>
          </w:rPr>
          <w:instrText xml:space="preserve"> PAGEREF _Toc81739299 \h </w:instrText>
        </w:r>
        <w:r w:rsidR="00B31130">
          <w:rPr>
            <w:noProof/>
            <w:webHidden/>
          </w:rPr>
        </w:r>
        <w:r w:rsidR="00B31130">
          <w:rPr>
            <w:noProof/>
            <w:webHidden/>
          </w:rPr>
          <w:fldChar w:fldCharType="separate"/>
        </w:r>
        <w:r w:rsidR="00B31130">
          <w:rPr>
            <w:noProof/>
            <w:webHidden/>
          </w:rPr>
          <w:t>223</w:t>
        </w:r>
        <w:r w:rsidR="00B31130">
          <w:rPr>
            <w:noProof/>
            <w:webHidden/>
          </w:rPr>
          <w:fldChar w:fldCharType="end"/>
        </w:r>
      </w:hyperlink>
    </w:p>
    <w:p w14:paraId="552896FE" w14:textId="6EF81CFF"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300" w:history="1">
        <w:r w:rsidR="00B31130" w:rsidRPr="0096164C">
          <w:rPr>
            <w:rStyle w:val="Hypertextovodkaz"/>
            <w:noProof/>
          </w:rPr>
          <w:t>6</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Existence/neexistence možnosti efektivního řešení v rámci nástrojů SZP, které lze uvažovat v nových návrzích SZP</w:t>
        </w:r>
        <w:r w:rsidR="00B31130">
          <w:rPr>
            <w:noProof/>
            <w:webHidden/>
          </w:rPr>
          <w:tab/>
        </w:r>
        <w:r w:rsidR="00B31130">
          <w:rPr>
            <w:noProof/>
            <w:webHidden/>
          </w:rPr>
          <w:fldChar w:fldCharType="begin"/>
        </w:r>
        <w:r w:rsidR="00B31130">
          <w:rPr>
            <w:noProof/>
            <w:webHidden/>
          </w:rPr>
          <w:instrText xml:space="preserve"> PAGEREF _Toc81739300 \h </w:instrText>
        </w:r>
        <w:r w:rsidR="00B31130">
          <w:rPr>
            <w:noProof/>
            <w:webHidden/>
          </w:rPr>
        </w:r>
        <w:r w:rsidR="00B31130">
          <w:rPr>
            <w:noProof/>
            <w:webHidden/>
          </w:rPr>
          <w:fldChar w:fldCharType="separate"/>
        </w:r>
        <w:r w:rsidR="00B31130">
          <w:rPr>
            <w:noProof/>
            <w:webHidden/>
          </w:rPr>
          <w:t>224</w:t>
        </w:r>
        <w:r w:rsidR="00B31130">
          <w:rPr>
            <w:noProof/>
            <w:webHidden/>
          </w:rPr>
          <w:fldChar w:fldCharType="end"/>
        </w:r>
      </w:hyperlink>
    </w:p>
    <w:p w14:paraId="113567D1" w14:textId="4C70574A"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301" w:history="1">
        <w:r w:rsidR="00B31130" w:rsidRPr="0096164C">
          <w:rPr>
            <w:rStyle w:val="Hypertextovodkaz"/>
            <w:noProof/>
          </w:rPr>
          <w:t>7</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SWOT analýza</w:t>
        </w:r>
        <w:r w:rsidR="00B31130">
          <w:rPr>
            <w:noProof/>
            <w:webHidden/>
          </w:rPr>
          <w:tab/>
        </w:r>
        <w:r w:rsidR="00B31130">
          <w:rPr>
            <w:noProof/>
            <w:webHidden/>
          </w:rPr>
          <w:fldChar w:fldCharType="begin"/>
        </w:r>
        <w:r w:rsidR="00B31130">
          <w:rPr>
            <w:noProof/>
            <w:webHidden/>
          </w:rPr>
          <w:instrText xml:space="preserve"> PAGEREF _Toc81739301 \h </w:instrText>
        </w:r>
        <w:r w:rsidR="00B31130">
          <w:rPr>
            <w:noProof/>
            <w:webHidden/>
          </w:rPr>
        </w:r>
        <w:r w:rsidR="00B31130">
          <w:rPr>
            <w:noProof/>
            <w:webHidden/>
          </w:rPr>
          <w:fldChar w:fldCharType="separate"/>
        </w:r>
        <w:r w:rsidR="00B31130">
          <w:rPr>
            <w:noProof/>
            <w:webHidden/>
          </w:rPr>
          <w:t>227</w:t>
        </w:r>
        <w:r w:rsidR="00B31130">
          <w:rPr>
            <w:noProof/>
            <w:webHidden/>
          </w:rPr>
          <w:fldChar w:fldCharType="end"/>
        </w:r>
      </w:hyperlink>
    </w:p>
    <w:p w14:paraId="48DC72B9" w14:textId="115D38EF" w:rsidR="00B31130" w:rsidRDefault="00E07272">
      <w:pPr>
        <w:pStyle w:val="Obsah1"/>
        <w:tabs>
          <w:tab w:val="right" w:leader="dot" w:pos="9062"/>
        </w:tabs>
        <w:rPr>
          <w:rFonts w:asciiTheme="minorHAnsi" w:eastAsiaTheme="minorEastAsia" w:hAnsiTheme="minorHAnsi"/>
          <w:b w:val="0"/>
          <w:bCs w:val="0"/>
          <w:caps w:val="0"/>
          <w:noProof/>
          <w:sz w:val="24"/>
          <w:szCs w:val="24"/>
          <w:lang w:val="cs-CZ" w:eastAsia="cs-CZ"/>
        </w:rPr>
      </w:pPr>
      <w:hyperlink w:anchor="_Toc81739302" w:history="1">
        <w:r w:rsidR="00B31130" w:rsidRPr="0096164C">
          <w:rPr>
            <w:rStyle w:val="Hypertextovodkaz"/>
            <w:noProof/>
          </w:rPr>
          <w:t>DRŮBEŽÍ MASO A VEJCE</w:t>
        </w:r>
        <w:r w:rsidR="00B31130">
          <w:rPr>
            <w:noProof/>
            <w:webHidden/>
          </w:rPr>
          <w:tab/>
        </w:r>
        <w:r w:rsidR="00B31130">
          <w:rPr>
            <w:noProof/>
            <w:webHidden/>
          </w:rPr>
          <w:fldChar w:fldCharType="begin"/>
        </w:r>
        <w:r w:rsidR="00B31130">
          <w:rPr>
            <w:noProof/>
            <w:webHidden/>
          </w:rPr>
          <w:instrText xml:space="preserve"> PAGEREF _Toc81739302 \h </w:instrText>
        </w:r>
        <w:r w:rsidR="00B31130">
          <w:rPr>
            <w:noProof/>
            <w:webHidden/>
          </w:rPr>
        </w:r>
        <w:r w:rsidR="00B31130">
          <w:rPr>
            <w:noProof/>
            <w:webHidden/>
          </w:rPr>
          <w:fldChar w:fldCharType="separate"/>
        </w:r>
        <w:r w:rsidR="00B31130">
          <w:rPr>
            <w:noProof/>
            <w:webHidden/>
          </w:rPr>
          <w:t>229</w:t>
        </w:r>
        <w:r w:rsidR="00B31130">
          <w:rPr>
            <w:noProof/>
            <w:webHidden/>
          </w:rPr>
          <w:fldChar w:fldCharType="end"/>
        </w:r>
      </w:hyperlink>
    </w:p>
    <w:p w14:paraId="4C2A0D15" w14:textId="187FBEDD"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303" w:history="1">
        <w:r w:rsidR="00B31130" w:rsidRPr="0096164C">
          <w:rPr>
            <w:rStyle w:val="Hypertextovodkaz"/>
            <w:noProof/>
          </w:rPr>
          <w:t>1</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Analýza stávajících/navrhovaných právních předpisů EK/ČR a pravděpodobné nastavení směrů a cílů SZP</w:t>
        </w:r>
        <w:r w:rsidR="00B31130">
          <w:rPr>
            <w:noProof/>
            <w:webHidden/>
          </w:rPr>
          <w:tab/>
        </w:r>
        <w:r w:rsidR="00B31130">
          <w:rPr>
            <w:noProof/>
            <w:webHidden/>
          </w:rPr>
          <w:fldChar w:fldCharType="begin"/>
        </w:r>
        <w:r w:rsidR="00B31130">
          <w:rPr>
            <w:noProof/>
            <w:webHidden/>
          </w:rPr>
          <w:instrText xml:space="preserve"> PAGEREF _Toc81739303 \h </w:instrText>
        </w:r>
        <w:r w:rsidR="00B31130">
          <w:rPr>
            <w:noProof/>
            <w:webHidden/>
          </w:rPr>
        </w:r>
        <w:r w:rsidR="00B31130">
          <w:rPr>
            <w:noProof/>
            <w:webHidden/>
          </w:rPr>
          <w:fldChar w:fldCharType="separate"/>
        </w:r>
        <w:r w:rsidR="00B31130">
          <w:rPr>
            <w:noProof/>
            <w:webHidden/>
          </w:rPr>
          <w:t>229</w:t>
        </w:r>
        <w:r w:rsidR="00B31130">
          <w:rPr>
            <w:noProof/>
            <w:webHidden/>
          </w:rPr>
          <w:fldChar w:fldCharType="end"/>
        </w:r>
      </w:hyperlink>
    </w:p>
    <w:p w14:paraId="0444AB5C" w14:textId="1CE9747D"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304" w:history="1">
        <w:r w:rsidR="00B31130" w:rsidRPr="0096164C">
          <w:rPr>
            <w:rStyle w:val="Hypertextovodkaz"/>
            <w:noProof/>
          </w:rPr>
          <w:t>2</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Co je skutečným problémem, na který má politika reagovat?</w:t>
        </w:r>
        <w:r w:rsidR="00B31130">
          <w:rPr>
            <w:noProof/>
            <w:webHidden/>
          </w:rPr>
          <w:tab/>
        </w:r>
        <w:r w:rsidR="00B31130">
          <w:rPr>
            <w:noProof/>
            <w:webHidden/>
          </w:rPr>
          <w:fldChar w:fldCharType="begin"/>
        </w:r>
        <w:r w:rsidR="00B31130">
          <w:rPr>
            <w:noProof/>
            <w:webHidden/>
          </w:rPr>
          <w:instrText xml:space="preserve"> PAGEREF _Toc81739304 \h </w:instrText>
        </w:r>
        <w:r w:rsidR="00B31130">
          <w:rPr>
            <w:noProof/>
            <w:webHidden/>
          </w:rPr>
        </w:r>
        <w:r w:rsidR="00B31130">
          <w:rPr>
            <w:noProof/>
            <w:webHidden/>
          </w:rPr>
          <w:fldChar w:fldCharType="separate"/>
        </w:r>
        <w:r w:rsidR="00B31130">
          <w:rPr>
            <w:noProof/>
            <w:webHidden/>
          </w:rPr>
          <w:t>230</w:t>
        </w:r>
        <w:r w:rsidR="00B31130">
          <w:rPr>
            <w:noProof/>
            <w:webHidden/>
          </w:rPr>
          <w:fldChar w:fldCharType="end"/>
        </w:r>
      </w:hyperlink>
    </w:p>
    <w:p w14:paraId="596E9BE5" w14:textId="6EDB532F"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305" w:history="1">
        <w:r w:rsidR="00B31130" w:rsidRPr="0096164C">
          <w:rPr>
            <w:rStyle w:val="Hypertextovodkaz"/>
            <w:noProof/>
          </w:rPr>
          <w:t>3</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Jaký je mechanizmus a příčiny tohoto problému?</w:t>
        </w:r>
        <w:r w:rsidR="00B31130">
          <w:rPr>
            <w:noProof/>
            <w:webHidden/>
          </w:rPr>
          <w:tab/>
        </w:r>
        <w:r w:rsidR="00B31130">
          <w:rPr>
            <w:noProof/>
            <w:webHidden/>
          </w:rPr>
          <w:fldChar w:fldCharType="begin"/>
        </w:r>
        <w:r w:rsidR="00B31130">
          <w:rPr>
            <w:noProof/>
            <w:webHidden/>
          </w:rPr>
          <w:instrText xml:space="preserve"> PAGEREF _Toc81739305 \h </w:instrText>
        </w:r>
        <w:r w:rsidR="00B31130">
          <w:rPr>
            <w:noProof/>
            <w:webHidden/>
          </w:rPr>
        </w:r>
        <w:r w:rsidR="00B31130">
          <w:rPr>
            <w:noProof/>
            <w:webHidden/>
          </w:rPr>
          <w:fldChar w:fldCharType="separate"/>
        </w:r>
        <w:r w:rsidR="00B31130">
          <w:rPr>
            <w:noProof/>
            <w:webHidden/>
          </w:rPr>
          <w:t>231</w:t>
        </w:r>
        <w:r w:rsidR="00B31130">
          <w:rPr>
            <w:noProof/>
            <w:webHidden/>
          </w:rPr>
          <w:fldChar w:fldCharType="end"/>
        </w:r>
      </w:hyperlink>
    </w:p>
    <w:p w14:paraId="035F983B" w14:textId="4171331A"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306" w:history="1">
        <w:r w:rsidR="00B31130" w:rsidRPr="0096164C">
          <w:rPr>
            <w:rStyle w:val="Hypertextovodkaz"/>
            <w:noProof/>
          </w:rPr>
          <w:t>4</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Jak závažný je tento problém?</w:t>
        </w:r>
        <w:r w:rsidR="00B31130">
          <w:rPr>
            <w:noProof/>
            <w:webHidden/>
          </w:rPr>
          <w:tab/>
        </w:r>
        <w:r w:rsidR="00B31130">
          <w:rPr>
            <w:noProof/>
            <w:webHidden/>
          </w:rPr>
          <w:fldChar w:fldCharType="begin"/>
        </w:r>
        <w:r w:rsidR="00B31130">
          <w:rPr>
            <w:noProof/>
            <w:webHidden/>
          </w:rPr>
          <w:instrText xml:space="preserve"> PAGEREF _Toc81739306 \h </w:instrText>
        </w:r>
        <w:r w:rsidR="00B31130">
          <w:rPr>
            <w:noProof/>
            <w:webHidden/>
          </w:rPr>
        </w:r>
        <w:r w:rsidR="00B31130">
          <w:rPr>
            <w:noProof/>
            <w:webHidden/>
          </w:rPr>
          <w:fldChar w:fldCharType="separate"/>
        </w:r>
        <w:r w:rsidR="00B31130">
          <w:rPr>
            <w:noProof/>
            <w:webHidden/>
          </w:rPr>
          <w:t>236</w:t>
        </w:r>
        <w:r w:rsidR="00B31130">
          <w:rPr>
            <w:noProof/>
            <w:webHidden/>
          </w:rPr>
          <w:fldChar w:fldCharType="end"/>
        </w:r>
      </w:hyperlink>
    </w:p>
    <w:p w14:paraId="055FC277" w14:textId="00C47165"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307" w:history="1">
        <w:r w:rsidR="00B31130" w:rsidRPr="0096164C">
          <w:rPr>
            <w:rStyle w:val="Hypertextovodkaz"/>
            <w:noProof/>
          </w:rPr>
          <w:t>5</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Míra stávajícího řešení problému</w:t>
        </w:r>
        <w:r w:rsidR="00B31130">
          <w:rPr>
            <w:noProof/>
            <w:webHidden/>
          </w:rPr>
          <w:tab/>
        </w:r>
        <w:r w:rsidR="00B31130">
          <w:rPr>
            <w:noProof/>
            <w:webHidden/>
          </w:rPr>
          <w:fldChar w:fldCharType="begin"/>
        </w:r>
        <w:r w:rsidR="00B31130">
          <w:rPr>
            <w:noProof/>
            <w:webHidden/>
          </w:rPr>
          <w:instrText xml:space="preserve"> PAGEREF _Toc81739307 \h </w:instrText>
        </w:r>
        <w:r w:rsidR="00B31130">
          <w:rPr>
            <w:noProof/>
            <w:webHidden/>
          </w:rPr>
        </w:r>
        <w:r w:rsidR="00B31130">
          <w:rPr>
            <w:noProof/>
            <w:webHidden/>
          </w:rPr>
          <w:fldChar w:fldCharType="separate"/>
        </w:r>
        <w:r w:rsidR="00B31130">
          <w:rPr>
            <w:noProof/>
            <w:webHidden/>
          </w:rPr>
          <w:t>240</w:t>
        </w:r>
        <w:r w:rsidR="00B31130">
          <w:rPr>
            <w:noProof/>
            <w:webHidden/>
          </w:rPr>
          <w:fldChar w:fldCharType="end"/>
        </w:r>
      </w:hyperlink>
    </w:p>
    <w:p w14:paraId="45B3F718" w14:textId="54DABBF0" w:rsidR="00B31130" w:rsidRDefault="00E07272">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39308" w:history="1">
        <w:r w:rsidR="00B31130" w:rsidRPr="0096164C">
          <w:rPr>
            <w:rStyle w:val="Hypertextovodkaz"/>
            <w:noProof/>
          </w:rPr>
          <w:t>5.1</w:t>
        </w:r>
        <w:r w:rsidR="00B31130">
          <w:rPr>
            <w:rFonts w:asciiTheme="minorHAnsi" w:eastAsiaTheme="minorEastAsia" w:hAnsiTheme="minorHAnsi"/>
            <w:smallCaps w:val="0"/>
            <w:noProof/>
            <w:sz w:val="24"/>
            <w:szCs w:val="24"/>
            <w:lang w:val="cs-CZ" w:eastAsia="cs-CZ"/>
          </w:rPr>
          <w:tab/>
        </w:r>
        <w:r w:rsidR="00B31130" w:rsidRPr="0096164C">
          <w:rPr>
            <w:rStyle w:val="Hypertextovodkaz"/>
            <w:noProof/>
          </w:rPr>
          <w:t>Míra řešení ve stávající SZP (úspěšnost/neúspěšnost)</w:t>
        </w:r>
        <w:r w:rsidR="00B31130">
          <w:rPr>
            <w:noProof/>
            <w:webHidden/>
          </w:rPr>
          <w:tab/>
        </w:r>
        <w:r w:rsidR="00B31130">
          <w:rPr>
            <w:noProof/>
            <w:webHidden/>
          </w:rPr>
          <w:fldChar w:fldCharType="begin"/>
        </w:r>
        <w:r w:rsidR="00B31130">
          <w:rPr>
            <w:noProof/>
            <w:webHidden/>
          </w:rPr>
          <w:instrText xml:space="preserve"> PAGEREF _Toc81739308 \h </w:instrText>
        </w:r>
        <w:r w:rsidR="00B31130">
          <w:rPr>
            <w:noProof/>
            <w:webHidden/>
          </w:rPr>
        </w:r>
        <w:r w:rsidR="00B31130">
          <w:rPr>
            <w:noProof/>
            <w:webHidden/>
          </w:rPr>
          <w:fldChar w:fldCharType="separate"/>
        </w:r>
        <w:r w:rsidR="00B31130">
          <w:rPr>
            <w:noProof/>
            <w:webHidden/>
          </w:rPr>
          <w:t>240</w:t>
        </w:r>
        <w:r w:rsidR="00B31130">
          <w:rPr>
            <w:noProof/>
            <w:webHidden/>
          </w:rPr>
          <w:fldChar w:fldCharType="end"/>
        </w:r>
      </w:hyperlink>
    </w:p>
    <w:p w14:paraId="241B1F79" w14:textId="58752A76" w:rsidR="00B31130" w:rsidRDefault="00E07272">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39309" w:history="1">
        <w:r w:rsidR="00B31130" w:rsidRPr="0096164C">
          <w:rPr>
            <w:rStyle w:val="Hypertextovodkaz"/>
            <w:noProof/>
          </w:rPr>
          <w:t>5.2</w:t>
        </w:r>
        <w:r w:rsidR="00B31130">
          <w:rPr>
            <w:rFonts w:asciiTheme="minorHAnsi" w:eastAsiaTheme="minorEastAsia" w:hAnsiTheme="minorHAnsi"/>
            <w:smallCaps w:val="0"/>
            <w:noProof/>
            <w:sz w:val="24"/>
            <w:szCs w:val="24"/>
            <w:lang w:val="cs-CZ" w:eastAsia="cs-CZ"/>
          </w:rPr>
          <w:tab/>
        </w:r>
        <w:r w:rsidR="00B31130" w:rsidRPr="0096164C">
          <w:rPr>
            <w:rStyle w:val="Hypertextovodkaz"/>
            <w:noProof/>
          </w:rPr>
          <w:t>Míra současného řešení problému jinými politikami</w:t>
        </w:r>
        <w:r w:rsidR="00B31130">
          <w:rPr>
            <w:noProof/>
            <w:webHidden/>
          </w:rPr>
          <w:tab/>
        </w:r>
        <w:r w:rsidR="00B31130">
          <w:rPr>
            <w:noProof/>
            <w:webHidden/>
          </w:rPr>
          <w:fldChar w:fldCharType="begin"/>
        </w:r>
        <w:r w:rsidR="00B31130">
          <w:rPr>
            <w:noProof/>
            <w:webHidden/>
          </w:rPr>
          <w:instrText xml:space="preserve"> PAGEREF _Toc81739309 \h </w:instrText>
        </w:r>
        <w:r w:rsidR="00B31130">
          <w:rPr>
            <w:noProof/>
            <w:webHidden/>
          </w:rPr>
        </w:r>
        <w:r w:rsidR="00B31130">
          <w:rPr>
            <w:noProof/>
            <w:webHidden/>
          </w:rPr>
          <w:fldChar w:fldCharType="separate"/>
        </w:r>
        <w:r w:rsidR="00B31130">
          <w:rPr>
            <w:noProof/>
            <w:webHidden/>
          </w:rPr>
          <w:t>244</w:t>
        </w:r>
        <w:r w:rsidR="00B31130">
          <w:rPr>
            <w:noProof/>
            <w:webHidden/>
          </w:rPr>
          <w:fldChar w:fldCharType="end"/>
        </w:r>
      </w:hyperlink>
    </w:p>
    <w:p w14:paraId="3F9330EF" w14:textId="16F6DC4B"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310" w:history="1">
        <w:r w:rsidR="00B31130" w:rsidRPr="0096164C">
          <w:rPr>
            <w:rStyle w:val="Hypertextovodkaz"/>
            <w:noProof/>
          </w:rPr>
          <w:t>6</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Existence/neexistence možnosti efektivního řešení v rámci nástrojů SZP, které lze uvažovat v nových návrzích SZP</w:t>
        </w:r>
        <w:r w:rsidR="00B31130">
          <w:rPr>
            <w:noProof/>
            <w:webHidden/>
          </w:rPr>
          <w:tab/>
        </w:r>
        <w:r w:rsidR="00B31130">
          <w:rPr>
            <w:noProof/>
            <w:webHidden/>
          </w:rPr>
          <w:fldChar w:fldCharType="begin"/>
        </w:r>
        <w:r w:rsidR="00B31130">
          <w:rPr>
            <w:noProof/>
            <w:webHidden/>
          </w:rPr>
          <w:instrText xml:space="preserve"> PAGEREF _Toc81739310 \h </w:instrText>
        </w:r>
        <w:r w:rsidR="00B31130">
          <w:rPr>
            <w:noProof/>
            <w:webHidden/>
          </w:rPr>
        </w:r>
        <w:r w:rsidR="00B31130">
          <w:rPr>
            <w:noProof/>
            <w:webHidden/>
          </w:rPr>
          <w:fldChar w:fldCharType="separate"/>
        </w:r>
        <w:r w:rsidR="00B31130">
          <w:rPr>
            <w:noProof/>
            <w:webHidden/>
          </w:rPr>
          <w:t>247</w:t>
        </w:r>
        <w:r w:rsidR="00B31130">
          <w:rPr>
            <w:noProof/>
            <w:webHidden/>
          </w:rPr>
          <w:fldChar w:fldCharType="end"/>
        </w:r>
      </w:hyperlink>
    </w:p>
    <w:p w14:paraId="0CC921B6" w14:textId="11534B3D"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311" w:history="1">
        <w:r w:rsidR="00B31130" w:rsidRPr="0096164C">
          <w:rPr>
            <w:rStyle w:val="Hypertextovodkaz"/>
            <w:noProof/>
          </w:rPr>
          <w:t>7</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SWOT analýza</w:t>
        </w:r>
        <w:r w:rsidR="00B31130">
          <w:rPr>
            <w:noProof/>
            <w:webHidden/>
          </w:rPr>
          <w:tab/>
        </w:r>
        <w:r w:rsidR="00B31130">
          <w:rPr>
            <w:noProof/>
            <w:webHidden/>
          </w:rPr>
          <w:fldChar w:fldCharType="begin"/>
        </w:r>
        <w:r w:rsidR="00B31130">
          <w:rPr>
            <w:noProof/>
            <w:webHidden/>
          </w:rPr>
          <w:instrText xml:space="preserve"> PAGEREF _Toc81739311 \h </w:instrText>
        </w:r>
        <w:r w:rsidR="00B31130">
          <w:rPr>
            <w:noProof/>
            <w:webHidden/>
          </w:rPr>
        </w:r>
        <w:r w:rsidR="00B31130">
          <w:rPr>
            <w:noProof/>
            <w:webHidden/>
          </w:rPr>
          <w:fldChar w:fldCharType="separate"/>
        </w:r>
        <w:r w:rsidR="00B31130">
          <w:rPr>
            <w:noProof/>
            <w:webHidden/>
          </w:rPr>
          <w:t>252</w:t>
        </w:r>
        <w:r w:rsidR="00B31130">
          <w:rPr>
            <w:noProof/>
            <w:webHidden/>
          </w:rPr>
          <w:fldChar w:fldCharType="end"/>
        </w:r>
      </w:hyperlink>
    </w:p>
    <w:p w14:paraId="1B1EF147" w14:textId="1A4B4397" w:rsidR="00B31130" w:rsidRDefault="00E07272">
      <w:pPr>
        <w:pStyle w:val="Obsah1"/>
        <w:tabs>
          <w:tab w:val="right" w:leader="dot" w:pos="9062"/>
        </w:tabs>
        <w:rPr>
          <w:rFonts w:asciiTheme="minorHAnsi" w:eastAsiaTheme="minorEastAsia" w:hAnsiTheme="minorHAnsi"/>
          <w:b w:val="0"/>
          <w:bCs w:val="0"/>
          <w:caps w:val="0"/>
          <w:noProof/>
          <w:sz w:val="24"/>
          <w:szCs w:val="24"/>
          <w:lang w:val="cs-CZ" w:eastAsia="cs-CZ"/>
        </w:rPr>
      </w:pPr>
      <w:hyperlink w:anchor="_Toc81739312" w:history="1">
        <w:r w:rsidR="00B31130" w:rsidRPr="0096164C">
          <w:rPr>
            <w:rStyle w:val="Hypertextovodkaz"/>
            <w:noProof/>
          </w:rPr>
          <w:t>OVCE A KOZY</w:t>
        </w:r>
        <w:r w:rsidR="00B31130">
          <w:rPr>
            <w:noProof/>
            <w:webHidden/>
          </w:rPr>
          <w:tab/>
        </w:r>
        <w:r w:rsidR="00B31130">
          <w:rPr>
            <w:noProof/>
            <w:webHidden/>
          </w:rPr>
          <w:fldChar w:fldCharType="begin"/>
        </w:r>
        <w:r w:rsidR="00B31130">
          <w:rPr>
            <w:noProof/>
            <w:webHidden/>
          </w:rPr>
          <w:instrText xml:space="preserve"> PAGEREF _Toc81739312 \h </w:instrText>
        </w:r>
        <w:r w:rsidR="00B31130">
          <w:rPr>
            <w:noProof/>
            <w:webHidden/>
          </w:rPr>
        </w:r>
        <w:r w:rsidR="00B31130">
          <w:rPr>
            <w:noProof/>
            <w:webHidden/>
          </w:rPr>
          <w:fldChar w:fldCharType="separate"/>
        </w:r>
        <w:r w:rsidR="00B31130">
          <w:rPr>
            <w:noProof/>
            <w:webHidden/>
          </w:rPr>
          <w:t>254</w:t>
        </w:r>
        <w:r w:rsidR="00B31130">
          <w:rPr>
            <w:noProof/>
            <w:webHidden/>
          </w:rPr>
          <w:fldChar w:fldCharType="end"/>
        </w:r>
      </w:hyperlink>
    </w:p>
    <w:p w14:paraId="0D1AE013" w14:textId="7D881296"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313" w:history="1">
        <w:r w:rsidR="00B31130" w:rsidRPr="0096164C">
          <w:rPr>
            <w:rStyle w:val="Hypertextovodkaz"/>
            <w:noProof/>
          </w:rPr>
          <w:t>1</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Analýza stávajících/navrhovaných právních předpisů EK/ČR a pravděpodobné nastavení směrů a cílů SZP</w:t>
        </w:r>
        <w:r w:rsidR="00B31130">
          <w:rPr>
            <w:noProof/>
            <w:webHidden/>
          </w:rPr>
          <w:tab/>
        </w:r>
        <w:r w:rsidR="00B31130">
          <w:rPr>
            <w:noProof/>
            <w:webHidden/>
          </w:rPr>
          <w:fldChar w:fldCharType="begin"/>
        </w:r>
        <w:r w:rsidR="00B31130">
          <w:rPr>
            <w:noProof/>
            <w:webHidden/>
          </w:rPr>
          <w:instrText xml:space="preserve"> PAGEREF _Toc81739313 \h </w:instrText>
        </w:r>
        <w:r w:rsidR="00B31130">
          <w:rPr>
            <w:noProof/>
            <w:webHidden/>
          </w:rPr>
        </w:r>
        <w:r w:rsidR="00B31130">
          <w:rPr>
            <w:noProof/>
            <w:webHidden/>
          </w:rPr>
          <w:fldChar w:fldCharType="separate"/>
        </w:r>
        <w:r w:rsidR="00B31130">
          <w:rPr>
            <w:noProof/>
            <w:webHidden/>
          </w:rPr>
          <w:t>254</w:t>
        </w:r>
        <w:r w:rsidR="00B31130">
          <w:rPr>
            <w:noProof/>
            <w:webHidden/>
          </w:rPr>
          <w:fldChar w:fldCharType="end"/>
        </w:r>
      </w:hyperlink>
    </w:p>
    <w:p w14:paraId="5B1303FB" w14:textId="4AA145D5"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314" w:history="1">
        <w:r w:rsidR="00B31130" w:rsidRPr="0096164C">
          <w:rPr>
            <w:rStyle w:val="Hypertextovodkaz"/>
            <w:noProof/>
          </w:rPr>
          <w:t>2</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Co je skutečným problémem, na který má politika reagovat?</w:t>
        </w:r>
        <w:r w:rsidR="00B31130">
          <w:rPr>
            <w:noProof/>
            <w:webHidden/>
          </w:rPr>
          <w:tab/>
        </w:r>
        <w:r w:rsidR="00B31130">
          <w:rPr>
            <w:noProof/>
            <w:webHidden/>
          </w:rPr>
          <w:fldChar w:fldCharType="begin"/>
        </w:r>
        <w:r w:rsidR="00B31130">
          <w:rPr>
            <w:noProof/>
            <w:webHidden/>
          </w:rPr>
          <w:instrText xml:space="preserve"> PAGEREF _Toc81739314 \h </w:instrText>
        </w:r>
        <w:r w:rsidR="00B31130">
          <w:rPr>
            <w:noProof/>
            <w:webHidden/>
          </w:rPr>
        </w:r>
        <w:r w:rsidR="00B31130">
          <w:rPr>
            <w:noProof/>
            <w:webHidden/>
          </w:rPr>
          <w:fldChar w:fldCharType="separate"/>
        </w:r>
        <w:r w:rsidR="00B31130">
          <w:rPr>
            <w:noProof/>
            <w:webHidden/>
          </w:rPr>
          <w:t>255</w:t>
        </w:r>
        <w:r w:rsidR="00B31130">
          <w:rPr>
            <w:noProof/>
            <w:webHidden/>
          </w:rPr>
          <w:fldChar w:fldCharType="end"/>
        </w:r>
      </w:hyperlink>
    </w:p>
    <w:p w14:paraId="038C8E2D" w14:textId="7BCB48BF"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315" w:history="1">
        <w:r w:rsidR="00B31130" w:rsidRPr="0096164C">
          <w:rPr>
            <w:rStyle w:val="Hypertextovodkaz"/>
            <w:noProof/>
          </w:rPr>
          <w:t>3</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Jaký je mechanizmus a příčiny tohoto problému?</w:t>
        </w:r>
        <w:r w:rsidR="00B31130">
          <w:rPr>
            <w:noProof/>
            <w:webHidden/>
          </w:rPr>
          <w:tab/>
        </w:r>
        <w:r w:rsidR="00B31130">
          <w:rPr>
            <w:noProof/>
            <w:webHidden/>
          </w:rPr>
          <w:fldChar w:fldCharType="begin"/>
        </w:r>
        <w:r w:rsidR="00B31130">
          <w:rPr>
            <w:noProof/>
            <w:webHidden/>
          </w:rPr>
          <w:instrText xml:space="preserve"> PAGEREF _Toc81739315 \h </w:instrText>
        </w:r>
        <w:r w:rsidR="00B31130">
          <w:rPr>
            <w:noProof/>
            <w:webHidden/>
          </w:rPr>
        </w:r>
        <w:r w:rsidR="00B31130">
          <w:rPr>
            <w:noProof/>
            <w:webHidden/>
          </w:rPr>
          <w:fldChar w:fldCharType="separate"/>
        </w:r>
        <w:r w:rsidR="00B31130">
          <w:rPr>
            <w:noProof/>
            <w:webHidden/>
          </w:rPr>
          <w:t>256</w:t>
        </w:r>
        <w:r w:rsidR="00B31130">
          <w:rPr>
            <w:noProof/>
            <w:webHidden/>
          </w:rPr>
          <w:fldChar w:fldCharType="end"/>
        </w:r>
      </w:hyperlink>
    </w:p>
    <w:p w14:paraId="42370D98" w14:textId="7EC32BBC"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316" w:history="1">
        <w:r w:rsidR="00B31130" w:rsidRPr="0096164C">
          <w:rPr>
            <w:rStyle w:val="Hypertextovodkaz"/>
            <w:noProof/>
          </w:rPr>
          <w:t>4</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Jak závažný je tento problém?</w:t>
        </w:r>
        <w:r w:rsidR="00B31130">
          <w:rPr>
            <w:noProof/>
            <w:webHidden/>
          </w:rPr>
          <w:tab/>
        </w:r>
        <w:r w:rsidR="00B31130">
          <w:rPr>
            <w:noProof/>
            <w:webHidden/>
          </w:rPr>
          <w:fldChar w:fldCharType="begin"/>
        </w:r>
        <w:r w:rsidR="00B31130">
          <w:rPr>
            <w:noProof/>
            <w:webHidden/>
          </w:rPr>
          <w:instrText xml:space="preserve"> PAGEREF _Toc81739316 \h </w:instrText>
        </w:r>
        <w:r w:rsidR="00B31130">
          <w:rPr>
            <w:noProof/>
            <w:webHidden/>
          </w:rPr>
        </w:r>
        <w:r w:rsidR="00B31130">
          <w:rPr>
            <w:noProof/>
            <w:webHidden/>
          </w:rPr>
          <w:fldChar w:fldCharType="separate"/>
        </w:r>
        <w:r w:rsidR="00B31130">
          <w:rPr>
            <w:noProof/>
            <w:webHidden/>
          </w:rPr>
          <w:t>259</w:t>
        </w:r>
        <w:r w:rsidR="00B31130">
          <w:rPr>
            <w:noProof/>
            <w:webHidden/>
          </w:rPr>
          <w:fldChar w:fldCharType="end"/>
        </w:r>
      </w:hyperlink>
    </w:p>
    <w:p w14:paraId="5511515D" w14:textId="4CABCFBF"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317" w:history="1">
        <w:r w:rsidR="00B31130" w:rsidRPr="0096164C">
          <w:rPr>
            <w:rStyle w:val="Hypertextovodkaz"/>
            <w:noProof/>
          </w:rPr>
          <w:t>5</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Míra stávajícího řešení problému</w:t>
        </w:r>
        <w:r w:rsidR="00B31130">
          <w:rPr>
            <w:noProof/>
            <w:webHidden/>
          </w:rPr>
          <w:tab/>
        </w:r>
        <w:r w:rsidR="00B31130">
          <w:rPr>
            <w:noProof/>
            <w:webHidden/>
          </w:rPr>
          <w:fldChar w:fldCharType="begin"/>
        </w:r>
        <w:r w:rsidR="00B31130">
          <w:rPr>
            <w:noProof/>
            <w:webHidden/>
          </w:rPr>
          <w:instrText xml:space="preserve"> PAGEREF _Toc81739317 \h </w:instrText>
        </w:r>
        <w:r w:rsidR="00B31130">
          <w:rPr>
            <w:noProof/>
            <w:webHidden/>
          </w:rPr>
        </w:r>
        <w:r w:rsidR="00B31130">
          <w:rPr>
            <w:noProof/>
            <w:webHidden/>
          </w:rPr>
          <w:fldChar w:fldCharType="separate"/>
        </w:r>
        <w:r w:rsidR="00B31130">
          <w:rPr>
            <w:noProof/>
            <w:webHidden/>
          </w:rPr>
          <w:t>261</w:t>
        </w:r>
        <w:r w:rsidR="00B31130">
          <w:rPr>
            <w:noProof/>
            <w:webHidden/>
          </w:rPr>
          <w:fldChar w:fldCharType="end"/>
        </w:r>
      </w:hyperlink>
    </w:p>
    <w:p w14:paraId="146B5220" w14:textId="09998144" w:rsidR="00B31130" w:rsidRDefault="00E07272">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39318" w:history="1">
        <w:r w:rsidR="00B31130" w:rsidRPr="0096164C">
          <w:rPr>
            <w:rStyle w:val="Hypertextovodkaz"/>
            <w:noProof/>
          </w:rPr>
          <w:t>5.1</w:t>
        </w:r>
        <w:r w:rsidR="00B31130">
          <w:rPr>
            <w:rFonts w:asciiTheme="minorHAnsi" w:eastAsiaTheme="minorEastAsia" w:hAnsiTheme="minorHAnsi"/>
            <w:smallCaps w:val="0"/>
            <w:noProof/>
            <w:sz w:val="24"/>
            <w:szCs w:val="24"/>
            <w:lang w:val="cs-CZ" w:eastAsia="cs-CZ"/>
          </w:rPr>
          <w:tab/>
        </w:r>
        <w:r w:rsidR="00B31130" w:rsidRPr="0096164C">
          <w:rPr>
            <w:rStyle w:val="Hypertextovodkaz"/>
            <w:noProof/>
          </w:rPr>
          <w:t>Míra řešení ve stávající SZP (úspěšnost/neúspěšnost)</w:t>
        </w:r>
        <w:r w:rsidR="00B31130">
          <w:rPr>
            <w:noProof/>
            <w:webHidden/>
          </w:rPr>
          <w:tab/>
        </w:r>
        <w:r w:rsidR="00B31130">
          <w:rPr>
            <w:noProof/>
            <w:webHidden/>
          </w:rPr>
          <w:fldChar w:fldCharType="begin"/>
        </w:r>
        <w:r w:rsidR="00B31130">
          <w:rPr>
            <w:noProof/>
            <w:webHidden/>
          </w:rPr>
          <w:instrText xml:space="preserve"> PAGEREF _Toc81739318 \h </w:instrText>
        </w:r>
        <w:r w:rsidR="00B31130">
          <w:rPr>
            <w:noProof/>
            <w:webHidden/>
          </w:rPr>
        </w:r>
        <w:r w:rsidR="00B31130">
          <w:rPr>
            <w:noProof/>
            <w:webHidden/>
          </w:rPr>
          <w:fldChar w:fldCharType="separate"/>
        </w:r>
        <w:r w:rsidR="00B31130">
          <w:rPr>
            <w:noProof/>
            <w:webHidden/>
          </w:rPr>
          <w:t>261</w:t>
        </w:r>
        <w:r w:rsidR="00B31130">
          <w:rPr>
            <w:noProof/>
            <w:webHidden/>
          </w:rPr>
          <w:fldChar w:fldCharType="end"/>
        </w:r>
      </w:hyperlink>
    </w:p>
    <w:p w14:paraId="743A5A55" w14:textId="0C9F745C" w:rsidR="00B31130" w:rsidRDefault="00E07272">
      <w:pPr>
        <w:pStyle w:val="Obsah2"/>
        <w:tabs>
          <w:tab w:val="left" w:pos="960"/>
          <w:tab w:val="right" w:leader="dot" w:pos="9062"/>
        </w:tabs>
        <w:rPr>
          <w:rFonts w:asciiTheme="minorHAnsi" w:eastAsiaTheme="minorEastAsia" w:hAnsiTheme="minorHAnsi"/>
          <w:smallCaps w:val="0"/>
          <w:noProof/>
          <w:sz w:val="24"/>
          <w:szCs w:val="24"/>
          <w:lang w:val="cs-CZ" w:eastAsia="cs-CZ"/>
        </w:rPr>
      </w:pPr>
      <w:hyperlink w:anchor="_Toc81739319" w:history="1">
        <w:r w:rsidR="00B31130" w:rsidRPr="0096164C">
          <w:rPr>
            <w:rStyle w:val="Hypertextovodkaz"/>
            <w:noProof/>
          </w:rPr>
          <w:t>5.2</w:t>
        </w:r>
        <w:r w:rsidR="00B31130">
          <w:rPr>
            <w:rFonts w:asciiTheme="minorHAnsi" w:eastAsiaTheme="minorEastAsia" w:hAnsiTheme="minorHAnsi"/>
            <w:smallCaps w:val="0"/>
            <w:noProof/>
            <w:sz w:val="24"/>
            <w:szCs w:val="24"/>
            <w:lang w:val="cs-CZ" w:eastAsia="cs-CZ"/>
          </w:rPr>
          <w:tab/>
        </w:r>
        <w:r w:rsidR="00B31130" w:rsidRPr="0096164C">
          <w:rPr>
            <w:rStyle w:val="Hypertextovodkaz"/>
            <w:noProof/>
          </w:rPr>
          <w:t>Míra současného řešení problému jinými politikami</w:t>
        </w:r>
        <w:r w:rsidR="00B31130">
          <w:rPr>
            <w:noProof/>
            <w:webHidden/>
          </w:rPr>
          <w:tab/>
        </w:r>
        <w:r w:rsidR="00B31130">
          <w:rPr>
            <w:noProof/>
            <w:webHidden/>
          </w:rPr>
          <w:fldChar w:fldCharType="begin"/>
        </w:r>
        <w:r w:rsidR="00B31130">
          <w:rPr>
            <w:noProof/>
            <w:webHidden/>
          </w:rPr>
          <w:instrText xml:space="preserve"> PAGEREF _Toc81739319 \h </w:instrText>
        </w:r>
        <w:r w:rsidR="00B31130">
          <w:rPr>
            <w:noProof/>
            <w:webHidden/>
          </w:rPr>
        </w:r>
        <w:r w:rsidR="00B31130">
          <w:rPr>
            <w:noProof/>
            <w:webHidden/>
          </w:rPr>
          <w:fldChar w:fldCharType="separate"/>
        </w:r>
        <w:r w:rsidR="00B31130">
          <w:rPr>
            <w:noProof/>
            <w:webHidden/>
          </w:rPr>
          <w:t>262</w:t>
        </w:r>
        <w:r w:rsidR="00B31130">
          <w:rPr>
            <w:noProof/>
            <w:webHidden/>
          </w:rPr>
          <w:fldChar w:fldCharType="end"/>
        </w:r>
      </w:hyperlink>
    </w:p>
    <w:p w14:paraId="7DA85E5E" w14:textId="0DED74CB"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320" w:history="1">
        <w:r w:rsidR="00B31130" w:rsidRPr="0096164C">
          <w:rPr>
            <w:rStyle w:val="Hypertextovodkaz"/>
            <w:noProof/>
          </w:rPr>
          <w:t>6</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Existence/neexistence možnosti efektivního řešení v rámci nástrojů SZP, které lze uvažovat v nových návrzích SZP</w:t>
        </w:r>
        <w:r w:rsidR="00B31130">
          <w:rPr>
            <w:noProof/>
            <w:webHidden/>
          </w:rPr>
          <w:tab/>
        </w:r>
        <w:r w:rsidR="00B31130">
          <w:rPr>
            <w:noProof/>
            <w:webHidden/>
          </w:rPr>
          <w:fldChar w:fldCharType="begin"/>
        </w:r>
        <w:r w:rsidR="00B31130">
          <w:rPr>
            <w:noProof/>
            <w:webHidden/>
          </w:rPr>
          <w:instrText xml:space="preserve"> PAGEREF _Toc81739320 \h </w:instrText>
        </w:r>
        <w:r w:rsidR="00B31130">
          <w:rPr>
            <w:noProof/>
            <w:webHidden/>
          </w:rPr>
        </w:r>
        <w:r w:rsidR="00B31130">
          <w:rPr>
            <w:noProof/>
            <w:webHidden/>
          </w:rPr>
          <w:fldChar w:fldCharType="separate"/>
        </w:r>
        <w:r w:rsidR="00B31130">
          <w:rPr>
            <w:noProof/>
            <w:webHidden/>
          </w:rPr>
          <w:t>264</w:t>
        </w:r>
        <w:r w:rsidR="00B31130">
          <w:rPr>
            <w:noProof/>
            <w:webHidden/>
          </w:rPr>
          <w:fldChar w:fldCharType="end"/>
        </w:r>
      </w:hyperlink>
    </w:p>
    <w:p w14:paraId="3F394724" w14:textId="64E71FB9"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321" w:history="1">
        <w:r w:rsidR="00B31130" w:rsidRPr="0096164C">
          <w:rPr>
            <w:rStyle w:val="Hypertextovodkaz"/>
            <w:noProof/>
          </w:rPr>
          <w:t>7</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SWOT analýza</w:t>
        </w:r>
        <w:r w:rsidR="00B31130">
          <w:rPr>
            <w:noProof/>
            <w:webHidden/>
          </w:rPr>
          <w:tab/>
        </w:r>
        <w:r w:rsidR="00B31130">
          <w:rPr>
            <w:noProof/>
            <w:webHidden/>
          </w:rPr>
          <w:fldChar w:fldCharType="begin"/>
        </w:r>
        <w:r w:rsidR="00B31130">
          <w:rPr>
            <w:noProof/>
            <w:webHidden/>
          </w:rPr>
          <w:instrText xml:space="preserve"> PAGEREF _Toc81739321 \h </w:instrText>
        </w:r>
        <w:r w:rsidR="00B31130">
          <w:rPr>
            <w:noProof/>
            <w:webHidden/>
          </w:rPr>
        </w:r>
        <w:r w:rsidR="00B31130">
          <w:rPr>
            <w:noProof/>
            <w:webHidden/>
          </w:rPr>
          <w:fldChar w:fldCharType="separate"/>
        </w:r>
        <w:r w:rsidR="00B31130">
          <w:rPr>
            <w:noProof/>
            <w:webHidden/>
          </w:rPr>
          <w:t>266</w:t>
        </w:r>
        <w:r w:rsidR="00B31130">
          <w:rPr>
            <w:noProof/>
            <w:webHidden/>
          </w:rPr>
          <w:fldChar w:fldCharType="end"/>
        </w:r>
      </w:hyperlink>
    </w:p>
    <w:p w14:paraId="136B07D2" w14:textId="28398652" w:rsidR="00B31130" w:rsidRDefault="00E07272">
      <w:pPr>
        <w:pStyle w:val="Obsah1"/>
        <w:tabs>
          <w:tab w:val="right" w:leader="dot" w:pos="9062"/>
        </w:tabs>
        <w:rPr>
          <w:rFonts w:asciiTheme="minorHAnsi" w:eastAsiaTheme="minorEastAsia" w:hAnsiTheme="minorHAnsi"/>
          <w:b w:val="0"/>
          <w:bCs w:val="0"/>
          <w:caps w:val="0"/>
          <w:noProof/>
          <w:sz w:val="24"/>
          <w:szCs w:val="24"/>
          <w:lang w:val="cs-CZ" w:eastAsia="cs-CZ"/>
        </w:rPr>
      </w:pPr>
      <w:hyperlink w:anchor="_Toc81739322" w:history="1">
        <w:r w:rsidR="00B31130" w:rsidRPr="0096164C">
          <w:rPr>
            <w:rStyle w:val="Hypertextovodkaz"/>
            <w:noProof/>
          </w:rPr>
          <w:t>VČELY</w:t>
        </w:r>
        <w:r w:rsidR="00B31130">
          <w:rPr>
            <w:noProof/>
            <w:webHidden/>
          </w:rPr>
          <w:tab/>
        </w:r>
        <w:r w:rsidR="00B31130">
          <w:rPr>
            <w:noProof/>
            <w:webHidden/>
          </w:rPr>
          <w:fldChar w:fldCharType="begin"/>
        </w:r>
        <w:r w:rsidR="00B31130">
          <w:rPr>
            <w:noProof/>
            <w:webHidden/>
          </w:rPr>
          <w:instrText xml:space="preserve"> PAGEREF _Toc81739322 \h </w:instrText>
        </w:r>
        <w:r w:rsidR="00B31130">
          <w:rPr>
            <w:noProof/>
            <w:webHidden/>
          </w:rPr>
        </w:r>
        <w:r w:rsidR="00B31130">
          <w:rPr>
            <w:noProof/>
            <w:webHidden/>
          </w:rPr>
          <w:fldChar w:fldCharType="separate"/>
        </w:r>
        <w:r w:rsidR="00B31130">
          <w:rPr>
            <w:noProof/>
            <w:webHidden/>
          </w:rPr>
          <w:t>268</w:t>
        </w:r>
        <w:r w:rsidR="00B31130">
          <w:rPr>
            <w:noProof/>
            <w:webHidden/>
          </w:rPr>
          <w:fldChar w:fldCharType="end"/>
        </w:r>
      </w:hyperlink>
    </w:p>
    <w:p w14:paraId="0C17D1AB" w14:textId="4243A259"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323" w:history="1">
        <w:r w:rsidR="00B31130" w:rsidRPr="0096164C">
          <w:rPr>
            <w:rStyle w:val="Hypertextovodkaz"/>
            <w:noProof/>
          </w:rPr>
          <w:t>1</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Analýza stávajících/navrhovaných právních předpisů EK/ČR a pravděpodobné nastavení směrů a cílů SZP</w:t>
        </w:r>
        <w:r w:rsidR="00B31130">
          <w:rPr>
            <w:noProof/>
            <w:webHidden/>
          </w:rPr>
          <w:tab/>
        </w:r>
        <w:r w:rsidR="00B31130">
          <w:rPr>
            <w:noProof/>
            <w:webHidden/>
          </w:rPr>
          <w:fldChar w:fldCharType="begin"/>
        </w:r>
        <w:r w:rsidR="00B31130">
          <w:rPr>
            <w:noProof/>
            <w:webHidden/>
          </w:rPr>
          <w:instrText xml:space="preserve"> PAGEREF _Toc81739323 \h </w:instrText>
        </w:r>
        <w:r w:rsidR="00B31130">
          <w:rPr>
            <w:noProof/>
            <w:webHidden/>
          </w:rPr>
        </w:r>
        <w:r w:rsidR="00B31130">
          <w:rPr>
            <w:noProof/>
            <w:webHidden/>
          </w:rPr>
          <w:fldChar w:fldCharType="separate"/>
        </w:r>
        <w:r w:rsidR="00B31130">
          <w:rPr>
            <w:noProof/>
            <w:webHidden/>
          </w:rPr>
          <w:t>268</w:t>
        </w:r>
        <w:r w:rsidR="00B31130">
          <w:rPr>
            <w:noProof/>
            <w:webHidden/>
          </w:rPr>
          <w:fldChar w:fldCharType="end"/>
        </w:r>
      </w:hyperlink>
    </w:p>
    <w:p w14:paraId="08D34073" w14:textId="0E0B596B"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324" w:history="1">
        <w:r w:rsidR="00B31130" w:rsidRPr="0096164C">
          <w:rPr>
            <w:rStyle w:val="Hypertextovodkaz"/>
            <w:noProof/>
          </w:rPr>
          <w:t>2</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Co je skutečným problémem, na který má politika reagovat?</w:t>
        </w:r>
        <w:r w:rsidR="00B31130">
          <w:rPr>
            <w:noProof/>
            <w:webHidden/>
          </w:rPr>
          <w:tab/>
        </w:r>
        <w:r w:rsidR="00B31130">
          <w:rPr>
            <w:noProof/>
            <w:webHidden/>
          </w:rPr>
          <w:fldChar w:fldCharType="begin"/>
        </w:r>
        <w:r w:rsidR="00B31130">
          <w:rPr>
            <w:noProof/>
            <w:webHidden/>
          </w:rPr>
          <w:instrText xml:space="preserve"> PAGEREF _Toc81739324 \h </w:instrText>
        </w:r>
        <w:r w:rsidR="00B31130">
          <w:rPr>
            <w:noProof/>
            <w:webHidden/>
          </w:rPr>
        </w:r>
        <w:r w:rsidR="00B31130">
          <w:rPr>
            <w:noProof/>
            <w:webHidden/>
          </w:rPr>
          <w:fldChar w:fldCharType="separate"/>
        </w:r>
        <w:r w:rsidR="00B31130">
          <w:rPr>
            <w:noProof/>
            <w:webHidden/>
          </w:rPr>
          <w:t>270</w:t>
        </w:r>
        <w:r w:rsidR="00B31130">
          <w:rPr>
            <w:noProof/>
            <w:webHidden/>
          </w:rPr>
          <w:fldChar w:fldCharType="end"/>
        </w:r>
      </w:hyperlink>
    </w:p>
    <w:p w14:paraId="2B5C3F84" w14:textId="74F54ADA"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325" w:history="1">
        <w:r w:rsidR="00B31130" w:rsidRPr="0096164C">
          <w:rPr>
            <w:rStyle w:val="Hypertextovodkaz"/>
            <w:noProof/>
          </w:rPr>
          <w:t>3</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Jaký je mechanizmus a příčiny tohoto problému?</w:t>
        </w:r>
        <w:r w:rsidR="00B31130">
          <w:rPr>
            <w:noProof/>
            <w:webHidden/>
          </w:rPr>
          <w:tab/>
        </w:r>
        <w:r w:rsidR="00B31130">
          <w:rPr>
            <w:noProof/>
            <w:webHidden/>
          </w:rPr>
          <w:fldChar w:fldCharType="begin"/>
        </w:r>
        <w:r w:rsidR="00B31130">
          <w:rPr>
            <w:noProof/>
            <w:webHidden/>
          </w:rPr>
          <w:instrText xml:space="preserve"> PAGEREF _Toc81739325 \h </w:instrText>
        </w:r>
        <w:r w:rsidR="00B31130">
          <w:rPr>
            <w:noProof/>
            <w:webHidden/>
          </w:rPr>
        </w:r>
        <w:r w:rsidR="00B31130">
          <w:rPr>
            <w:noProof/>
            <w:webHidden/>
          </w:rPr>
          <w:fldChar w:fldCharType="separate"/>
        </w:r>
        <w:r w:rsidR="00B31130">
          <w:rPr>
            <w:noProof/>
            <w:webHidden/>
          </w:rPr>
          <w:t>271</w:t>
        </w:r>
        <w:r w:rsidR="00B31130">
          <w:rPr>
            <w:noProof/>
            <w:webHidden/>
          </w:rPr>
          <w:fldChar w:fldCharType="end"/>
        </w:r>
      </w:hyperlink>
    </w:p>
    <w:p w14:paraId="0CFD663A" w14:textId="3C35F09D"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326" w:history="1">
        <w:r w:rsidR="00B31130" w:rsidRPr="0096164C">
          <w:rPr>
            <w:rStyle w:val="Hypertextovodkaz"/>
            <w:noProof/>
          </w:rPr>
          <w:t>4</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Jak závažný je tento problém?</w:t>
        </w:r>
        <w:r w:rsidR="00B31130">
          <w:rPr>
            <w:noProof/>
            <w:webHidden/>
          </w:rPr>
          <w:tab/>
        </w:r>
        <w:r w:rsidR="00B31130">
          <w:rPr>
            <w:noProof/>
            <w:webHidden/>
          </w:rPr>
          <w:fldChar w:fldCharType="begin"/>
        </w:r>
        <w:r w:rsidR="00B31130">
          <w:rPr>
            <w:noProof/>
            <w:webHidden/>
          </w:rPr>
          <w:instrText xml:space="preserve"> PAGEREF _Toc81739326 \h </w:instrText>
        </w:r>
        <w:r w:rsidR="00B31130">
          <w:rPr>
            <w:noProof/>
            <w:webHidden/>
          </w:rPr>
        </w:r>
        <w:r w:rsidR="00B31130">
          <w:rPr>
            <w:noProof/>
            <w:webHidden/>
          </w:rPr>
          <w:fldChar w:fldCharType="separate"/>
        </w:r>
        <w:r w:rsidR="00B31130">
          <w:rPr>
            <w:noProof/>
            <w:webHidden/>
          </w:rPr>
          <w:t>272</w:t>
        </w:r>
        <w:r w:rsidR="00B31130">
          <w:rPr>
            <w:noProof/>
            <w:webHidden/>
          </w:rPr>
          <w:fldChar w:fldCharType="end"/>
        </w:r>
      </w:hyperlink>
    </w:p>
    <w:p w14:paraId="7047662E" w14:textId="0FBE99DA"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327" w:history="1">
        <w:r w:rsidR="00B31130" w:rsidRPr="0096164C">
          <w:rPr>
            <w:rStyle w:val="Hypertextovodkaz"/>
            <w:noProof/>
          </w:rPr>
          <w:t>5</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Řešení v rámci nástrojů SZP, které lze uvažovat v nových návrzích SZP</w:t>
        </w:r>
        <w:r w:rsidR="00B31130">
          <w:rPr>
            <w:noProof/>
            <w:webHidden/>
          </w:rPr>
          <w:tab/>
        </w:r>
        <w:r w:rsidR="00B31130">
          <w:rPr>
            <w:noProof/>
            <w:webHidden/>
          </w:rPr>
          <w:fldChar w:fldCharType="begin"/>
        </w:r>
        <w:r w:rsidR="00B31130">
          <w:rPr>
            <w:noProof/>
            <w:webHidden/>
          </w:rPr>
          <w:instrText xml:space="preserve"> PAGEREF _Toc81739327 \h </w:instrText>
        </w:r>
        <w:r w:rsidR="00B31130">
          <w:rPr>
            <w:noProof/>
            <w:webHidden/>
          </w:rPr>
        </w:r>
        <w:r w:rsidR="00B31130">
          <w:rPr>
            <w:noProof/>
            <w:webHidden/>
          </w:rPr>
          <w:fldChar w:fldCharType="separate"/>
        </w:r>
        <w:r w:rsidR="00B31130">
          <w:rPr>
            <w:noProof/>
            <w:webHidden/>
          </w:rPr>
          <w:t>274</w:t>
        </w:r>
        <w:r w:rsidR="00B31130">
          <w:rPr>
            <w:noProof/>
            <w:webHidden/>
          </w:rPr>
          <w:fldChar w:fldCharType="end"/>
        </w:r>
      </w:hyperlink>
    </w:p>
    <w:p w14:paraId="7E27EBDE" w14:textId="24A0FD74"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328" w:history="1">
        <w:r w:rsidR="00B31130" w:rsidRPr="0096164C">
          <w:rPr>
            <w:rStyle w:val="Hypertextovodkaz"/>
            <w:noProof/>
          </w:rPr>
          <w:t>6</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Detailnější posouzení vlivu předpisů</w:t>
        </w:r>
        <w:r w:rsidR="00B31130">
          <w:rPr>
            <w:noProof/>
            <w:webHidden/>
          </w:rPr>
          <w:tab/>
        </w:r>
        <w:r w:rsidR="00B31130">
          <w:rPr>
            <w:noProof/>
            <w:webHidden/>
          </w:rPr>
          <w:fldChar w:fldCharType="begin"/>
        </w:r>
        <w:r w:rsidR="00B31130">
          <w:rPr>
            <w:noProof/>
            <w:webHidden/>
          </w:rPr>
          <w:instrText xml:space="preserve"> PAGEREF _Toc81739328 \h </w:instrText>
        </w:r>
        <w:r w:rsidR="00B31130">
          <w:rPr>
            <w:noProof/>
            <w:webHidden/>
          </w:rPr>
        </w:r>
        <w:r w:rsidR="00B31130">
          <w:rPr>
            <w:noProof/>
            <w:webHidden/>
          </w:rPr>
          <w:fldChar w:fldCharType="separate"/>
        </w:r>
        <w:r w:rsidR="00B31130">
          <w:rPr>
            <w:noProof/>
            <w:webHidden/>
          </w:rPr>
          <w:t>275</w:t>
        </w:r>
        <w:r w:rsidR="00B31130">
          <w:rPr>
            <w:noProof/>
            <w:webHidden/>
          </w:rPr>
          <w:fldChar w:fldCharType="end"/>
        </w:r>
      </w:hyperlink>
    </w:p>
    <w:p w14:paraId="5C9098E9" w14:textId="6940F08B"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329" w:history="1">
        <w:r w:rsidR="00B31130" w:rsidRPr="0096164C">
          <w:rPr>
            <w:rStyle w:val="Hypertextovodkaz"/>
            <w:noProof/>
          </w:rPr>
          <w:t>7</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Jak by se situace vyvíjela BEZ ZAVEDENÍ PŘÍSLUŠNÝCH INTERVENCÍ?</w:t>
        </w:r>
        <w:r w:rsidR="00B31130">
          <w:rPr>
            <w:noProof/>
            <w:webHidden/>
          </w:rPr>
          <w:tab/>
        </w:r>
        <w:r w:rsidR="00B31130">
          <w:rPr>
            <w:noProof/>
            <w:webHidden/>
          </w:rPr>
          <w:fldChar w:fldCharType="begin"/>
        </w:r>
        <w:r w:rsidR="00B31130">
          <w:rPr>
            <w:noProof/>
            <w:webHidden/>
          </w:rPr>
          <w:instrText xml:space="preserve"> PAGEREF _Toc81739329 \h </w:instrText>
        </w:r>
        <w:r w:rsidR="00B31130">
          <w:rPr>
            <w:noProof/>
            <w:webHidden/>
          </w:rPr>
        </w:r>
        <w:r w:rsidR="00B31130">
          <w:rPr>
            <w:noProof/>
            <w:webHidden/>
          </w:rPr>
          <w:fldChar w:fldCharType="separate"/>
        </w:r>
        <w:r w:rsidR="00B31130">
          <w:rPr>
            <w:noProof/>
            <w:webHidden/>
          </w:rPr>
          <w:t>276</w:t>
        </w:r>
        <w:r w:rsidR="00B31130">
          <w:rPr>
            <w:noProof/>
            <w:webHidden/>
          </w:rPr>
          <w:fldChar w:fldCharType="end"/>
        </w:r>
      </w:hyperlink>
    </w:p>
    <w:p w14:paraId="324706D3" w14:textId="73FF0D1F" w:rsidR="00B31130" w:rsidRDefault="00E07272">
      <w:pPr>
        <w:pStyle w:val="Obsah1"/>
        <w:tabs>
          <w:tab w:val="left" w:pos="480"/>
          <w:tab w:val="right" w:leader="dot" w:pos="9062"/>
        </w:tabs>
        <w:rPr>
          <w:rFonts w:asciiTheme="minorHAnsi" w:eastAsiaTheme="minorEastAsia" w:hAnsiTheme="minorHAnsi"/>
          <w:b w:val="0"/>
          <w:bCs w:val="0"/>
          <w:caps w:val="0"/>
          <w:noProof/>
          <w:sz w:val="24"/>
          <w:szCs w:val="24"/>
          <w:lang w:val="cs-CZ" w:eastAsia="cs-CZ"/>
        </w:rPr>
      </w:pPr>
      <w:hyperlink w:anchor="_Toc81739330" w:history="1">
        <w:r w:rsidR="00B31130" w:rsidRPr="0096164C">
          <w:rPr>
            <w:rStyle w:val="Hypertextovodkaz"/>
            <w:noProof/>
          </w:rPr>
          <w:t>8</w:t>
        </w:r>
        <w:r w:rsidR="00B31130">
          <w:rPr>
            <w:rFonts w:asciiTheme="minorHAnsi" w:eastAsiaTheme="minorEastAsia" w:hAnsiTheme="minorHAnsi"/>
            <w:b w:val="0"/>
            <w:bCs w:val="0"/>
            <w:caps w:val="0"/>
            <w:noProof/>
            <w:sz w:val="24"/>
            <w:szCs w:val="24"/>
            <w:lang w:val="cs-CZ" w:eastAsia="cs-CZ"/>
          </w:rPr>
          <w:tab/>
        </w:r>
        <w:r w:rsidR="00B31130" w:rsidRPr="0096164C">
          <w:rPr>
            <w:rStyle w:val="Hypertextovodkaz"/>
            <w:noProof/>
          </w:rPr>
          <w:t>SWOT analýza</w:t>
        </w:r>
        <w:r w:rsidR="00B31130">
          <w:rPr>
            <w:noProof/>
            <w:webHidden/>
          </w:rPr>
          <w:tab/>
        </w:r>
        <w:r w:rsidR="00B31130">
          <w:rPr>
            <w:noProof/>
            <w:webHidden/>
          </w:rPr>
          <w:fldChar w:fldCharType="begin"/>
        </w:r>
        <w:r w:rsidR="00B31130">
          <w:rPr>
            <w:noProof/>
            <w:webHidden/>
          </w:rPr>
          <w:instrText xml:space="preserve"> PAGEREF _Toc81739330 \h </w:instrText>
        </w:r>
        <w:r w:rsidR="00B31130">
          <w:rPr>
            <w:noProof/>
            <w:webHidden/>
          </w:rPr>
        </w:r>
        <w:r w:rsidR="00B31130">
          <w:rPr>
            <w:noProof/>
            <w:webHidden/>
          </w:rPr>
          <w:fldChar w:fldCharType="separate"/>
        </w:r>
        <w:r w:rsidR="00B31130">
          <w:rPr>
            <w:noProof/>
            <w:webHidden/>
          </w:rPr>
          <w:t>277</w:t>
        </w:r>
        <w:r w:rsidR="00B31130">
          <w:rPr>
            <w:noProof/>
            <w:webHidden/>
          </w:rPr>
          <w:fldChar w:fldCharType="end"/>
        </w:r>
      </w:hyperlink>
    </w:p>
    <w:p w14:paraId="69DDA0DF" w14:textId="18372C15" w:rsidR="00B31130" w:rsidRDefault="00E07272">
      <w:pPr>
        <w:pStyle w:val="Obsah1"/>
        <w:tabs>
          <w:tab w:val="right" w:leader="dot" w:pos="9062"/>
        </w:tabs>
        <w:rPr>
          <w:rFonts w:asciiTheme="minorHAnsi" w:eastAsiaTheme="minorEastAsia" w:hAnsiTheme="minorHAnsi"/>
          <w:b w:val="0"/>
          <w:bCs w:val="0"/>
          <w:caps w:val="0"/>
          <w:noProof/>
          <w:sz w:val="24"/>
          <w:szCs w:val="24"/>
          <w:lang w:val="cs-CZ" w:eastAsia="cs-CZ"/>
        </w:rPr>
      </w:pPr>
      <w:hyperlink w:anchor="_Toc81739331" w:history="1">
        <w:r w:rsidR="00B31130" w:rsidRPr="0096164C">
          <w:rPr>
            <w:rStyle w:val="Hypertextovodkaz"/>
            <w:noProof/>
          </w:rPr>
          <w:t>PŘÍLOHY</w:t>
        </w:r>
        <w:r w:rsidR="00B31130">
          <w:rPr>
            <w:noProof/>
            <w:webHidden/>
          </w:rPr>
          <w:tab/>
        </w:r>
        <w:r w:rsidR="00B31130">
          <w:rPr>
            <w:noProof/>
            <w:webHidden/>
          </w:rPr>
          <w:fldChar w:fldCharType="begin"/>
        </w:r>
        <w:r w:rsidR="00B31130">
          <w:rPr>
            <w:noProof/>
            <w:webHidden/>
          </w:rPr>
          <w:instrText xml:space="preserve"> PAGEREF _Toc81739331 \h </w:instrText>
        </w:r>
        <w:r w:rsidR="00B31130">
          <w:rPr>
            <w:noProof/>
            <w:webHidden/>
          </w:rPr>
        </w:r>
        <w:r w:rsidR="00B31130">
          <w:rPr>
            <w:noProof/>
            <w:webHidden/>
          </w:rPr>
          <w:fldChar w:fldCharType="separate"/>
        </w:r>
        <w:r w:rsidR="00B31130">
          <w:rPr>
            <w:noProof/>
            <w:webHidden/>
          </w:rPr>
          <w:t>279</w:t>
        </w:r>
        <w:r w:rsidR="00B31130">
          <w:rPr>
            <w:noProof/>
            <w:webHidden/>
          </w:rPr>
          <w:fldChar w:fldCharType="end"/>
        </w:r>
      </w:hyperlink>
    </w:p>
    <w:p w14:paraId="76716B24" w14:textId="0AAF8CB1" w:rsidR="00B31130" w:rsidRDefault="00E07272">
      <w:pPr>
        <w:pStyle w:val="Obsah4"/>
        <w:tabs>
          <w:tab w:val="right" w:leader="dot" w:pos="9062"/>
        </w:tabs>
        <w:rPr>
          <w:rFonts w:asciiTheme="minorHAnsi" w:eastAsiaTheme="minorEastAsia" w:hAnsiTheme="minorHAnsi"/>
          <w:noProof/>
          <w:sz w:val="24"/>
          <w:szCs w:val="24"/>
          <w:lang w:val="cs-CZ" w:eastAsia="cs-CZ"/>
        </w:rPr>
      </w:pPr>
      <w:hyperlink w:anchor="_Toc81739332" w:history="1">
        <w:r w:rsidR="00B31130" w:rsidRPr="0096164C">
          <w:rPr>
            <w:rStyle w:val="Hypertextovodkaz"/>
            <w:noProof/>
          </w:rPr>
          <w:t>Příloha 1 Způsob stanovení predikce ekonomiky zemědělských komodit do roku 2030</w:t>
        </w:r>
        <w:r w:rsidR="00B31130">
          <w:rPr>
            <w:noProof/>
            <w:webHidden/>
          </w:rPr>
          <w:tab/>
        </w:r>
        <w:r w:rsidR="00B31130">
          <w:rPr>
            <w:noProof/>
            <w:webHidden/>
          </w:rPr>
          <w:fldChar w:fldCharType="begin"/>
        </w:r>
        <w:r w:rsidR="00B31130">
          <w:rPr>
            <w:noProof/>
            <w:webHidden/>
          </w:rPr>
          <w:instrText xml:space="preserve"> PAGEREF _Toc81739332 \h </w:instrText>
        </w:r>
        <w:r w:rsidR="00B31130">
          <w:rPr>
            <w:noProof/>
            <w:webHidden/>
          </w:rPr>
        </w:r>
        <w:r w:rsidR="00B31130">
          <w:rPr>
            <w:noProof/>
            <w:webHidden/>
          </w:rPr>
          <w:fldChar w:fldCharType="separate"/>
        </w:r>
        <w:r w:rsidR="00B31130">
          <w:rPr>
            <w:noProof/>
            <w:webHidden/>
          </w:rPr>
          <w:t>279</w:t>
        </w:r>
        <w:r w:rsidR="00B31130">
          <w:rPr>
            <w:noProof/>
            <w:webHidden/>
          </w:rPr>
          <w:fldChar w:fldCharType="end"/>
        </w:r>
      </w:hyperlink>
    </w:p>
    <w:p w14:paraId="5AC972E8" w14:textId="78284600" w:rsidR="007C29A2" w:rsidRPr="00D95127" w:rsidRDefault="007C29A2" w:rsidP="007C40A1">
      <w:pPr>
        <w:rPr>
          <w:rFonts w:cs="Times New Roman"/>
          <w:b/>
          <w:bCs/>
          <w:sz w:val="28"/>
          <w:szCs w:val="28"/>
          <w:lang w:val="cs-CZ"/>
        </w:rPr>
      </w:pPr>
      <w:r>
        <w:rPr>
          <w:rFonts w:cs="Times New Roman"/>
          <w:b/>
          <w:bCs/>
          <w:sz w:val="28"/>
          <w:szCs w:val="28"/>
          <w:lang w:val="cs-CZ"/>
        </w:rPr>
        <w:fldChar w:fldCharType="end"/>
      </w:r>
    </w:p>
    <w:p w14:paraId="4170BB1B" w14:textId="77777777" w:rsidR="007C40A1" w:rsidRPr="00D95127" w:rsidRDefault="007C40A1" w:rsidP="007C40A1">
      <w:pPr>
        <w:rPr>
          <w:rFonts w:cs="Times New Roman"/>
          <w:lang w:val="cs-CZ"/>
        </w:rPr>
      </w:pPr>
    </w:p>
    <w:p w14:paraId="12BED725" w14:textId="77777777" w:rsidR="007C40A1" w:rsidRPr="00D95127" w:rsidRDefault="007C40A1" w:rsidP="007C40A1">
      <w:pPr>
        <w:rPr>
          <w:rFonts w:cs="Times New Roman"/>
          <w:lang w:val="cs-CZ"/>
        </w:rPr>
      </w:pPr>
    </w:p>
    <w:p w14:paraId="2B544105" w14:textId="77777777" w:rsidR="007C40A1" w:rsidRPr="00D95127" w:rsidRDefault="007C40A1" w:rsidP="007C40A1">
      <w:pPr>
        <w:rPr>
          <w:rFonts w:cs="Times New Roman"/>
          <w:lang w:val="cs-CZ"/>
        </w:rPr>
      </w:pPr>
    </w:p>
    <w:p w14:paraId="28D46087" w14:textId="77777777" w:rsidR="007C40A1" w:rsidRPr="00D95127" w:rsidRDefault="007C40A1" w:rsidP="007C40A1">
      <w:pPr>
        <w:rPr>
          <w:rFonts w:cs="Times New Roman"/>
          <w:lang w:val="cs-CZ"/>
        </w:rPr>
      </w:pPr>
    </w:p>
    <w:p w14:paraId="5751C4B7" w14:textId="77777777" w:rsidR="007C40A1" w:rsidRPr="00D95127" w:rsidRDefault="007C40A1" w:rsidP="007C40A1">
      <w:pPr>
        <w:rPr>
          <w:rFonts w:cs="Times New Roman"/>
          <w:lang w:val="cs-CZ"/>
        </w:rPr>
      </w:pPr>
    </w:p>
    <w:p w14:paraId="1C616953" w14:textId="77777777" w:rsidR="007C40A1" w:rsidRPr="00D95127" w:rsidRDefault="007C40A1" w:rsidP="007C40A1">
      <w:pPr>
        <w:rPr>
          <w:rFonts w:cs="Times New Roman"/>
          <w:lang w:val="cs-CZ"/>
        </w:rPr>
      </w:pPr>
    </w:p>
    <w:p w14:paraId="3BA9756F" w14:textId="77777777" w:rsidR="007C40A1" w:rsidRPr="00D95127" w:rsidRDefault="007C40A1" w:rsidP="007C40A1">
      <w:pPr>
        <w:rPr>
          <w:rFonts w:cs="Times New Roman"/>
          <w:lang w:val="cs-CZ"/>
        </w:rPr>
      </w:pPr>
    </w:p>
    <w:p w14:paraId="10A26855" w14:textId="77777777" w:rsidR="007C40A1" w:rsidRPr="00D95127" w:rsidRDefault="007C40A1" w:rsidP="007C40A1">
      <w:pPr>
        <w:rPr>
          <w:rFonts w:cs="Times New Roman"/>
          <w:lang w:val="cs-CZ"/>
        </w:rPr>
      </w:pPr>
    </w:p>
    <w:p w14:paraId="4B7FA77C" w14:textId="77777777" w:rsidR="007C40A1" w:rsidRPr="00D95127" w:rsidRDefault="007C40A1" w:rsidP="007C40A1">
      <w:pPr>
        <w:rPr>
          <w:rFonts w:cs="Times New Roman"/>
          <w:lang w:val="cs-CZ"/>
        </w:rPr>
      </w:pPr>
    </w:p>
    <w:p w14:paraId="4CE05171" w14:textId="77777777" w:rsidR="00AD3576" w:rsidRPr="00D95127" w:rsidRDefault="00AD3576">
      <w:pPr>
        <w:spacing w:after="160" w:line="259" w:lineRule="auto"/>
        <w:jc w:val="left"/>
        <w:rPr>
          <w:rFonts w:cs="Times New Roman"/>
          <w:lang w:val="cs-CZ"/>
        </w:rPr>
      </w:pPr>
      <w:r w:rsidRPr="00D95127">
        <w:rPr>
          <w:rFonts w:cs="Times New Roman"/>
          <w:lang w:val="cs-CZ"/>
        </w:rPr>
        <w:br w:type="page"/>
      </w:r>
    </w:p>
    <w:p w14:paraId="17E861EC" w14:textId="6E8058EC" w:rsidR="00A16DDB" w:rsidRPr="00D95127" w:rsidRDefault="00A16DDB" w:rsidP="00AD3576">
      <w:pPr>
        <w:pStyle w:val="UZEINadpis1stbezsla"/>
        <w:rPr>
          <w:rFonts w:eastAsia="Times New Roman" w:cs="Times New Roman"/>
          <w:color w:val="2E74B5"/>
          <w:szCs w:val="24"/>
        </w:rPr>
      </w:pPr>
      <w:bookmarkStart w:id="16" w:name="_Toc81739172"/>
      <w:r w:rsidRPr="00D95127">
        <w:rPr>
          <w:rFonts w:cs="Times New Roman"/>
        </w:rPr>
        <w:lastRenderedPageBreak/>
        <w:t>OVOCE A ZELENINA</w:t>
      </w:r>
      <w:bookmarkEnd w:id="6"/>
      <w:bookmarkEnd w:id="7"/>
      <w:bookmarkEnd w:id="8"/>
      <w:bookmarkEnd w:id="9"/>
      <w:bookmarkEnd w:id="10"/>
      <w:bookmarkEnd w:id="11"/>
      <w:bookmarkEnd w:id="12"/>
      <w:bookmarkEnd w:id="16"/>
    </w:p>
    <w:p w14:paraId="49016390" w14:textId="77777777" w:rsidR="00A16DDB" w:rsidRPr="00D95127" w:rsidRDefault="00A16DDB" w:rsidP="00AD3576">
      <w:pPr>
        <w:pStyle w:val="UZEINormaln"/>
        <w:rPr>
          <w:rFonts w:cs="Times New Roman"/>
        </w:rPr>
      </w:pPr>
      <w:r w:rsidRPr="00D95127">
        <w:rPr>
          <w:rFonts w:cs="Times New Roman"/>
        </w:rPr>
        <w:t xml:space="preserve">Česká republika má dobré podmínky pro pěstování ovoce a zeleniny mírného pásma vzhledem ke své poloze. V posledních letech se však pěstitelé ovoce a zeleniny potýkají s vyšším výskytem extrémních meteorologických vlivů. Podle toho produkce ovoce a zeleniny v jednotlivých letech kolísá, přesto je však produkce velmi nízká a pro uspokojení poptávky spotřebitelů je třeba jí dovážet. Spotřeba ovoce a zeleniny se mírně zvyšuje a roste i poptávka po tuzemské (lokální) produkci ovoce a zeleniny a výrobcích s vyšší přidanou hodnotou. </w:t>
      </w:r>
    </w:p>
    <w:p w14:paraId="55557A6E" w14:textId="77777777" w:rsidR="00A16DDB" w:rsidRPr="00D95127" w:rsidRDefault="00A16DDB" w:rsidP="00AD3576">
      <w:pPr>
        <w:pStyle w:val="Nadpis1"/>
      </w:pPr>
      <w:bookmarkStart w:id="17" w:name="_Toc15304027"/>
      <w:bookmarkStart w:id="18" w:name="_Toc23509820"/>
      <w:bookmarkStart w:id="19" w:name="_Toc76137339"/>
      <w:bookmarkStart w:id="20" w:name="_Toc76637538"/>
      <w:bookmarkStart w:id="21" w:name="_Toc80953217"/>
      <w:bookmarkStart w:id="22" w:name="_Toc81739173"/>
      <w:bookmarkEnd w:id="13"/>
      <w:r w:rsidRPr="00D95127">
        <w:t>Analýza stávajících/navrhovaných právních předpisů EK/ČR a pravděpodobné nastavení směrů a cílů SZP</w:t>
      </w:r>
      <w:bookmarkEnd w:id="17"/>
      <w:bookmarkEnd w:id="18"/>
      <w:bookmarkEnd w:id="19"/>
      <w:bookmarkEnd w:id="20"/>
      <w:bookmarkEnd w:id="21"/>
      <w:bookmarkEnd w:id="22"/>
    </w:p>
    <w:p w14:paraId="4B46B61C" w14:textId="2E1BAE57" w:rsidR="00B532B5" w:rsidRPr="00C624B3" w:rsidRDefault="00A16DDB" w:rsidP="00C644E9">
      <w:pPr>
        <w:pStyle w:val="UZEINormaln"/>
        <w:rPr>
          <w:rFonts w:cs="Times New Roman"/>
          <w:u w:val="single"/>
        </w:rPr>
      </w:pPr>
      <w:r w:rsidRPr="00C624B3">
        <w:rPr>
          <w:rFonts w:cs="Times New Roman"/>
          <w:u w:val="single"/>
        </w:rPr>
        <w:t>Tato část je zpracována souhrnně v základním analytickém dokumentu za oblast konkurenceschopnost zemědělství.</w:t>
      </w:r>
    </w:p>
    <w:p w14:paraId="79438394" w14:textId="7DCE23EE" w:rsidR="00A16DDB" w:rsidRPr="00D95127" w:rsidRDefault="00B532B5" w:rsidP="00B532B5">
      <w:pPr>
        <w:spacing w:after="160" w:line="259" w:lineRule="auto"/>
        <w:jc w:val="left"/>
        <w:rPr>
          <w:rFonts w:eastAsia="Times New Roman" w:cs="Times New Roman"/>
          <w:szCs w:val="24"/>
          <w:lang w:val="cs-CZ" w:eastAsia="cs-CZ"/>
        </w:rPr>
      </w:pPr>
      <w:r w:rsidRPr="00D95127">
        <w:rPr>
          <w:rFonts w:cs="Times New Roman"/>
        </w:rPr>
        <w:br w:type="page"/>
      </w:r>
    </w:p>
    <w:p w14:paraId="72C53C71" w14:textId="77777777" w:rsidR="00A16DDB" w:rsidRPr="00D95127" w:rsidRDefault="00A16DDB" w:rsidP="00C644E9">
      <w:pPr>
        <w:pStyle w:val="Nadpis1"/>
      </w:pPr>
      <w:bookmarkStart w:id="23" w:name="_Toc15304028"/>
      <w:bookmarkStart w:id="24" w:name="_Toc23509821"/>
      <w:bookmarkStart w:id="25" w:name="_Toc76137340"/>
      <w:bookmarkStart w:id="26" w:name="_Toc76637539"/>
      <w:bookmarkStart w:id="27" w:name="_Toc80953218"/>
      <w:bookmarkStart w:id="28" w:name="_Toc81739174"/>
      <w:r w:rsidRPr="00D95127">
        <w:lastRenderedPageBreak/>
        <w:t>Co je skutečným problémem, na který má politika reagovat?</w:t>
      </w:r>
      <w:bookmarkEnd w:id="23"/>
      <w:bookmarkEnd w:id="24"/>
      <w:bookmarkEnd w:id="25"/>
      <w:bookmarkEnd w:id="26"/>
      <w:bookmarkEnd w:id="27"/>
      <w:bookmarkEnd w:id="28"/>
    </w:p>
    <w:p w14:paraId="13ACA6F3" w14:textId="7510DF57" w:rsidR="00A16DDB" w:rsidRPr="00D95127" w:rsidRDefault="00A16DDB" w:rsidP="00B532B5">
      <w:pPr>
        <w:pStyle w:val="UZEINormaln"/>
        <w:rPr>
          <w:rFonts w:cs="Times New Roman"/>
        </w:rPr>
      </w:pPr>
      <w:r w:rsidRPr="00D95127">
        <w:rPr>
          <w:rFonts w:cs="Times New Roman"/>
        </w:rPr>
        <w:t>Plochy, produkce a míra soběstačnosti v sektorech ovoce a zeleniny v důsledku transformačních a restrukturalizačních procesů, sílící konkurence na trhu a změn ve spotřebitelském chování dramaticky poklesly, často na úroveň okolo 30–50 % oproti výchozímu období transformace. V případě ovoce tento nejvýznamnější pokles proběhl až po vstupu do EU, zatímco v případě zeleniny ještě před ním. Po roce 2010 ovšem dochází k mírnému oživení a stabilizaci těchto výrazně samozásobitelských sektorů, a to i přesto, že míra soběstačnosti se pohybuje v rozmezí 30-38 % u zeleniny a 40-80 % u ovoce. Také obchodní bilance těchto sektorů, charakterizující pozici českých producentů vůči zahraničí, zůstává výrazně negativní: 13,2 mld. Kč u ovoce a 10,6 mld. Kč u zeleniny (v roce 2020). Konkurenční pozice českých producentů ovoce a zeleniny tak zůstává, i přes značné technologické zlepšení vesměs slabá a vážně ohrožuje plnění strategických vizí z hlediska rozsahu ploch a míry soběstačnosti u těchto odvětvích.</w:t>
      </w:r>
      <w:r w:rsidRPr="00D95127">
        <w:rPr>
          <w:rStyle w:val="Znakapoznpodarou"/>
        </w:rPr>
        <w:footnoteReference w:id="2"/>
      </w:r>
      <w:r w:rsidRPr="00D95127">
        <w:rPr>
          <w:rFonts w:cs="Times New Roman"/>
        </w:rPr>
        <w:t xml:space="preserve"> </w:t>
      </w:r>
    </w:p>
    <w:p w14:paraId="618D8155" w14:textId="77777777" w:rsidR="00A16DDB" w:rsidRPr="00D95127" w:rsidRDefault="00A16DDB" w:rsidP="00B532B5">
      <w:pPr>
        <w:pStyle w:val="UZEINormaln"/>
        <w:rPr>
          <w:rFonts w:cs="Times New Roman"/>
        </w:rPr>
      </w:pPr>
      <w:r w:rsidRPr="00D95127">
        <w:rPr>
          <w:rFonts w:cs="Times New Roman"/>
        </w:rPr>
        <w:t>Hlavní problémy sektoru ovoce a zelenina:</w:t>
      </w:r>
    </w:p>
    <w:p w14:paraId="0CA7778B" w14:textId="77777777" w:rsidR="00A16DDB" w:rsidRPr="00CB0F87" w:rsidRDefault="00A16DDB" w:rsidP="00B532B5">
      <w:pPr>
        <w:pStyle w:val="UZEIOdrky"/>
        <w:rPr>
          <w:rFonts w:cs="Times New Roman"/>
        </w:rPr>
      </w:pPr>
      <w:r w:rsidRPr="00CB0F87">
        <w:rPr>
          <w:rFonts w:cs="Times New Roman"/>
        </w:rPr>
        <w:t>Nedostatečné a nevyhovující vodní hospodářství</w:t>
      </w:r>
    </w:p>
    <w:p w14:paraId="0FA1C4EC" w14:textId="77777777" w:rsidR="00A16DDB" w:rsidRPr="00CB0F87" w:rsidRDefault="00A16DDB" w:rsidP="00B532B5">
      <w:pPr>
        <w:pStyle w:val="UZEIOdrky"/>
        <w:rPr>
          <w:rFonts w:cs="Times New Roman"/>
        </w:rPr>
      </w:pPr>
      <w:r w:rsidRPr="00CB0F87">
        <w:rPr>
          <w:rFonts w:cs="Times New Roman"/>
        </w:rPr>
        <w:t>Nedostatečné a nevyhovující skladové hospodářství</w:t>
      </w:r>
    </w:p>
    <w:p w14:paraId="4C0C58C4" w14:textId="332652C8" w:rsidR="00B532B5" w:rsidRPr="00CB0F87" w:rsidRDefault="00A16DDB" w:rsidP="00B532B5">
      <w:pPr>
        <w:pStyle w:val="UZEIOdrky"/>
        <w:rPr>
          <w:rFonts w:cs="Times New Roman"/>
        </w:rPr>
      </w:pPr>
      <w:r w:rsidRPr="00CB0F87">
        <w:rPr>
          <w:rFonts w:cs="Times New Roman"/>
        </w:rPr>
        <w:t xml:space="preserve">Pokles produkčních ploch a stárnutí ovocných sadů </w:t>
      </w:r>
    </w:p>
    <w:p w14:paraId="475C188A" w14:textId="199EE1AE" w:rsidR="00A16DDB" w:rsidRPr="00D95127" w:rsidRDefault="00B532B5" w:rsidP="00B532B5">
      <w:pPr>
        <w:spacing w:after="160" w:line="259" w:lineRule="auto"/>
        <w:jc w:val="left"/>
        <w:rPr>
          <w:rFonts w:eastAsia="Times New Roman" w:cs="Times New Roman"/>
          <w:color w:val="000000"/>
          <w:szCs w:val="24"/>
          <w:lang w:val="cs-CZ"/>
        </w:rPr>
      </w:pPr>
      <w:r w:rsidRPr="00D95127">
        <w:rPr>
          <w:rFonts w:cs="Times New Roman"/>
        </w:rPr>
        <w:br w:type="page"/>
      </w:r>
    </w:p>
    <w:p w14:paraId="10B6388A" w14:textId="77777777" w:rsidR="00A16DDB" w:rsidRPr="00D95127" w:rsidRDefault="00A16DDB" w:rsidP="00B532B5">
      <w:pPr>
        <w:pStyle w:val="UZEINadpis1st"/>
        <w:rPr>
          <w:rFonts w:cs="Times New Roman"/>
        </w:rPr>
      </w:pPr>
      <w:bookmarkStart w:id="29" w:name="_Toc15304029"/>
      <w:bookmarkStart w:id="30" w:name="_Toc23509822"/>
      <w:bookmarkStart w:id="31" w:name="_Toc76137341"/>
      <w:bookmarkStart w:id="32" w:name="_Toc76637540"/>
      <w:bookmarkStart w:id="33" w:name="_Toc80953219"/>
      <w:bookmarkStart w:id="34" w:name="_Toc81739175"/>
      <w:r w:rsidRPr="00D95127">
        <w:rPr>
          <w:rFonts w:cs="Times New Roman"/>
        </w:rPr>
        <w:lastRenderedPageBreak/>
        <w:t>Jaký je mechanizmus a příčiny tohoto problému?</w:t>
      </w:r>
      <w:bookmarkEnd w:id="29"/>
      <w:bookmarkEnd w:id="30"/>
      <w:bookmarkEnd w:id="31"/>
      <w:bookmarkEnd w:id="32"/>
      <w:bookmarkEnd w:id="33"/>
      <w:bookmarkEnd w:id="34"/>
    </w:p>
    <w:p w14:paraId="39A3B7BC" w14:textId="77777777" w:rsidR="00A16DDB" w:rsidRPr="00D95127" w:rsidRDefault="00A16DDB" w:rsidP="00B532B5">
      <w:pPr>
        <w:pStyle w:val="UZEINormaln"/>
        <w:rPr>
          <w:rFonts w:cs="Times New Roman"/>
        </w:rPr>
      </w:pPr>
      <w:r w:rsidRPr="00D95127">
        <w:rPr>
          <w:rFonts w:cs="Times New Roman"/>
        </w:rPr>
        <w:t>Ačkoli příčiny uvedených problémů jsou u těchto sektorů často diferencované, mezi společné faktory patří zejména:</w:t>
      </w:r>
    </w:p>
    <w:p w14:paraId="58CC8A93" w14:textId="77777777" w:rsidR="00A16DDB" w:rsidRPr="00CB0F87" w:rsidRDefault="00A16DDB" w:rsidP="00B532B5">
      <w:pPr>
        <w:pStyle w:val="UZEIOdrky"/>
        <w:rPr>
          <w:rFonts w:cs="Times New Roman"/>
          <w:b/>
          <w:bCs/>
        </w:rPr>
      </w:pPr>
      <w:r w:rsidRPr="00CB0F87">
        <w:rPr>
          <w:rFonts w:cs="Times New Roman"/>
          <w:b/>
          <w:bCs/>
        </w:rPr>
        <w:t>Větší výskyt nepříznivých meteorologických jevů v ČR ovlivňující výnosový a kvalitativní potenciál.</w:t>
      </w:r>
    </w:p>
    <w:p w14:paraId="39ED1D18" w14:textId="77777777" w:rsidR="00A16DDB" w:rsidRPr="00CB0F87" w:rsidRDefault="00A16DDB" w:rsidP="00B532B5">
      <w:pPr>
        <w:pStyle w:val="UZEIOdrky"/>
        <w:rPr>
          <w:rFonts w:cs="Times New Roman"/>
          <w:b/>
          <w:bCs/>
        </w:rPr>
      </w:pPr>
      <w:r w:rsidRPr="00CB0F87">
        <w:rPr>
          <w:rFonts w:cs="Times New Roman"/>
          <w:b/>
          <w:bCs/>
        </w:rPr>
        <w:t>Vysoká volatilita cen v důsledku vysoké či nízké úrody.</w:t>
      </w:r>
    </w:p>
    <w:p w14:paraId="5881E694" w14:textId="77777777" w:rsidR="00A16DDB" w:rsidRPr="00CB0F87" w:rsidRDefault="00A16DDB" w:rsidP="00B532B5">
      <w:pPr>
        <w:pStyle w:val="UZEIOdrky"/>
        <w:rPr>
          <w:rFonts w:cs="Times New Roman"/>
          <w:b/>
          <w:bCs/>
        </w:rPr>
      </w:pPr>
      <w:r w:rsidRPr="00CB0F87">
        <w:rPr>
          <w:rFonts w:cs="Times New Roman"/>
          <w:b/>
          <w:bCs/>
        </w:rPr>
        <w:t>Změny na trhu výrobních faktorů, především dostupnost a kvalita pracovní síly.</w:t>
      </w:r>
    </w:p>
    <w:p w14:paraId="0A7792D6" w14:textId="77777777" w:rsidR="00A16DDB" w:rsidRPr="00CB0F87" w:rsidRDefault="00A16DDB" w:rsidP="00B532B5">
      <w:pPr>
        <w:pStyle w:val="UZEIOdrky"/>
        <w:rPr>
          <w:rFonts w:cs="Times New Roman"/>
          <w:b/>
          <w:bCs/>
        </w:rPr>
      </w:pPr>
      <w:r w:rsidRPr="00CB0F87">
        <w:rPr>
          <w:rFonts w:cs="Times New Roman"/>
          <w:b/>
          <w:bCs/>
        </w:rPr>
        <w:t>Nízký stupeň technologické obměny výrobních prostředků způsobující vyšší provozní náklady.</w:t>
      </w:r>
    </w:p>
    <w:p w14:paraId="2848D1C4" w14:textId="77777777" w:rsidR="00A16DDB" w:rsidRPr="00CB0F87" w:rsidRDefault="00A16DDB" w:rsidP="00B532B5">
      <w:pPr>
        <w:pStyle w:val="UZEIOdrky"/>
        <w:rPr>
          <w:rFonts w:cs="Times New Roman"/>
          <w:b/>
          <w:bCs/>
        </w:rPr>
      </w:pPr>
      <w:r w:rsidRPr="00CB0F87">
        <w:rPr>
          <w:rFonts w:cs="Times New Roman"/>
          <w:b/>
          <w:bCs/>
        </w:rPr>
        <w:t>Celkově slabá pozice pěstitelů v odbytovém řetězci při současně nedostatečně rozvinutých krátkých dodavatelských řetězcích (KDŘ).</w:t>
      </w:r>
    </w:p>
    <w:p w14:paraId="0CA4249F" w14:textId="77777777" w:rsidR="00A16DDB" w:rsidRPr="00CB0F87" w:rsidRDefault="00A16DDB" w:rsidP="00B532B5">
      <w:pPr>
        <w:pStyle w:val="UZEIOdrky"/>
        <w:rPr>
          <w:rFonts w:cs="Times New Roman"/>
          <w:b/>
          <w:bCs/>
        </w:rPr>
      </w:pPr>
      <w:r w:rsidRPr="00CB0F87">
        <w:rPr>
          <w:rFonts w:cs="Times New Roman"/>
          <w:b/>
          <w:bCs/>
        </w:rPr>
        <w:t>Vyšší transakční náklady na umístění produkce domácí provenience vzhledem k relativně nízkému rozsahu pěstované produkce.</w:t>
      </w:r>
    </w:p>
    <w:p w14:paraId="101DA821" w14:textId="77777777" w:rsidR="00A16DDB" w:rsidRPr="00CB0F87" w:rsidRDefault="00A16DDB" w:rsidP="00B532B5">
      <w:pPr>
        <w:pStyle w:val="UZEIOdrky"/>
        <w:rPr>
          <w:rFonts w:cs="Times New Roman"/>
          <w:b/>
          <w:bCs/>
        </w:rPr>
      </w:pPr>
      <w:r w:rsidRPr="00CB0F87">
        <w:rPr>
          <w:rFonts w:cs="Times New Roman"/>
          <w:b/>
          <w:bCs/>
        </w:rPr>
        <w:t>Nízká flexibilita úřadů v řešení administrativních problémů týkající se produkce ovoce a zeleniny – zahraniční pracovníci, registrace přípravků ochrany.</w:t>
      </w:r>
    </w:p>
    <w:p w14:paraId="73819DF6" w14:textId="7AC8ED25" w:rsidR="00A16DDB" w:rsidRPr="00CB0F87" w:rsidRDefault="00A16DDB" w:rsidP="00B532B5">
      <w:pPr>
        <w:pStyle w:val="UZEIOdrky"/>
        <w:rPr>
          <w:rFonts w:cs="Times New Roman"/>
          <w:b/>
          <w:bCs/>
        </w:rPr>
      </w:pPr>
      <w:r w:rsidRPr="00CB0F87">
        <w:rPr>
          <w:rFonts w:cs="Times New Roman"/>
          <w:b/>
          <w:bCs/>
        </w:rPr>
        <w:t>Nízká inovativnost a produktová diferenciace na trhu.</w:t>
      </w:r>
    </w:p>
    <w:p w14:paraId="4E95CEAB" w14:textId="499A8A79" w:rsidR="00A16DDB" w:rsidRPr="00D95127" w:rsidRDefault="00A16DDB" w:rsidP="00B532B5">
      <w:pPr>
        <w:pStyle w:val="UZEINormaln"/>
        <w:rPr>
          <w:rFonts w:cs="Times New Roman"/>
        </w:rPr>
      </w:pPr>
      <w:r w:rsidRPr="00D95127">
        <w:rPr>
          <w:rFonts w:cs="Times New Roman"/>
        </w:rPr>
        <w:t xml:space="preserve">ČR má velice dobré podmínky pro pěstování ovoce a zeleniny (vynikající půdy, vybudované velkoplošné závlahové soustavy). Pěstitelé mají velice dobré znalosti a dlouholeté zkušenosti s produkcí kvalitních výpěstků. Přesto </w:t>
      </w:r>
      <w:r w:rsidRPr="00D95127">
        <w:rPr>
          <w:rFonts w:cs="Times New Roman"/>
          <w:b/>
        </w:rPr>
        <w:t>kontinentální klima a extrémní výkyvy v počasí v ČR působí především na pěstitele ovoce a zeleniny častějším výskytem jarních mrazů, krupobitím nebo dlouhodobým suchem</w:t>
      </w:r>
      <w:r w:rsidRPr="00D95127">
        <w:rPr>
          <w:rFonts w:cs="Times New Roman"/>
        </w:rPr>
        <w:t>, díky kterému je nedostatek vodních zdrojů v období extrémního sucha. Škody mrazem jsou dvojího druhu. Jednak ze zimního mrazu (prosinec–únor), kdy silný mráz poškodí květní pupeny (stává se u meruněk, třešní příp. i jiných peckovin) a pak i namrzání ve dřevě. Tyto škody nejsou tak časté a zřejmě jich nepřibývá. Častější jsou škody v květu a po odkvětu, tedy poškození u raně kvetoucích druhů od druhé půlky března až do konce května. Problém není ani ve výskytu mrazíků v květnu, ale proto, že stromy kvůli teplým rokům a zimám dříve raší a kvetou než v minulosti. Rovněž také zesílila intenzita pozdních mrazů, zatímco dříve šlo o přízemní mrazíky působící několik hodin před rozedněním skutečně třeba do 1 nebo 2 metrů, nyní jsou častější radiační mrazy, kdy mrznout začíná už navečer a expozice mrazu je i 10 hodin. Zatímco u přízemních, krátkodobých mrazů jde o redukci květů, u dlouhotrvajících mrazů dochází k poškození celé květní násady, jak poupat, tak i rozkvetlých květů, tak i odkvetlých.</w:t>
      </w:r>
    </w:p>
    <w:p w14:paraId="48BF18A0" w14:textId="662095B4" w:rsidR="00EE1453" w:rsidRPr="00D95127" w:rsidRDefault="00EE1453" w:rsidP="00B532B5">
      <w:pPr>
        <w:pStyle w:val="UZEINormaln"/>
        <w:rPr>
          <w:rFonts w:cs="Times New Roman"/>
        </w:rPr>
      </w:pPr>
    </w:p>
    <w:p w14:paraId="0B1C0398" w14:textId="4CC29298" w:rsidR="00EE1453" w:rsidRPr="00D95127" w:rsidRDefault="00EE1453" w:rsidP="00B532B5">
      <w:pPr>
        <w:pStyle w:val="UZEINormaln"/>
        <w:rPr>
          <w:rFonts w:cs="Times New Roman"/>
        </w:rPr>
      </w:pPr>
    </w:p>
    <w:p w14:paraId="5F7EA9C8" w14:textId="19445253" w:rsidR="00EE1453" w:rsidRPr="00D95127" w:rsidRDefault="00EE1453" w:rsidP="00B532B5">
      <w:pPr>
        <w:pStyle w:val="UZEINormaln"/>
        <w:rPr>
          <w:rFonts w:cs="Times New Roman"/>
        </w:rPr>
      </w:pPr>
    </w:p>
    <w:p w14:paraId="6D16E682" w14:textId="2295F773" w:rsidR="00EE1453" w:rsidRPr="00D95127" w:rsidRDefault="00EE1453" w:rsidP="00B532B5">
      <w:pPr>
        <w:pStyle w:val="UZEINormaln"/>
        <w:rPr>
          <w:rFonts w:cs="Times New Roman"/>
        </w:rPr>
      </w:pPr>
    </w:p>
    <w:p w14:paraId="6E42B1BE" w14:textId="0FA9C45B" w:rsidR="00EE1453" w:rsidRPr="00D95127" w:rsidRDefault="00EE1453" w:rsidP="00B532B5">
      <w:pPr>
        <w:pStyle w:val="UZEINormaln"/>
        <w:rPr>
          <w:rFonts w:cs="Times New Roman"/>
        </w:rPr>
      </w:pPr>
    </w:p>
    <w:p w14:paraId="7EDE941F" w14:textId="3BE56AE3" w:rsidR="00EE1453" w:rsidRPr="00D95127" w:rsidRDefault="00EE1453" w:rsidP="00B532B5">
      <w:pPr>
        <w:pStyle w:val="UZEINormaln"/>
        <w:rPr>
          <w:rFonts w:cs="Times New Roman"/>
        </w:rPr>
      </w:pPr>
    </w:p>
    <w:p w14:paraId="6B426998" w14:textId="6DD9D1F8" w:rsidR="00EE1453" w:rsidRPr="00D95127" w:rsidRDefault="00EE1453" w:rsidP="00B532B5">
      <w:pPr>
        <w:pStyle w:val="UZEINormaln"/>
        <w:rPr>
          <w:rFonts w:cs="Times New Roman"/>
        </w:rPr>
      </w:pPr>
    </w:p>
    <w:p w14:paraId="58590AB5" w14:textId="6AFCA615" w:rsidR="00EE1453" w:rsidRPr="00D95127" w:rsidRDefault="00EE1453" w:rsidP="00B532B5">
      <w:pPr>
        <w:pStyle w:val="UZEINormaln"/>
        <w:rPr>
          <w:rFonts w:cs="Times New Roman"/>
        </w:rPr>
      </w:pPr>
    </w:p>
    <w:p w14:paraId="797C55C8" w14:textId="31F3D810" w:rsidR="00EE1453" w:rsidRPr="00D95127" w:rsidRDefault="00EE1453" w:rsidP="00B532B5">
      <w:pPr>
        <w:pStyle w:val="UZEINormaln"/>
        <w:rPr>
          <w:rFonts w:cs="Times New Roman"/>
        </w:rPr>
      </w:pPr>
    </w:p>
    <w:p w14:paraId="72B4A1C5" w14:textId="77777777" w:rsidR="00EE1453" w:rsidRPr="00D95127" w:rsidRDefault="00EE1453" w:rsidP="00B532B5">
      <w:pPr>
        <w:pStyle w:val="UZEINormaln"/>
        <w:rPr>
          <w:rFonts w:cs="Times New Roman"/>
        </w:rPr>
      </w:pPr>
    </w:p>
    <w:p w14:paraId="642649F7" w14:textId="579A5084" w:rsidR="00A16DDB" w:rsidRPr="00D95127" w:rsidRDefault="00A16DDB" w:rsidP="00EE1453">
      <w:pPr>
        <w:pStyle w:val="UZEIGraf"/>
        <w:rPr>
          <w:rFonts w:cs="Times New Roman"/>
        </w:rPr>
      </w:pPr>
      <w:bookmarkStart w:id="35" w:name="_Toc81738777"/>
      <w:r w:rsidRPr="00D95127">
        <w:rPr>
          <w:rFonts w:cs="Times New Roman"/>
        </w:rPr>
        <w:lastRenderedPageBreak/>
        <w:t>Vývoj produkce ovoce v produkčních (intenzivních) ovocných sadech za 30 let v ČR</w:t>
      </w:r>
      <w:bookmarkEnd w:id="35"/>
    </w:p>
    <w:p w14:paraId="2BF06C63" w14:textId="7B128670" w:rsidR="00A16DDB" w:rsidRPr="00D95127" w:rsidRDefault="00EE1453" w:rsidP="00A16DDB">
      <w:pPr>
        <w:ind w:firstLine="708"/>
        <w:rPr>
          <w:rFonts w:cs="Times New Roman"/>
          <w:szCs w:val="24"/>
          <w:lang w:val="cs-CZ"/>
        </w:rPr>
      </w:pPr>
      <w:r w:rsidRPr="00D95127">
        <w:rPr>
          <w:rFonts w:cs="Times New Roman"/>
          <w:noProof/>
          <w:szCs w:val="24"/>
          <w:lang w:val="cs-CZ"/>
        </w:rPr>
        <w:drawing>
          <wp:inline distT="0" distB="0" distL="0" distR="0" wp14:anchorId="3BDC9A43" wp14:editId="10BC6D9A">
            <wp:extent cx="4781550" cy="3009900"/>
            <wp:effectExtent l="0" t="0" r="0" b="0"/>
            <wp:docPr id="126"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781550" cy="3009900"/>
                    </a:xfrm>
                    <a:prstGeom prst="rect">
                      <a:avLst/>
                    </a:prstGeom>
                    <a:noFill/>
                    <a:ln>
                      <a:noFill/>
                    </a:ln>
                  </pic:spPr>
                </pic:pic>
              </a:graphicData>
            </a:graphic>
          </wp:inline>
        </w:drawing>
      </w:r>
      <w:r w:rsidRPr="00D95127">
        <w:rPr>
          <w:rFonts w:cs="Times New Roman"/>
          <w:noProof/>
          <w:szCs w:val="24"/>
          <w:lang w:val="cs-CZ"/>
        </w:rPr>
        <mc:AlternateContent>
          <mc:Choice Requires="wps">
            <w:drawing>
              <wp:anchor distT="0" distB="0" distL="114300" distR="114300" simplePos="0" relativeHeight="251658248" behindDoc="0" locked="0" layoutInCell="1" allowOverlap="1" wp14:anchorId="39556570" wp14:editId="3509472A">
                <wp:simplePos x="0" y="0"/>
                <wp:positionH relativeFrom="column">
                  <wp:posOffset>863222</wp:posOffset>
                </wp:positionH>
                <wp:positionV relativeFrom="paragraph">
                  <wp:posOffset>149806</wp:posOffset>
                </wp:positionV>
                <wp:extent cx="381635" cy="363855"/>
                <wp:effectExtent l="0" t="0" r="0" b="0"/>
                <wp:wrapNone/>
                <wp:docPr id="31" name="TextovéPole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1635" cy="363855"/>
                        </a:xfrm>
                        <a:prstGeom prst="rect">
                          <a:avLst/>
                        </a:prstGeom>
                        <a:noFill/>
                      </wps:spPr>
                      <wps:txbx>
                        <w:txbxContent>
                          <w:p w14:paraId="5BD4AA54" w14:textId="77777777" w:rsidR="00A16DDB" w:rsidRPr="00E57953" w:rsidRDefault="00A16DDB" w:rsidP="00A16DDB">
                            <w:pPr>
                              <w:pStyle w:val="Normlnweb"/>
                              <w:spacing w:before="0" w:beforeAutospacing="0" w:after="0" w:afterAutospacing="0"/>
                              <w:rPr>
                                <w:sz w:val="14"/>
                              </w:rPr>
                            </w:pPr>
                            <w:r w:rsidRPr="00C96015">
                              <w:rPr>
                                <w:rFonts w:ascii="Calibri" w:hAnsi="Calibri"/>
                                <w:color w:val="000000"/>
                                <w:kern w:val="24"/>
                                <w:sz w:val="16"/>
                                <w:szCs w:val="28"/>
                              </w:rPr>
                              <w:t>tis. tun</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39556570" id="_x0000_t202" coordsize="21600,21600" o:spt="202" path="m,l,21600r21600,l21600,xe">
                <v:stroke joinstyle="miter"/>
                <v:path gradientshapeok="t" o:connecttype="rect"/>
              </v:shapetype>
              <v:shape id="TextovéPole 4" o:spid="_x0000_s1026" type="#_x0000_t202" style="position:absolute;left:0;text-align:left;margin-left:67.95pt;margin-top:11.8pt;width:30.05pt;height:28.6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" filled="f" stroked="f">
                <v:textbox>
                  <w:txbxContent>
                    <w:p w14:paraId="5BD4AA54" w14:textId="77777777" w:rsidR="00A16DDB" w:rsidRPr="00E57953" w:rsidRDefault="00A16DDB" w:rsidP="00A16DDB">
                      <w:pPr>
                        <w:pStyle w:val="Normlnweb"/>
                        <w:spacing w:before="0" w:beforeAutospacing="0" w:after="0" w:afterAutospacing="0"/>
                        <w:rPr>
                          <w:sz w:val="14"/>
                        </w:rPr>
                      </w:pPr>
                      <w:r w:rsidRPr="00C96015">
                        <w:rPr>
                          <w:rFonts w:ascii="Calibri" w:hAnsi="Calibri"/>
                          <w:color w:val="000000"/>
                          <w:kern w:val="24"/>
                          <w:sz w:val="16"/>
                          <w:szCs w:val="28"/>
                        </w:rPr>
                        <w:t>tis. tun</w:t>
                      </w:r>
                    </w:p>
                  </w:txbxContent>
                </v:textbox>
              </v:shape>
            </w:pict>
          </mc:Fallback>
        </mc:AlternateContent>
      </w:r>
      <w:r w:rsidR="00A16DDB" w:rsidRPr="00D95127">
        <w:rPr>
          <w:rFonts w:cs="Times New Roman"/>
          <w:noProof/>
          <w:szCs w:val="24"/>
          <w:lang w:val="cs-CZ" w:eastAsia="cs-CZ"/>
        </w:rPr>
        <mc:AlternateContent>
          <mc:Choice Requires="wps">
            <w:drawing>
              <wp:anchor distT="0" distB="0" distL="114300" distR="114300" simplePos="0" relativeHeight="251658247" behindDoc="0" locked="0" layoutInCell="1" allowOverlap="1" wp14:anchorId="78041E0A" wp14:editId="1DEA5D90">
                <wp:simplePos x="0" y="0"/>
                <wp:positionH relativeFrom="column">
                  <wp:posOffset>-2540</wp:posOffset>
                </wp:positionH>
                <wp:positionV relativeFrom="paragraph">
                  <wp:posOffset>91212</wp:posOffset>
                </wp:positionV>
                <wp:extent cx="381739" cy="363985"/>
                <wp:effectExtent l="0" t="0" r="0" b="0"/>
                <wp:wrapNone/>
                <wp:docPr id="253" name="TextovéPole 4"/>
                <wp:cNvGraphicFramePr/>
                <a:graphic xmlns:a="http://schemas.openxmlformats.org/drawingml/2006/main">
                  <a:graphicData uri="http://schemas.microsoft.com/office/word/2010/wordprocessingShape">
                    <wps:wsp>
                      <wps:cNvSpPr txBox="1"/>
                      <wps:spPr>
                        <a:xfrm>
                          <a:off x="0" y="0"/>
                          <a:ext cx="381739" cy="363985"/>
                        </a:xfrm>
                        <a:prstGeom prst="rect">
                          <a:avLst/>
                        </a:prstGeom>
                        <a:noFill/>
                      </wps:spPr>
                      <wps:txbx>
                        <w:txbxContent>
                          <w:p w14:paraId="7ECE46D8" w14:textId="77777777" w:rsidR="00A16DDB" w:rsidRPr="00E57953" w:rsidRDefault="00A16DDB" w:rsidP="00A16DDB">
                            <w:pPr>
                              <w:pStyle w:val="Normlnweb"/>
                              <w:spacing w:before="0" w:beforeAutospacing="0" w:after="0" w:afterAutospacing="0"/>
                              <w:rPr>
                                <w:sz w:val="14"/>
                              </w:rPr>
                            </w:pPr>
                            <w:r w:rsidRPr="00E57953">
                              <w:rPr>
                                <w:rFonts w:asciiTheme="minorHAnsi" w:hAnsi="Calibri" w:cstheme="minorBidi"/>
                                <w:color w:val="000000" w:themeColor="text1"/>
                                <w:kern w:val="24"/>
                                <w:sz w:val="16"/>
                                <w:szCs w:val="28"/>
                              </w:rPr>
                              <w:t>tis. tun</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8041E0A" id="_x0000_s1027" type="#_x0000_t202" style="position:absolute;left:0;text-align:left;margin-left:-.2pt;margin-top:7.2pt;width:30.05pt;height:28.6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" filled="f" stroked="f">
                <v:textbox>
                  <w:txbxContent>
                    <w:p w14:paraId="7ECE46D8" w14:textId="77777777" w:rsidR="00A16DDB" w:rsidRPr="00E57953" w:rsidRDefault="00A16DDB" w:rsidP="00A16DDB">
                      <w:pPr>
                        <w:pStyle w:val="Normlnweb"/>
                        <w:spacing w:before="0" w:beforeAutospacing="0" w:after="0" w:afterAutospacing="0"/>
                        <w:rPr>
                          <w:sz w:val="14"/>
                        </w:rPr>
                      </w:pPr>
                      <w:r w:rsidRPr="00E57953">
                        <w:rPr>
                          <w:rFonts w:asciiTheme="minorHAnsi" w:hAnsi="Calibri" w:cstheme="minorBidi"/>
                          <w:color w:val="000000" w:themeColor="text1"/>
                          <w:kern w:val="24"/>
                          <w:sz w:val="16"/>
                          <w:szCs w:val="28"/>
                        </w:rPr>
                        <w:t>tis. tun</w:t>
                      </w:r>
                    </w:p>
                  </w:txbxContent>
                </v:textbox>
              </v:shape>
            </w:pict>
          </mc:Fallback>
        </mc:AlternateContent>
      </w:r>
      <w:r w:rsidR="00A16DDB" w:rsidRPr="00D95127">
        <w:rPr>
          <w:rFonts w:cs="Times New Roman"/>
          <w:noProof/>
          <w:szCs w:val="24"/>
          <w:lang w:val="cs-CZ" w:eastAsia="cs-CZ"/>
        </w:rPr>
        <mc:AlternateContent>
          <mc:Choice Requires="wps">
            <w:drawing>
              <wp:anchor distT="0" distB="0" distL="114300" distR="114300" simplePos="0" relativeHeight="251658246" behindDoc="0" locked="0" layoutInCell="1" allowOverlap="1" wp14:anchorId="1166D2DE" wp14:editId="30B43A68">
                <wp:simplePos x="0" y="0"/>
                <wp:positionH relativeFrom="column">
                  <wp:posOffset>-2540</wp:posOffset>
                </wp:positionH>
                <wp:positionV relativeFrom="paragraph">
                  <wp:posOffset>91212</wp:posOffset>
                </wp:positionV>
                <wp:extent cx="381739" cy="363985"/>
                <wp:effectExtent l="0" t="0" r="0" b="0"/>
                <wp:wrapNone/>
                <wp:docPr id="227" name="TextovéPole 4"/>
                <wp:cNvGraphicFramePr/>
                <a:graphic xmlns:a="http://schemas.openxmlformats.org/drawingml/2006/main">
                  <a:graphicData uri="http://schemas.microsoft.com/office/word/2010/wordprocessingShape">
                    <wps:wsp>
                      <wps:cNvSpPr txBox="1"/>
                      <wps:spPr>
                        <a:xfrm>
                          <a:off x="0" y="0"/>
                          <a:ext cx="381739" cy="363985"/>
                        </a:xfrm>
                        <a:prstGeom prst="rect">
                          <a:avLst/>
                        </a:prstGeom>
                        <a:noFill/>
                      </wps:spPr>
                      <wps:txbx>
                        <w:txbxContent>
                          <w:p w14:paraId="37D76CB6" w14:textId="77777777" w:rsidR="00A16DDB" w:rsidRPr="00E57953" w:rsidRDefault="00A16DDB" w:rsidP="00A16DDB">
                            <w:pPr>
                              <w:pStyle w:val="Normlnweb"/>
                              <w:spacing w:before="0" w:beforeAutospacing="0" w:after="0" w:afterAutospacing="0"/>
                              <w:rPr>
                                <w:sz w:val="14"/>
                              </w:rPr>
                            </w:pPr>
                            <w:r w:rsidRPr="00E57953">
                              <w:rPr>
                                <w:rFonts w:asciiTheme="minorHAnsi" w:hAnsi="Calibri" w:cstheme="minorBidi"/>
                                <w:color w:val="000000" w:themeColor="text1"/>
                                <w:kern w:val="24"/>
                                <w:sz w:val="16"/>
                                <w:szCs w:val="28"/>
                              </w:rPr>
                              <w:t>tis. tun</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1166D2DE" id="_x0000_s1028" type="#_x0000_t202" style="position:absolute;left:0;text-align:left;margin-left:-.2pt;margin-top:7.2pt;width:30.05pt;height:28.6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" filled="f" stroked="f">
                <v:textbox>
                  <w:txbxContent>
                    <w:p w14:paraId="37D76CB6" w14:textId="77777777" w:rsidR="00A16DDB" w:rsidRPr="00E57953" w:rsidRDefault="00A16DDB" w:rsidP="00A16DDB">
                      <w:pPr>
                        <w:pStyle w:val="Normlnweb"/>
                        <w:spacing w:before="0" w:beforeAutospacing="0" w:after="0" w:afterAutospacing="0"/>
                        <w:rPr>
                          <w:sz w:val="14"/>
                        </w:rPr>
                      </w:pPr>
                      <w:r w:rsidRPr="00E57953">
                        <w:rPr>
                          <w:rFonts w:asciiTheme="minorHAnsi" w:hAnsi="Calibri" w:cstheme="minorBidi"/>
                          <w:color w:val="000000" w:themeColor="text1"/>
                          <w:kern w:val="24"/>
                          <w:sz w:val="16"/>
                          <w:szCs w:val="28"/>
                        </w:rPr>
                        <w:t>tis. tun</w:t>
                      </w:r>
                    </w:p>
                  </w:txbxContent>
                </v:textbox>
              </v:shape>
            </w:pict>
          </mc:Fallback>
        </mc:AlternateContent>
      </w:r>
      <w:r w:rsidR="00A16DDB" w:rsidRPr="00D95127">
        <w:rPr>
          <w:rFonts w:cs="Times New Roman"/>
          <w:noProof/>
          <w:szCs w:val="24"/>
          <w:lang w:val="cs-CZ" w:eastAsia="cs-CZ"/>
        </w:rPr>
        <mc:AlternateContent>
          <mc:Choice Requires="wps">
            <w:drawing>
              <wp:anchor distT="0" distB="0" distL="114300" distR="114300" simplePos="0" relativeHeight="251658245" behindDoc="0" locked="0" layoutInCell="1" allowOverlap="1" wp14:anchorId="4A074157" wp14:editId="136283D2">
                <wp:simplePos x="0" y="0"/>
                <wp:positionH relativeFrom="column">
                  <wp:posOffset>-2540</wp:posOffset>
                </wp:positionH>
                <wp:positionV relativeFrom="paragraph">
                  <wp:posOffset>91212</wp:posOffset>
                </wp:positionV>
                <wp:extent cx="381739" cy="363985"/>
                <wp:effectExtent l="0" t="0" r="0" b="0"/>
                <wp:wrapNone/>
                <wp:docPr id="229" name="TextovéPole 4"/>
                <wp:cNvGraphicFramePr/>
                <a:graphic xmlns:a="http://schemas.openxmlformats.org/drawingml/2006/main">
                  <a:graphicData uri="http://schemas.microsoft.com/office/word/2010/wordprocessingShape">
                    <wps:wsp>
                      <wps:cNvSpPr txBox="1"/>
                      <wps:spPr>
                        <a:xfrm>
                          <a:off x="0" y="0"/>
                          <a:ext cx="381739" cy="363985"/>
                        </a:xfrm>
                        <a:prstGeom prst="rect">
                          <a:avLst/>
                        </a:prstGeom>
                        <a:noFill/>
                      </wps:spPr>
                      <wps:txbx>
                        <w:txbxContent>
                          <w:p w14:paraId="13DDAC20" w14:textId="77777777" w:rsidR="00A16DDB" w:rsidRPr="00E57953" w:rsidRDefault="00A16DDB" w:rsidP="00A16DDB">
                            <w:pPr>
                              <w:pStyle w:val="Normlnweb"/>
                              <w:spacing w:before="0" w:beforeAutospacing="0" w:after="0" w:afterAutospacing="0"/>
                              <w:rPr>
                                <w:sz w:val="14"/>
                              </w:rPr>
                            </w:pPr>
                            <w:r w:rsidRPr="00E57953">
                              <w:rPr>
                                <w:rFonts w:asciiTheme="minorHAnsi" w:hAnsi="Calibri" w:cstheme="minorBidi"/>
                                <w:color w:val="000000" w:themeColor="text1"/>
                                <w:kern w:val="24"/>
                                <w:sz w:val="16"/>
                                <w:szCs w:val="28"/>
                              </w:rPr>
                              <w:t>tis. tun</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A074157" id="_x0000_s1029" type="#_x0000_t202" style="position:absolute;left:0;text-align:left;margin-left:-.2pt;margin-top:7.2pt;width:30.05pt;height:28.6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" filled="f" stroked="f">
                <v:textbox>
                  <w:txbxContent>
                    <w:p w14:paraId="13DDAC20" w14:textId="77777777" w:rsidR="00A16DDB" w:rsidRPr="00E57953" w:rsidRDefault="00A16DDB" w:rsidP="00A16DDB">
                      <w:pPr>
                        <w:pStyle w:val="Normlnweb"/>
                        <w:spacing w:before="0" w:beforeAutospacing="0" w:after="0" w:afterAutospacing="0"/>
                        <w:rPr>
                          <w:sz w:val="14"/>
                        </w:rPr>
                      </w:pPr>
                      <w:r w:rsidRPr="00E57953">
                        <w:rPr>
                          <w:rFonts w:asciiTheme="minorHAnsi" w:hAnsi="Calibri" w:cstheme="minorBidi"/>
                          <w:color w:val="000000" w:themeColor="text1"/>
                          <w:kern w:val="24"/>
                          <w:sz w:val="16"/>
                          <w:szCs w:val="28"/>
                        </w:rPr>
                        <w:t>tis. tun</w:t>
                      </w:r>
                    </w:p>
                  </w:txbxContent>
                </v:textbox>
              </v:shape>
            </w:pict>
          </mc:Fallback>
        </mc:AlternateContent>
      </w:r>
      <w:r w:rsidR="00A16DDB" w:rsidRPr="00D95127">
        <w:rPr>
          <w:rFonts w:cs="Times New Roman"/>
          <w:noProof/>
          <w:szCs w:val="24"/>
          <w:lang w:val="cs-CZ"/>
        </w:rPr>
        <mc:AlternateContent>
          <mc:Choice Requires="wps">
            <w:drawing>
              <wp:anchor distT="0" distB="0" distL="114300" distR="114300" simplePos="0" relativeHeight="251658244" behindDoc="0" locked="0" layoutInCell="1" allowOverlap="1" wp14:anchorId="75D2E6F3" wp14:editId="36F2E560">
                <wp:simplePos x="0" y="0"/>
                <wp:positionH relativeFrom="column">
                  <wp:posOffset>-2540</wp:posOffset>
                </wp:positionH>
                <wp:positionV relativeFrom="paragraph">
                  <wp:posOffset>91212</wp:posOffset>
                </wp:positionV>
                <wp:extent cx="381739" cy="363985"/>
                <wp:effectExtent l="0" t="0" r="0" b="0"/>
                <wp:wrapNone/>
                <wp:docPr id="43" name="TextovéPole 4"/>
                <wp:cNvGraphicFramePr/>
                <a:graphic xmlns:a="http://schemas.openxmlformats.org/drawingml/2006/main">
                  <a:graphicData uri="http://schemas.microsoft.com/office/word/2010/wordprocessingShape">
                    <wps:wsp>
                      <wps:cNvSpPr txBox="1"/>
                      <wps:spPr>
                        <a:xfrm>
                          <a:off x="0" y="0"/>
                          <a:ext cx="381739" cy="363985"/>
                        </a:xfrm>
                        <a:prstGeom prst="rect">
                          <a:avLst/>
                        </a:prstGeom>
                        <a:noFill/>
                      </wps:spPr>
                      <wps:txbx>
                        <w:txbxContent>
                          <w:p w14:paraId="406127CF" w14:textId="77777777" w:rsidR="00A16DDB" w:rsidRPr="00E57953" w:rsidRDefault="00A16DDB" w:rsidP="00A16DDB">
                            <w:pPr>
                              <w:pStyle w:val="Normlnweb"/>
                              <w:spacing w:before="0" w:beforeAutospacing="0" w:after="0" w:afterAutospacing="0"/>
                              <w:rPr>
                                <w:sz w:val="14"/>
                              </w:rPr>
                            </w:pPr>
                            <w:r w:rsidRPr="00E57953">
                              <w:rPr>
                                <w:rFonts w:asciiTheme="minorHAnsi" w:hAnsi="Calibri" w:cstheme="minorBidi"/>
                                <w:color w:val="000000" w:themeColor="text1"/>
                                <w:kern w:val="24"/>
                                <w:sz w:val="16"/>
                                <w:szCs w:val="28"/>
                              </w:rPr>
                              <w:t>tis. tun</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5D2E6F3" id="_x0000_s1030" type="#_x0000_t202" style="position:absolute;left:0;text-align:left;margin-left:-.2pt;margin-top:7.2pt;width:30.05pt;height:28.6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" filled="f" stroked="f">
                <v:textbox>
                  <w:txbxContent>
                    <w:p w14:paraId="406127CF" w14:textId="77777777" w:rsidR="00A16DDB" w:rsidRPr="00E57953" w:rsidRDefault="00A16DDB" w:rsidP="00A16DDB">
                      <w:pPr>
                        <w:pStyle w:val="Normlnweb"/>
                        <w:spacing w:before="0" w:beforeAutospacing="0" w:after="0" w:afterAutospacing="0"/>
                        <w:rPr>
                          <w:sz w:val="14"/>
                        </w:rPr>
                      </w:pPr>
                      <w:r w:rsidRPr="00E57953">
                        <w:rPr>
                          <w:rFonts w:asciiTheme="minorHAnsi" w:hAnsi="Calibri" w:cstheme="minorBidi"/>
                          <w:color w:val="000000" w:themeColor="text1"/>
                          <w:kern w:val="24"/>
                          <w:sz w:val="16"/>
                          <w:szCs w:val="28"/>
                        </w:rPr>
                        <w:t>tis. tun</w:t>
                      </w:r>
                    </w:p>
                  </w:txbxContent>
                </v:textbox>
              </v:shape>
            </w:pict>
          </mc:Fallback>
        </mc:AlternateContent>
      </w:r>
      <w:r w:rsidR="00A16DDB" w:rsidRPr="00D95127">
        <w:rPr>
          <w:rFonts w:cs="Times New Roman"/>
          <w:noProof/>
          <w:szCs w:val="24"/>
          <w:lang w:val="cs-CZ"/>
        </w:rPr>
        <mc:AlternateContent>
          <mc:Choice Requires="wps">
            <w:drawing>
              <wp:anchor distT="0" distB="0" distL="114300" distR="114300" simplePos="0" relativeHeight="251658242" behindDoc="0" locked="0" layoutInCell="1" allowOverlap="1" wp14:anchorId="1F565956" wp14:editId="4EADFA54">
                <wp:simplePos x="0" y="0"/>
                <wp:positionH relativeFrom="column">
                  <wp:posOffset>-2540</wp:posOffset>
                </wp:positionH>
                <wp:positionV relativeFrom="paragraph">
                  <wp:posOffset>91212</wp:posOffset>
                </wp:positionV>
                <wp:extent cx="381739" cy="363985"/>
                <wp:effectExtent l="0" t="0" r="0" b="0"/>
                <wp:wrapNone/>
                <wp:docPr id="44" name="TextovéPole 4"/>
                <wp:cNvGraphicFramePr/>
                <a:graphic xmlns:a="http://schemas.openxmlformats.org/drawingml/2006/main">
                  <a:graphicData uri="http://schemas.microsoft.com/office/word/2010/wordprocessingShape">
                    <wps:wsp>
                      <wps:cNvSpPr txBox="1"/>
                      <wps:spPr>
                        <a:xfrm>
                          <a:off x="0" y="0"/>
                          <a:ext cx="381739" cy="363985"/>
                        </a:xfrm>
                        <a:prstGeom prst="rect">
                          <a:avLst/>
                        </a:prstGeom>
                        <a:noFill/>
                      </wps:spPr>
                      <wps:txbx>
                        <w:txbxContent>
                          <w:p w14:paraId="5C44D224" w14:textId="77777777" w:rsidR="00A16DDB" w:rsidRPr="00E57953" w:rsidRDefault="00A16DDB" w:rsidP="00A16DDB">
                            <w:pPr>
                              <w:pStyle w:val="Normlnweb"/>
                              <w:spacing w:before="0" w:beforeAutospacing="0" w:after="0" w:afterAutospacing="0"/>
                              <w:rPr>
                                <w:sz w:val="14"/>
                              </w:rPr>
                            </w:pPr>
                            <w:r w:rsidRPr="00E57953">
                              <w:rPr>
                                <w:rFonts w:asciiTheme="minorHAnsi" w:hAnsi="Calibri" w:cstheme="minorBidi"/>
                                <w:color w:val="000000" w:themeColor="text1"/>
                                <w:kern w:val="24"/>
                                <w:sz w:val="16"/>
                                <w:szCs w:val="28"/>
                              </w:rPr>
                              <w:t>tis. tun</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1F565956" id="_x0000_s1031" type="#_x0000_t202" style="position:absolute;left:0;text-align:left;margin-left:-.2pt;margin-top:7.2pt;width:30.05pt;height:28.6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" filled="f" stroked="f">
                <v:textbox>
                  <w:txbxContent>
                    <w:p w14:paraId="5C44D224" w14:textId="77777777" w:rsidR="00A16DDB" w:rsidRPr="00E57953" w:rsidRDefault="00A16DDB" w:rsidP="00A16DDB">
                      <w:pPr>
                        <w:pStyle w:val="Normlnweb"/>
                        <w:spacing w:before="0" w:beforeAutospacing="0" w:after="0" w:afterAutospacing="0"/>
                        <w:rPr>
                          <w:sz w:val="14"/>
                        </w:rPr>
                      </w:pPr>
                      <w:r w:rsidRPr="00E57953">
                        <w:rPr>
                          <w:rFonts w:asciiTheme="minorHAnsi" w:hAnsi="Calibri" w:cstheme="minorBidi"/>
                          <w:color w:val="000000" w:themeColor="text1"/>
                          <w:kern w:val="24"/>
                          <w:sz w:val="16"/>
                          <w:szCs w:val="28"/>
                        </w:rPr>
                        <w:t>tis. tun</w:t>
                      </w:r>
                    </w:p>
                  </w:txbxContent>
                </v:textbox>
              </v:shape>
            </w:pict>
          </mc:Fallback>
        </mc:AlternateContent>
      </w:r>
      <w:r w:rsidR="00A16DDB" w:rsidRPr="00D95127">
        <w:rPr>
          <w:rFonts w:cs="Times New Roman"/>
          <w:noProof/>
          <w:szCs w:val="24"/>
          <w:lang w:val="cs-CZ"/>
        </w:rPr>
        <mc:AlternateContent>
          <mc:Choice Requires="wps">
            <w:drawing>
              <wp:anchor distT="0" distB="0" distL="114300" distR="114300" simplePos="0" relativeHeight="251658243" behindDoc="0" locked="0" layoutInCell="1" allowOverlap="1" wp14:anchorId="03694A4D" wp14:editId="79542105">
                <wp:simplePos x="0" y="0"/>
                <wp:positionH relativeFrom="column">
                  <wp:posOffset>-2540</wp:posOffset>
                </wp:positionH>
                <wp:positionV relativeFrom="paragraph">
                  <wp:posOffset>91440</wp:posOffset>
                </wp:positionV>
                <wp:extent cx="381635" cy="363855"/>
                <wp:effectExtent l="0" t="0" r="0" b="0"/>
                <wp:wrapNone/>
                <wp:docPr id="45" name="TextovéPole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1635" cy="363855"/>
                        </a:xfrm>
                        <a:prstGeom prst="rect">
                          <a:avLst/>
                        </a:prstGeom>
                        <a:noFill/>
                      </wps:spPr>
                      <wps:txbx>
                        <w:txbxContent>
                          <w:p w14:paraId="15370FA0" w14:textId="77777777" w:rsidR="00A16DDB" w:rsidRPr="00E57953" w:rsidRDefault="00A16DDB" w:rsidP="00A16DDB">
                            <w:pPr>
                              <w:pStyle w:val="Normlnweb"/>
                              <w:spacing w:before="0" w:beforeAutospacing="0" w:after="0" w:afterAutospacing="0"/>
                              <w:rPr>
                                <w:sz w:val="14"/>
                              </w:rPr>
                            </w:pPr>
                            <w:r w:rsidRPr="00C96015">
                              <w:rPr>
                                <w:rFonts w:ascii="Calibri" w:hAnsi="Calibri"/>
                                <w:color w:val="000000"/>
                                <w:kern w:val="24"/>
                                <w:sz w:val="16"/>
                                <w:szCs w:val="28"/>
                              </w:rPr>
                              <w:t>tis. tun</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3694A4D" id="_x0000_s1032" type="#_x0000_t202" style="position:absolute;left:0;text-align:left;margin-left:-.2pt;margin-top:7.2pt;width:30.05pt;height:28.6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" filled="f" stroked="f">
                <v:textbox>
                  <w:txbxContent>
                    <w:p w14:paraId="15370FA0" w14:textId="77777777" w:rsidR="00A16DDB" w:rsidRPr="00E57953" w:rsidRDefault="00A16DDB" w:rsidP="00A16DDB">
                      <w:pPr>
                        <w:pStyle w:val="Normlnweb"/>
                        <w:spacing w:before="0" w:beforeAutospacing="0" w:after="0" w:afterAutospacing="0"/>
                        <w:rPr>
                          <w:sz w:val="14"/>
                        </w:rPr>
                      </w:pPr>
                      <w:r w:rsidRPr="00C96015">
                        <w:rPr>
                          <w:rFonts w:ascii="Calibri" w:hAnsi="Calibri"/>
                          <w:color w:val="000000"/>
                          <w:kern w:val="24"/>
                          <w:sz w:val="16"/>
                          <w:szCs w:val="28"/>
                        </w:rPr>
                        <w:t>tis. tun</w:t>
                      </w:r>
                    </w:p>
                  </w:txbxContent>
                </v:textbox>
              </v:shape>
            </w:pict>
          </mc:Fallback>
        </mc:AlternateContent>
      </w:r>
      <w:r w:rsidR="00A16DDB" w:rsidRPr="00D95127">
        <w:rPr>
          <w:rFonts w:cs="Times New Roman"/>
          <w:noProof/>
          <w:szCs w:val="24"/>
          <w:lang w:val="cs-CZ"/>
        </w:rPr>
        <mc:AlternateContent>
          <mc:Choice Requires="wps">
            <w:drawing>
              <wp:anchor distT="0" distB="0" distL="114300" distR="114300" simplePos="0" relativeHeight="251658241" behindDoc="0" locked="0" layoutInCell="1" allowOverlap="1" wp14:anchorId="2B83ADBC" wp14:editId="75ACD4F1">
                <wp:simplePos x="0" y="0"/>
                <wp:positionH relativeFrom="column">
                  <wp:posOffset>-2540</wp:posOffset>
                </wp:positionH>
                <wp:positionV relativeFrom="paragraph">
                  <wp:posOffset>91212</wp:posOffset>
                </wp:positionV>
                <wp:extent cx="381739" cy="363985"/>
                <wp:effectExtent l="0" t="0" r="0" b="0"/>
                <wp:wrapNone/>
                <wp:docPr id="21" name="TextovéPole 4">
                  <a:extLst xmlns:a="http://schemas.openxmlformats.org/drawingml/2006/main">
                    <a:ext uri="{FF2B5EF4-FFF2-40B4-BE49-F238E27FC236}">
                      <a16:creationId xmlns:a16="http://schemas.microsoft.com/office/drawing/2014/main" id="{8DBE8D27-D64D-42C6-9DBC-BB02F4E7F5E5}"/>
                    </a:ext>
                  </a:extLst>
                </wp:docPr>
                <wp:cNvGraphicFramePr/>
                <a:graphic xmlns:a="http://schemas.openxmlformats.org/drawingml/2006/main">
                  <a:graphicData uri="http://schemas.microsoft.com/office/word/2010/wordprocessingShape">
                    <wps:wsp>
                      <wps:cNvSpPr txBox="1"/>
                      <wps:spPr>
                        <a:xfrm>
                          <a:off x="0" y="0"/>
                          <a:ext cx="381739" cy="363985"/>
                        </a:xfrm>
                        <a:prstGeom prst="rect">
                          <a:avLst/>
                        </a:prstGeom>
                        <a:noFill/>
                      </wps:spPr>
                      <wps:txbx>
                        <w:txbxContent>
                          <w:p w14:paraId="6755F26B" w14:textId="77777777" w:rsidR="00A16DDB" w:rsidRPr="00E57953" w:rsidRDefault="00A16DDB" w:rsidP="00A16DDB">
                            <w:pPr>
                              <w:pStyle w:val="Normlnweb"/>
                              <w:spacing w:before="0" w:beforeAutospacing="0" w:after="0" w:afterAutospacing="0"/>
                              <w:rPr>
                                <w:sz w:val="14"/>
                              </w:rPr>
                            </w:pPr>
                            <w:r w:rsidRPr="00E57953">
                              <w:rPr>
                                <w:rFonts w:asciiTheme="minorHAnsi" w:hAnsi="Calibri" w:cstheme="minorBidi"/>
                                <w:color w:val="000000" w:themeColor="text1"/>
                                <w:kern w:val="24"/>
                                <w:sz w:val="16"/>
                                <w:szCs w:val="28"/>
                              </w:rPr>
                              <w:t>tis. tun</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2B83ADBC" id="_x0000_s1033" type="#_x0000_t202" style="position:absolute;left:0;text-align:left;margin-left:-.2pt;margin-top:7.2pt;width:30.05pt;height:28.6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" filled="f" stroked="f">
                <v:textbox>
                  <w:txbxContent>
                    <w:p w14:paraId="6755F26B" w14:textId="77777777" w:rsidR="00A16DDB" w:rsidRPr="00E57953" w:rsidRDefault="00A16DDB" w:rsidP="00A16DDB">
                      <w:pPr>
                        <w:pStyle w:val="Normlnweb"/>
                        <w:spacing w:before="0" w:beforeAutospacing="0" w:after="0" w:afterAutospacing="0"/>
                        <w:rPr>
                          <w:sz w:val="14"/>
                        </w:rPr>
                      </w:pPr>
                      <w:r w:rsidRPr="00E57953">
                        <w:rPr>
                          <w:rFonts w:asciiTheme="minorHAnsi" w:hAnsi="Calibri" w:cstheme="minorBidi"/>
                          <w:color w:val="000000" w:themeColor="text1"/>
                          <w:kern w:val="24"/>
                          <w:sz w:val="16"/>
                          <w:szCs w:val="28"/>
                        </w:rPr>
                        <w:t>tis. tun</w:t>
                      </w:r>
                    </w:p>
                  </w:txbxContent>
                </v:textbox>
              </v:shape>
            </w:pict>
          </mc:Fallback>
        </mc:AlternateContent>
      </w:r>
      <w:r w:rsidR="00A16DDB" w:rsidRPr="00D95127">
        <w:rPr>
          <w:rFonts w:cs="Times New Roman"/>
          <w:noProof/>
          <w:szCs w:val="24"/>
          <w:lang w:val="cs-CZ"/>
        </w:rPr>
        <mc:AlternateContent>
          <mc:Choice Requires="wps">
            <w:drawing>
              <wp:anchor distT="0" distB="0" distL="114300" distR="114300" simplePos="0" relativeHeight="251658240" behindDoc="0" locked="0" layoutInCell="1" allowOverlap="1" wp14:anchorId="7E351373" wp14:editId="55380FF2">
                <wp:simplePos x="0" y="0"/>
                <wp:positionH relativeFrom="column">
                  <wp:posOffset>-2540</wp:posOffset>
                </wp:positionH>
                <wp:positionV relativeFrom="paragraph">
                  <wp:posOffset>91212</wp:posOffset>
                </wp:positionV>
                <wp:extent cx="381739" cy="363985"/>
                <wp:effectExtent l="0" t="0" r="0" b="0"/>
                <wp:wrapNone/>
                <wp:docPr id="5" name="TextovéPole 4">
                  <a:extLst xmlns:a="http://schemas.openxmlformats.org/drawingml/2006/main">
                    <a:ext uri="{FF2B5EF4-FFF2-40B4-BE49-F238E27FC236}">
                      <a16:creationId xmlns:a16="http://schemas.microsoft.com/office/drawing/2014/main" id="{8DBE8D27-D64D-42C6-9DBC-BB02F4E7F5E5}"/>
                    </a:ext>
                  </a:extLst>
                </wp:docPr>
                <wp:cNvGraphicFramePr/>
                <a:graphic xmlns:a="http://schemas.openxmlformats.org/drawingml/2006/main">
                  <a:graphicData uri="http://schemas.microsoft.com/office/word/2010/wordprocessingShape">
                    <wps:wsp>
                      <wps:cNvSpPr txBox="1"/>
                      <wps:spPr>
                        <a:xfrm>
                          <a:off x="0" y="0"/>
                          <a:ext cx="381739" cy="363985"/>
                        </a:xfrm>
                        <a:prstGeom prst="rect">
                          <a:avLst/>
                        </a:prstGeom>
                        <a:noFill/>
                      </wps:spPr>
                      <wps:txbx>
                        <w:txbxContent>
                          <w:p w14:paraId="23CAAC0B" w14:textId="77777777" w:rsidR="00A16DDB" w:rsidRPr="00E57953" w:rsidRDefault="00A16DDB" w:rsidP="00A16DDB">
                            <w:pPr>
                              <w:pStyle w:val="Normlnweb"/>
                              <w:spacing w:before="0" w:beforeAutospacing="0" w:after="0" w:afterAutospacing="0"/>
                              <w:rPr>
                                <w:sz w:val="14"/>
                              </w:rPr>
                            </w:pPr>
                            <w:r w:rsidRPr="00E57953">
                              <w:rPr>
                                <w:rFonts w:asciiTheme="minorHAnsi" w:hAnsi="Calibri" w:cstheme="minorBidi"/>
                                <w:color w:val="000000" w:themeColor="text1"/>
                                <w:kern w:val="24"/>
                                <w:sz w:val="16"/>
                                <w:szCs w:val="28"/>
                              </w:rPr>
                              <w:t>tis. tun</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E351373" id="_x0000_s1034" type="#_x0000_t202" style="position:absolute;left:0;text-align:left;margin-left:-.2pt;margin-top:7.2pt;width:30.05pt;height:28.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" filled="f" stroked="f">
                <v:textbox>
                  <w:txbxContent>
                    <w:p w14:paraId="23CAAC0B" w14:textId="77777777" w:rsidR="00A16DDB" w:rsidRPr="00E57953" w:rsidRDefault="00A16DDB" w:rsidP="00A16DDB">
                      <w:pPr>
                        <w:pStyle w:val="Normlnweb"/>
                        <w:spacing w:before="0" w:beforeAutospacing="0" w:after="0" w:afterAutospacing="0"/>
                        <w:rPr>
                          <w:sz w:val="14"/>
                        </w:rPr>
                      </w:pPr>
                      <w:r w:rsidRPr="00E57953">
                        <w:rPr>
                          <w:rFonts w:asciiTheme="minorHAnsi" w:hAnsi="Calibri" w:cstheme="minorBidi"/>
                          <w:color w:val="000000" w:themeColor="text1"/>
                          <w:kern w:val="24"/>
                          <w:sz w:val="16"/>
                          <w:szCs w:val="28"/>
                        </w:rPr>
                        <w:t>tis. tun</w:t>
                      </w:r>
                    </w:p>
                  </w:txbxContent>
                </v:textbox>
              </v:shape>
            </w:pict>
          </mc:Fallback>
        </mc:AlternateContent>
      </w:r>
    </w:p>
    <w:p w14:paraId="417ADBC5" w14:textId="77777777" w:rsidR="00A16DDB" w:rsidRPr="00D95127" w:rsidRDefault="00A16DDB" w:rsidP="000D447D">
      <w:pPr>
        <w:pStyle w:val="UZEIZdroj"/>
      </w:pPr>
      <w:r w:rsidRPr="00D95127">
        <w:t>Pramen: SVZ – Ovoce 2017, MZe, ÚKZÚZ</w:t>
      </w:r>
    </w:p>
    <w:p w14:paraId="214DEB30" w14:textId="77777777" w:rsidR="00A16DDB" w:rsidRPr="00D95127" w:rsidRDefault="00A16DDB" w:rsidP="000D447D">
      <w:pPr>
        <w:pStyle w:val="UZEINormaln"/>
        <w:rPr>
          <w:rFonts w:cs="Times New Roman"/>
        </w:rPr>
      </w:pPr>
      <w:bookmarkStart w:id="36" w:name="_Hlk530948182"/>
      <w:r w:rsidRPr="00D95127">
        <w:rPr>
          <w:rFonts w:cs="Times New Roman"/>
        </w:rPr>
        <w:t>Existující technologie k eliminaci projevů jarních mrazů – např. zamlžování sadu, zakuřování, použití ohřívačů, pálení různých materiálů, protimrazová závlaha a mísení vzduchu jsou účinné, ovšem často velmi nákladné a jejich průměrná doba životnosti je 15 až 20 let příp. i déle</w:t>
      </w:r>
      <w:r w:rsidRPr="00D95127">
        <w:rPr>
          <w:rStyle w:val="Znakapoznpodarou"/>
        </w:rPr>
        <w:footnoteReference w:id="3"/>
      </w:r>
      <w:r w:rsidRPr="00D95127">
        <w:rPr>
          <w:rFonts w:cs="Times New Roman"/>
        </w:rPr>
        <w:t>, jedná se tedy o dlouhodobou investici s nejasnou návratností. Možnost využít dodatečné a kvalitní protimrazové a protikroupové ochrany může být pro pěstitele ovoce i zeleniny z hlediska kvalitní sklizně v daném roce klíčová. Naproti tomu mírnější klima letních měsíců neumožňuje produkovat některé druhy zeleniny a ovoce v požadované kvalitě a delší časové periodě (v našich podmínkách je perioda kratší).</w:t>
      </w:r>
    </w:p>
    <w:bookmarkEnd w:id="36"/>
    <w:p w14:paraId="45444304" w14:textId="77777777" w:rsidR="00A16DDB" w:rsidRPr="00D95127" w:rsidRDefault="00A16DDB" w:rsidP="000D447D">
      <w:pPr>
        <w:pStyle w:val="UZEINormaln"/>
        <w:rPr>
          <w:rFonts w:cs="Times New Roman"/>
        </w:rPr>
      </w:pPr>
      <w:r w:rsidRPr="00D95127">
        <w:rPr>
          <w:rFonts w:cs="Times New Roman"/>
          <w:b/>
        </w:rPr>
        <w:t>Přetrvávající nedostatečná nabídka pracovní síly v ČR</w:t>
      </w:r>
      <w:r w:rsidRPr="00D95127">
        <w:rPr>
          <w:rFonts w:cs="Times New Roman"/>
        </w:rPr>
        <w:t xml:space="preserve"> v těchto sektorech zvyšuje významně nároky na zahraniční, vízem podmíněnou a současně sezónně orientovanou pracovní sílu. Ostatně, dlouhodobá situace ukazuje, že tento nedostatek pracovníků není výrazně ovlivněn hospodářskými cykly ČR. Transakční náklady na zahraniční sezónní pracovní sílu jsou obecně vysoké a současně zvyšují riziko pro tyto podniky (zdlouhavost a komplikovanost procesu). To se v některých případech projevuje jak nedostatečnou kvalitou odváděné práce, tak nemožností získat potřebný počet poptávaných pracovníků. </w:t>
      </w:r>
    </w:p>
    <w:p w14:paraId="66CBBB3B" w14:textId="71DCD565" w:rsidR="00A16DDB" w:rsidRPr="00D95127" w:rsidRDefault="00A16DDB" w:rsidP="000D447D">
      <w:pPr>
        <w:pStyle w:val="UZEINormaln"/>
        <w:rPr>
          <w:rFonts w:cs="Times New Roman"/>
        </w:rPr>
      </w:pPr>
      <w:r w:rsidRPr="00D95127">
        <w:rPr>
          <w:rFonts w:cs="Times New Roman"/>
          <w:b/>
        </w:rPr>
        <w:t>Stáří a struktura sadů je dlouhotrvající problém</w:t>
      </w:r>
      <w:r w:rsidRPr="00D95127">
        <w:rPr>
          <w:rFonts w:cs="Times New Roman"/>
        </w:rPr>
        <w:t xml:space="preserve">, v červnu roku 2020 bylo v poklesu plodnosti 41,5 % produkčních ovocných sadů a 40,4 % sadů v plné plodnosti. Na počátku plodnosti bylo 10,7 % produkčních sadů a 7,4 % tvoří mladé neplodné sady. Vzhledem k intenzivnímu způsobu pěstování a charakteru požadovaných odrůd hrozí snížení kvality a produkce již mezi 12. až 15. rokem pěstování namísto uváděných 25 let. V součtu tak v brzké době 10 let bude více než polovina produkčních ovocných stromů poskytovat méně kvalitní plody a při menším výnosu. Vysoký podílu sadů s klesající plodností způsobuje vysoké jednotkové náklady produkce v důsledku vysokých fixních nákladů, které nejsou alokovány na potřebný rozsah produkce. Pomalé tempo obnovy je spojeno s vysokými investiční náklady na obnovu sadů s vysokým rizikem nízké návratnosti.  Investiční náklady na restrukturalizaci </w:t>
      </w:r>
      <w:r w:rsidRPr="00D95127">
        <w:rPr>
          <w:rFonts w:cs="Times New Roman"/>
        </w:rPr>
        <w:lastRenderedPageBreak/>
        <w:t xml:space="preserve">ovocných sadů se pohybují v rozpětí 100-650 tis. Kč/ha v závislosti na druhu ovoce (viz </w:t>
      </w:r>
      <w:r w:rsidR="007A20D6" w:rsidRPr="00D95127">
        <w:rPr>
          <w:rFonts w:cs="Times New Roman"/>
        </w:rPr>
        <w:fldChar w:fldCharType="begin"/>
      </w:r>
      <w:r w:rsidR="007A20D6" w:rsidRPr="00D95127">
        <w:rPr>
          <w:rFonts w:cs="Times New Roman"/>
        </w:rPr>
        <w:instrText xml:space="preserve"> REF _Ref81604743 \r \h </w:instrText>
      </w:r>
      <w:r w:rsidR="00D95127">
        <w:rPr>
          <w:rFonts w:cs="Times New Roman"/>
        </w:rPr>
        <w:instrText xml:space="preserve"> \* MERGEFORMAT </w:instrText>
      </w:r>
      <w:r w:rsidR="007A20D6" w:rsidRPr="00D95127">
        <w:rPr>
          <w:rFonts w:cs="Times New Roman"/>
        </w:rPr>
      </w:r>
      <w:r w:rsidR="007A20D6" w:rsidRPr="00D95127">
        <w:rPr>
          <w:rFonts w:cs="Times New Roman"/>
        </w:rPr>
        <w:fldChar w:fldCharType="separate"/>
      </w:r>
      <w:r w:rsidR="007A20D6" w:rsidRPr="00D95127">
        <w:rPr>
          <w:rFonts w:cs="Times New Roman"/>
        </w:rPr>
        <w:t>Tabulka 1</w:t>
      </w:r>
      <w:r w:rsidR="007A20D6" w:rsidRPr="00D95127">
        <w:rPr>
          <w:rFonts w:cs="Times New Roman"/>
        </w:rPr>
        <w:fldChar w:fldCharType="end"/>
      </w:r>
      <w:r w:rsidRPr="00D95127">
        <w:rPr>
          <w:rFonts w:cs="Times New Roman"/>
        </w:rPr>
        <w:t>).</w:t>
      </w:r>
    </w:p>
    <w:p w14:paraId="30DAAAEA" w14:textId="5D664086" w:rsidR="00A16DDB" w:rsidRPr="00D95127" w:rsidRDefault="00A16DDB" w:rsidP="007A20D6">
      <w:pPr>
        <w:pStyle w:val="UZEITaB"/>
        <w:rPr>
          <w:rFonts w:cs="Times New Roman"/>
        </w:rPr>
      </w:pPr>
      <w:bookmarkStart w:id="37" w:name="_Ref81604743"/>
      <w:bookmarkStart w:id="38" w:name="_Toc81738429"/>
      <w:r w:rsidRPr="00D95127">
        <w:rPr>
          <w:rFonts w:cs="Times New Roman"/>
        </w:rPr>
        <w:t>Náklady na restrukturalizaci ovocných sadů podle dotazníkového šetření (2017)</w:t>
      </w:r>
      <w:bookmarkEnd w:id="37"/>
      <w:bookmarkEnd w:id="38"/>
      <w:r w:rsidRPr="00D95127">
        <w:rPr>
          <w:rFonts w:cs="Times New Roman"/>
        </w:rPr>
        <w:t xml:space="preserve"> </w:t>
      </w:r>
    </w:p>
    <w:p w14:paraId="4FDB9CBD" w14:textId="77777777" w:rsidR="00A16DDB" w:rsidRPr="00D95127" w:rsidRDefault="00A16DDB" w:rsidP="00A16DDB">
      <w:pPr>
        <w:rPr>
          <w:rFonts w:cs="Times New Roman"/>
          <w:szCs w:val="24"/>
          <w:lang w:val="cs-CZ"/>
        </w:rPr>
      </w:pPr>
      <w:r w:rsidRPr="00D95127">
        <w:rPr>
          <w:rFonts w:cs="Times New Roman"/>
          <w:noProof/>
          <w:szCs w:val="24"/>
          <w:lang w:val="cs-CZ"/>
        </w:rPr>
        <w:drawing>
          <wp:inline distT="0" distB="0" distL="0" distR="0" wp14:anchorId="2EC92083" wp14:editId="74F0FE6E">
            <wp:extent cx="5305425" cy="1981200"/>
            <wp:effectExtent l="0" t="0" r="0" b="0"/>
            <wp:docPr id="125" name="Obrázek 4"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Obrázek 4" descr="Obsah obrázku stůl&#10;&#10;Popis byl vytvořen automaticky"/>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05425" cy="1981200"/>
                    </a:xfrm>
                    <a:prstGeom prst="rect">
                      <a:avLst/>
                    </a:prstGeom>
                    <a:noFill/>
                    <a:ln>
                      <a:noFill/>
                    </a:ln>
                  </pic:spPr>
                </pic:pic>
              </a:graphicData>
            </a:graphic>
          </wp:inline>
        </w:drawing>
      </w:r>
    </w:p>
    <w:p w14:paraId="3718CE4F" w14:textId="77777777" w:rsidR="00A16DDB" w:rsidRPr="00D95127" w:rsidRDefault="00A16DDB" w:rsidP="007A20D6">
      <w:pPr>
        <w:pStyle w:val="UZEIZdroj"/>
      </w:pPr>
      <w:r w:rsidRPr="00D95127">
        <w:t>Pramen: výpočty ÚZEI, (TÚ 53/4121)</w:t>
      </w:r>
    </w:p>
    <w:p w14:paraId="4DAF89C2" w14:textId="77777777" w:rsidR="00A16DDB" w:rsidRPr="00D95127" w:rsidRDefault="00A16DDB" w:rsidP="001C7136">
      <w:pPr>
        <w:pStyle w:val="UZEINormaln"/>
        <w:rPr>
          <w:rFonts w:cs="Times New Roman"/>
        </w:rPr>
      </w:pPr>
      <w:r w:rsidRPr="00D95127">
        <w:rPr>
          <w:rFonts w:cs="Times New Roman"/>
        </w:rPr>
        <w:t>Pěstitelé ovoce a zeleniny nejsou dostatečně vybaveni často jednoúčelovými (mobilní) stroji, jako jsou linky na posklizňovou úpravu (mytí, třídění, balení). Někteří pěstitelé využívají služeb odbytových organizací, které tyto posklizňové linky nebo sklady pořídily v rámci svých operačních programů. Absence těchto strojů vyžaduje vyšší podíl často nákladnější ruční práce. Odhaduje se, že 65 % zeleniny je realizováno přímo z pole a 35 % se uskladní a realizuje později. Od roku 2013 se struktura skladovacích kapacit z hlediska počtu reálně nezměnila, spíše proběhla modernizace vlastní technologie.</w:t>
      </w:r>
    </w:p>
    <w:p w14:paraId="6244C83E" w14:textId="20F6E799" w:rsidR="00A16DDB" w:rsidRPr="00D95127" w:rsidRDefault="00A16DDB" w:rsidP="001C7136">
      <w:pPr>
        <w:pStyle w:val="UZEINormaln"/>
        <w:rPr>
          <w:rFonts w:cs="Times New Roman"/>
        </w:rPr>
      </w:pPr>
      <w:r w:rsidRPr="00D95127">
        <w:rPr>
          <w:rFonts w:cs="Times New Roman"/>
        </w:rPr>
        <w:t>Problematika závlah není dostatečně vyřešena, protože procentuální zastoupení sadů s podporou na kapkovou závlahu v celkové výměře sadů činilo 25,2 % v roce 2018. Pro závlahu v sadech se v současné době používá téměř výhradně kapková závlaha a dá se předpokládat její další rozšiřování. Kapková závlaha patří mezi nejúspornější systémy zavlažování. Systém umožňuje individuální nastavení závlahy podle potřeby pěstovaných plodin. Využití kapkové závlahy při pěstování ovoce přináší zvýšení</w:t>
      </w:r>
      <w:r w:rsidR="001C7136" w:rsidRPr="00D95127">
        <w:rPr>
          <w:rFonts w:cs="Times New Roman"/>
        </w:rPr>
        <w:t xml:space="preserve"> </w:t>
      </w:r>
      <w:r w:rsidRPr="00D95127">
        <w:rPr>
          <w:rFonts w:cs="Times New Roman"/>
        </w:rPr>
        <w:t xml:space="preserve">výnosů a především výrazné zvýšení podílu produkce v 1. jakostní třídě. Celkové náklady na vybudování závlah činí cca 108 tis. Kč/ha. Největším problémem při budování kapkových závlah je dostatečný zdroj vody a vzhledem ke klimatickým změnám je kapková závlaha pro pěstitele ovoce a zeleniny nutností. </w:t>
      </w:r>
    </w:p>
    <w:p w14:paraId="03C2DA87" w14:textId="3B1FA310" w:rsidR="00A16DDB" w:rsidRPr="00D95127" w:rsidRDefault="00A16DDB" w:rsidP="001C7136">
      <w:pPr>
        <w:pStyle w:val="UZEINormaln"/>
        <w:rPr>
          <w:rFonts w:cs="Times New Roman"/>
        </w:rPr>
      </w:pPr>
      <w:r w:rsidRPr="00D95127">
        <w:rPr>
          <w:rFonts w:cs="Times New Roman"/>
        </w:rPr>
        <w:t>Současné uspořádání obchodní vertikály umožňuje pěstitelům ovoce a zeleniny realizovat prodej prostřednictvím obchodních řetězců, odbytových družstev nebo KDŘ. Objem produkce realizovaný prostřednictvím obchodních řetězců představuje v případě zeleniny dle Zelinářské unie již 76 % a u ovoce dle Ovocnářské unie dosahuje cca 80 %. Obchodní řetězce preferují dodavatele ze zemí s delší sezónou pro sklizeň v klimaticky příznivějších zemích pro pěstování ovoce a zeleniny, kteří jsou schopni pokrýt delší období dodávek v průběhu roku. Objem produkce uvedené na trh prostřednictvím organizací producentů každoročně roste; zatímco v roce 2011 byl podíl produkce členů odbytových organizací na celkové produkci 23 %, v roce 2018 to bylo téměř 66 % a lze předpokládat, že pěstitelé se budou i nadále sdružovat kvůli získání konkurenční výhody a zajištění odbytu své produkce ovoce a zeleniny. Organizace producentů sdružují nejen pěstitele ovoce, ale zároveň i zeleniny. Na jedné straně dochází ke koncentraci zelinářských podniků do větších uskupení, naproti tomu menší lokální producenti jsou specializováni na prodej ze dvora a farmářské trhy. Zelinářská unie odhadovala odbyt čerstvé zeleniny takto – 76 % supermarkety a hypermarkety, 10 % velkoobchody, 10 % na zpracování, 4 % na ostatní (tj. přímý prodej, ztráty, vlastní export apod.). Význam KDŘ je podpořen rostoucí poptávkou po ovoci a zelenině od českých producentů.</w:t>
      </w:r>
    </w:p>
    <w:p w14:paraId="65462503" w14:textId="77777777" w:rsidR="00A16DDB" w:rsidRPr="00D95127" w:rsidRDefault="00A16DDB" w:rsidP="001C7136">
      <w:pPr>
        <w:pStyle w:val="UZEINormaln"/>
        <w:rPr>
          <w:rFonts w:cs="Times New Roman"/>
        </w:rPr>
      </w:pPr>
      <w:r w:rsidRPr="00D95127">
        <w:rPr>
          <w:rFonts w:cs="Times New Roman"/>
        </w:rPr>
        <w:lastRenderedPageBreak/>
        <w:t>Jednotlivé druhy zeleniny se v ČR pěstují na malé výměře, přesto je nutné každé plodině zajistit náležitý servis zvlášť. Pěstování ovoce a zeleniny je velice náročné nejen po technologické, manuální a organizační stránce, ale i po stránce administrativní, a s tím spojené vyšší transakční náklady na umístění produkce domácí provenience vzhledem k relativně nízkému rozsahu pěstované produkce. Jedná se o nastavení dotačních podmínek, možnostech ochrany proti plevelům, chorobám a škůdcům, různých typech odškodnění, sumarizaci statistických dat o jednotlivých pěstovaných druzích atd.</w:t>
      </w:r>
    </w:p>
    <w:p w14:paraId="4F06D83A" w14:textId="77777777" w:rsidR="00A16DDB" w:rsidRPr="00D95127" w:rsidRDefault="00A16DDB" w:rsidP="001C7136">
      <w:pPr>
        <w:pStyle w:val="UZEINormaln"/>
        <w:rPr>
          <w:rFonts w:cs="Times New Roman"/>
        </w:rPr>
      </w:pPr>
      <w:r w:rsidRPr="00D95127">
        <w:rPr>
          <w:rFonts w:cs="Times New Roman"/>
        </w:rPr>
        <w:t>Přetrvává nízká flexibilita úřadů, v řešení administrativních problémů týkající se produkce ovoce a zeleniny, spojená s registrací přípravků na ochranu rostlin do minoritních plodin. Státní zdravotní ústav není schopen včas zpracovat zdravotní posudky k přípravkům a VÚRV není schopen v potřebném čase otestovat účinnost přípravků a zhodnotit vliv na necílové organismy a vodu.</w:t>
      </w:r>
    </w:p>
    <w:p w14:paraId="54A217BD" w14:textId="77777777" w:rsidR="00A16DDB" w:rsidRPr="00D95127" w:rsidRDefault="00A16DDB" w:rsidP="001C7136">
      <w:pPr>
        <w:pStyle w:val="UZEINormaln"/>
        <w:rPr>
          <w:rFonts w:cs="Times New Roman"/>
        </w:rPr>
      </w:pPr>
      <w:r w:rsidRPr="00D95127">
        <w:rPr>
          <w:rFonts w:cs="Times New Roman"/>
        </w:rPr>
        <w:t xml:space="preserve">Posledním faktorem je inovativnost produkce, resp. výrobních postupů. Zelináři i ovocnáři využívají poznatky z vysokých škol a výzkumných ústavů (např. Výzkumný ústav meliorací a ochrany půdy, Výzkumný a šlechtitelský ústav ovocnářský v Holovousích, Výzkumný ústav rostlinné výroby – monitoring škůdců). Zelináři postrádají výzkumný ústav zaměřený na pěstování zeleniny. Na základě dotazníkového šetření směřovaného na zástupce profesních svazů vyplynulo, že pěstitelé by měli o poradenství zájem, chybí jim však dostatek vhodných poradců s praktickými zkušenostmi v oblasti ovocnářství a zelinářství – kvalitní jsou poradci z plodinového výzkumu a pak nezávislí specialisté ze zahraničí. Nejvíce postrádají členové svazů informace z oblasti výživy a hnojení, nových technologií, odbytu a marketingu. Logicky největší zájem mají o oblast modernizace a inovace v pěstebních technologiích, výživy a hnojení, biologické rozmanitosti a dotační politiku. Informační potřeby se liší od velikosti podniků. Informační role profesních svazů spočívá nejvíce ve zprostředkování informací (bulletiny, zpravodaje), dále v organizaci seminářů a poskytování dotačního poradenství. Pro transfer nejnovějších poznatků v současnosti využívají soukromé subjekty, školy, výzkumné ústavy, komory a svazy. V oblasti transferu považují za základní bariéry na straně výzkumu jeho zaměření na základní výzkum a malou orientaci výzkumu na praxi, dále nedostatek expertů na danou oblast a potřeba vyvinout aplikační fázi. Na straně zemědělské praxe jsou omezení pro účast z důvodu požadavku na finanční spoluúčast podniku při řešení výzkumného projektu a dále neochota zemědělců k účasti na výzkumných projektech z důvodu poskytování poradenství ze strany dodavatelů technologií při pořizování techniky a technologií. </w:t>
      </w:r>
      <w:bookmarkStart w:id="39" w:name="_Hlk524294745"/>
      <w:r w:rsidRPr="00D95127">
        <w:rPr>
          <w:rFonts w:cs="Times New Roman"/>
        </w:rPr>
        <w:t>Z celkového počtu schválených (3. kolo) a podaných (5. kolo) operačních skupin EIP byl jeden z projektů zaměřen na oblast „Ověření výroby organického hnojiva se zvýšeným obsahem dusíku a použití v zemědělství a ovocnářství“</w:t>
      </w:r>
      <w:bookmarkEnd w:id="39"/>
      <w:r w:rsidRPr="00D95127">
        <w:rPr>
          <w:rFonts w:cs="Times New Roman"/>
        </w:rPr>
        <w:t>.</w:t>
      </w:r>
    </w:p>
    <w:p w14:paraId="6975925D" w14:textId="32AD1FAC" w:rsidR="00A16DDB" w:rsidRPr="00D95127" w:rsidRDefault="00A16DDB" w:rsidP="001C7136">
      <w:pPr>
        <w:pStyle w:val="UZEINormaln"/>
        <w:rPr>
          <w:rFonts w:cs="Times New Roman"/>
        </w:rPr>
      </w:pPr>
      <w:r w:rsidRPr="00D95127">
        <w:rPr>
          <w:rFonts w:cs="Times New Roman"/>
        </w:rPr>
        <w:t>Uvedené strukturální slabiny v sektorech ovoce a zeleniny jsou výrazně ovlivňovány ekonomikou jednotlivých podniků, resp. rentabilitou plodin. Podle nákladového šetření ÚZEI byla většina ovoce realizována při záporné rentabilitě, a to i při započítání všech provozních podpor</w:t>
      </w:r>
      <w:r w:rsidRPr="00D95127">
        <w:rPr>
          <w:rStyle w:val="Znakapoznpodarou"/>
        </w:rPr>
        <w:footnoteReference w:id="4"/>
      </w:r>
      <w:r w:rsidRPr="00D95127">
        <w:rPr>
          <w:rFonts w:cs="Times New Roman"/>
        </w:rPr>
        <w:t>. V případě zeleniny je u více jak 2/3 druhů od roku 2015, kdy je aplikována podpora v podobě VCS, dosahována kladná souhrnná rentabilita.</w:t>
      </w:r>
    </w:p>
    <w:p w14:paraId="36A4D23E" w14:textId="6C22564F" w:rsidR="001C7136" w:rsidRPr="00D95127" w:rsidRDefault="001C7136" w:rsidP="001C7136">
      <w:pPr>
        <w:pStyle w:val="UZEINormaln"/>
        <w:rPr>
          <w:rFonts w:cs="Times New Roman"/>
        </w:rPr>
      </w:pPr>
    </w:p>
    <w:p w14:paraId="7C5600F8" w14:textId="0A701612" w:rsidR="001C7136" w:rsidRPr="00D95127" w:rsidRDefault="001C7136" w:rsidP="001C7136">
      <w:pPr>
        <w:pStyle w:val="UZEINormaln"/>
        <w:rPr>
          <w:rFonts w:cs="Times New Roman"/>
        </w:rPr>
      </w:pPr>
    </w:p>
    <w:p w14:paraId="090B5A47" w14:textId="13930FF1" w:rsidR="001C7136" w:rsidRPr="00D95127" w:rsidRDefault="001C7136" w:rsidP="001C7136">
      <w:pPr>
        <w:pStyle w:val="UZEINormaln"/>
        <w:rPr>
          <w:rFonts w:cs="Times New Roman"/>
        </w:rPr>
      </w:pPr>
    </w:p>
    <w:p w14:paraId="1CB133FF" w14:textId="77777777" w:rsidR="001C7136" w:rsidRPr="00D95127" w:rsidRDefault="001C7136" w:rsidP="001C7136">
      <w:pPr>
        <w:pStyle w:val="UZEINormaln"/>
        <w:rPr>
          <w:rFonts w:cs="Times New Roman"/>
        </w:rPr>
      </w:pPr>
    </w:p>
    <w:p w14:paraId="5E7CD86B" w14:textId="6C37C5D3" w:rsidR="00A16DDB" w:rsidRPr="00D95127" w:rsidRDefault="00A16DDB" w:rsidP="001C7136">
      <w:pPr>
        <w:pStyle w:val="UZEITaB"/>
        <w:rPr>
          <w:rFonts w:cs="Times New Roman"/>
        </w:rPr>
      </w:pPr>
      <w:bookmarkStart w:id="40" w:name="_Toc81738430"/>
      <w:r w:rsidRPr="00D95127">
        <w:rPr>
          <w:rFonts w:cs="Times New Roman"/>
        </w:rPr>
        <w:lastRenderedPageBreak/>
        <w:t>Ekonomika pěstování ovocných druhů s velmi vysokou pracností v letech 2011-20</w:t>
      </w:r>
      <w:bookmarkEnd w:id="40"/>
    </w:p>
    <w:p w14:paraId="76876A84" w14:textId="77777777" w:rsidR="00A16DDB" w:rsidRPr="00D95127" w:rsidRDefault="00A16DDB" w:rsidP="00A16DDB">
      <w:pPr>
        <w:rPr>
          <w:rFonts w:cs="Times New Roman"/>
          <w:szCs w:val="24"/>
          <w:lang w:val="cs-CZ"/>
        </w:rPr>
      </w:pPr>
      <w:r w:rsidRPr="00D95127">
        <w:rPr>
          <w:rFonts w:cs="Times New Roman"/>
          <w:noProof/>
          <w:lang w:val="cs-CZ"/>
        </w:rPr>
        <w:drawing>
          <wp:inline distT="0" distB="0" distL="0" distR="0" wp14:anchorId="5C5DAEAE" wp14:editId="110338A2">
            <wp:extent cx="5760720" cy="1365250"/>
            <wp:effectExtent l="0" t="0" r="0" b="6350"/>
            <wp:docPr id="143" name="Obrázek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1365250"/>
                    </a:xfrm>
                    <a:prstGeom prst="rect">
                      <a:avLst/>
                    </a:prstGeom>
                    <a:noFill/>
                    <a:ln>
                      <a:noFill/>
                    </a:ln>
                  </pic:spPr>
                </pic:pic>
              </a:graphicData>
            </a:graphic>
          </wp:inline>
        </w:drawing>
      </w:r>
    </w:p>
    <w:p w14:paraId="440E4E80" w14:textId="57DE81E8" w:rsidR="00A16DDB" w:rsidRPr="00D95127" w:rsidRDefault="00A16DDB" w:rsidP="00FB49AD">
      <w:pPr>
        <w:pStyle w:val="UZEITaB"/>
        <w:rPr>
          <w:rFonts w:cs="Times New Roman"/>
        </w:rPr>
      </w:pPr>
      <w:bookmarkStart w:id="41" w:name="_Toc81738431"/>
      <w:r w:rsidRPr="00D95127">
        <w:rPr>
          <w:rFonts w:cs="Times New Roman"/>
        </w:rPr>
        <w:t>Ekonomika pěstování ovocných druhů s vysokou pracností v letech 2011- 20</w:t>
      </w:r>
      <w:bookmarkEnd w:id="41"/>
    </w:p>
    <w:p w14:paraId="73E66AC6" w14:textId="77777777" w:rsidR="00A16DDB" w:rsidRPr="00D95127" w:rsidRDefault="00A16DDB" w:rsidP="00A16DDB">
      <w:pPr>
        <w:rPr>
          <w:rFonts w:cs="Times New Roman"/>
          <w:szCs w:val="24"/>
          <w:lang w:val="cs-CZ"/>
        </w:rPr>
      </w:pPr>
      <w:r w:rsidRPr="00D95127">
        <w:rPr>
          <w:rFonts w:cs="Times New Roman"/>
          <w:noProof/>
          <w:lang w:val="cs-CZ"/>
        </w:rPr>
        <w:drawing>
          <wp:inline distT="0" distB="0" distL="0" distR="0" wp14:anchorId="43A05626" wp14:editId="7915CB97">
            <wp:extent cx="5760720" cy="1310640"/>
            <wp:effectExtent l="0" t="0" r="0" b="3810"/>
            <wp:docPr id="144" name="Obrázek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1310640"/>
                    </a:xfrm>
                    <a:prstGeom prst="rect">
                      <a:avLst/>
                    </a:prstGeom>
                    <a:noFill/>
                    <a:ln>
                      <a:noFill/>
                    </a:ln>
                  </pic:spPr>
                </pic:pic>
              </a:graphicData>
            </a:graphic>
          </wp:inline>
        </w:drawing>
      </w:r>
    </w:p>
    <w:p w14:paraId="699B2BCF" w14:textId="2C145CE6" w:rsidR="00A16DDB" w:rsidRPr="00D95127" w:rsidRDefault="00A16DDB" w:rsidP="00FB49AD">
      <w:pPr>
        <w:pStyle w:val="UZEITaB"/>
        <w:rPr>
          <w:rFonts w:cs="Times New Roman"/>
        </w:rPr>
      </w:pPr>
      <w:bookmarkStart w:id="42" w:name="_Toc81738432"/>
      <w:r w:rsidRPr="00D95127">
        <w:rPr>
          <w:rFonts w:cs="Times New Roman"/>
        </w:rPr>
        <w:t>Ekonomika pěstování zeleninových druhů s velmi vysokou pracností v letech 2011</w:t>
      </w:r>
      <w:r w:rsidRPr="00D95127">
        <w:rPr>
          <w:rFonts w:cs="Times New Roman"/>
        </w:rPr>
        <w:noBreakHyphen/>
        <w:t>20</w:t>
      </w:r>
      <w:bookmarkEnd w:id="42"/>
    </w:p>
    <w:p w14:paraId="00EC8409" w14:textId="77777777" w:rsidR="00A16DDB" w:rsidRPr="00D95127" w:rsidRDefault="00A16DDB" w:rsidP="00A16DDB">
      <w:pPr>
        <w:rPr>
          <w:rFonts w:cs="Times New Roman"/>
          <w:szCs w:val="24"/>
          <w:lang w:val="cs-CZ"/>
        </w:rPr>
      </w:pPr>
      <w:r w:rsidRPr="00D95127">
        <w:rPr>
          <w:rFonts w:cs="Times New Roman"/>
          <w:noProof/>
          <w:lang w:val="cs-CZ"/>
        </w:rPr>
        <w:drawing>
          <wp:inline distT="0" distB="0" distL="0" distR="0" wp14:anchorId="54304D40" wp14:editId="5C107195">
            <wp:extent cx="5760720" cy="1179195"/>
            <wp:effectExtent l="0" t="0" r="0" b="1905"/>
            <wp:docPr id="145" name="Obrázek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1179195"/>
                    </a:xfrm>
                    <a:prstGeom prst="rect">
                      <a:avLst/>
                    </a:prstGeom>
                    <a:noFill/>
                    <a:ln>
                      <a:noFill/>
                    </a:ln>
                  </pic:spPr>
                </pic:pic>
              </a:graphicData>
            </a:graphic>
          </wp:inline>
        </w:drawing>
      </w:r>
    </w:p>
    <w:p w14:paraId="0C920CF6" w14:textId="2C13C867" w:rsidR="00A16DDB" w:rsidRPr="00D95127" w:rsidRDefault="00A16DDB" w:rsidP="00FB49AD">
      <w:pPr>
        <w:pStyle w:val="UZEITaB"/>
        <w:rPr>
          <w:rFonts w:cs="Times New Roman"/>
        </w:rPr>
      </w:pPr>
      <w:bookmarkStart w:id="43" w:name="_Toc81738433"/>
      <w:r w:rsidRPr="00D95127">
        <w:rPr>
          <w:rFonts w:cs="Times New Roman"/>
        </w:rPr>
        <w:t>Ekonomika pěstování zeleninových druhů s vysokou pracností v letech 2011- 20</w:t>
      </w:r>
      <w:bookmarkEnd w:id="43"/>
    </w:p>
    <w:p w14:paraId="5A07FBFA" w14:textId="77777777" w:rsidR="00A16DDB" w:rsidRPr="00D95127" w:rsidRDefault="00A16DDB" w:rsidP="00A16DDB">
      <w:pPr>
        <w:rPr>
          <w:rFonts w:cs="Times New Roman"/>
          <w:szCs w:val="24"/>
          <w:lang w:val="cs-CZ"/>
        </w:rPr>
      </w:pPr>
      <w:r w:rsidRPr="00D95127">
        <w:rPr>
          <w:rFonts w:cs="Times New Roman"/>
          <w:noProof/>
          <w:lang w:val="cs-CZ"/>
        </w:rPr>
        <w:drawing>
          <wp:inline distT="0" distB="0" distL="0" distR="0" wp14:anchorId="7DE23917" wp14:editId="6AB530FF">
            <wp:extent cx="5760720" cy="1153160"/>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1153160"/>
                    </a:xfrm>
                    <a:prstGeom prst="rect">
                      <a:avLst/>
                    </a:prstGeom>
                    <a:noFill/>
                    <a:ln>
                      <a:noFill/>
                    </a:ln>
                  </pic:spPr>
                </pic:pic>
              </a:graphicData>
            </a:graphic>
          </wp:inline>
        </w:drawing>
      </w:r>
    </w:p>
    <w:p w14:paraId="7F5A9D84" w14:textId="77777777" w:rsidR="00A16DDB" w:rsidRPr="00D95127" w:rsidRDefault="00A16DDB" w:rsidP="00FB49AD">
      <w:pPr>
        <w:pStyle w:val="UZEINormaln"/>
        <w:rPr>
          <w:rFonts w:cs="Times New Roman"/>
        </w:rPr>
      </w:pPr>
      <w:r w:rsidRPr="00D95127">
        <w:rPr>
          <w:rFonts w:cs="Times New Roman"/>
        </w:rPr>
        <w:t xml:space="preserve">Ekonomika jednotlivých komodit se promítá do celkové ekonomické situace podniků a následující tabulka uvádí srovnání strukturálních charakteristik skupin podniků dle výrobního zaměření. Přitom k specializovaným podnikům na zahradnictví, vinohradnictví a ovocnářství, u nichž více jak 2/3 standardní produkce tvoří příjem ze speciální produkce, byly vybrány pro srovnání podniky se zaměřením na polní výrobu a smíšenou výrobu v oblastech mimo ANC a o přibližně stejné ekonomické velikosti, tj. do 1000 ha celkové z. p. Z výsledků je zřejmé, že podniky specializované na zahradnictví a vinohradnictví dosahují z hlediska příjmové situace na pracovníka reprezentované ČPH/AWU přibližně srovnatelné úrovně jako podniky smíšené výroby. Podniky specializované na ovocnářství ale dosahují pouze 2/3 úrovně jejich příjmové úrovně, zatímco podniky specializované na polní výrobu dosahují 1,5násobku příjmové úrovně na pracovníka. Po úhradě pachtovného a úroků zbývá příjem k úhradě placených a neplacených pracovníků, přičemž podniky specializované na zahradnictví, vinohradnictví a smíšenou výrobu dosahují 2/3 úrovně podniků s polní výrobou. Zatímco ovocnářské podniky dosahují méně jak poloviční úrovně. Z hlediska trvalé sociálně ekonomické udržitelnosti vyjádřené podílem účetního zisku a oportunitními náklady za neplacenou vlastní práci a půdu jsou nejvíce </w:t>
      </w:r>
      <w:r w:rsidRPr="00D95127">
        <w:rPr>
          <w:rFonts w:cs="Times New Roman"/>
        </w:rPr>
        <w:lastRenderedPageBreak/>
        <w:t>ohroženy právě podniky specializované na pěstování ovoce. Tzn., že v případě těchto podniků účetní zisk nepostačuje k uhrazení oportunitních nákladů neplacené práce a vlastní půdy.</w:t>
      </w:r>
    </w:p>
    <w:p w14:paraId="5259C47E" w14:textId="4CAF757B" w:rsidR="00A16DDB" w:rsidRPr="00D95127" w:rsidRDefault="00A16DDB" w:rsidP="00FB49AD">
      <w:pPr>
        <w:pStyle w:val="UZEITaB"/>
        <w:rPr>
          <w:rFonts w:cs="Times New Roman"/>
        </w:rPr>
      </w:pPr>
      <w:bookmarkStart w:id="44" w:name="_Toc81738434"/>
      <w:r w:rsidRPr="00D95127">
        <w:rPr>
          <w:rFonts w:cs="Times New Roman"/>
        </w:rPr>
        <w:t>Ekonomická situace podniků podle výrobního zaměření v průměru za období let 2014-16</w:t>
      </w:r>
      <w:bookmarkEnd w:id="44"/>
    </w:p>
    <w:p w14:paraId="58D3F335" w14:textId="77777777" w:rsidR="00A16DDB" w:rsidRPr="00D95127" w:rsidRDefault="00A16DDB" w:rsidP="00A16DDB">
      <w:pPr>
        <w:rPr>
          <w:rFonts w:cs="Times New Roman"/>
          <w:color w:val="FF0000"/>
          <w:szCs w:val="24"/>
          <w:lang w:val="cs-CZ"/>
        </w:rPr>
      </w:pPr>
      <w:r w:rsidRPr="00D95127">
        <w:rPr>
          <w:rFonts w:cs="Times New Roman"/>
          <w:noProof/>
          <w:szCs w:val="24"/>
          <w:lang w:val="cs-CZ"/>
        </w:rPr>
        <w:drawing>
          <wp:inline distT="0" distB="0" distL="0" distR="0" wp14:anchorId="44259A67" wp14:editId="71A12D3E">
            <wp:extent cx="5105400" cy="5915025"/>
            <wp:effectExtent l="0" t="0" r="0" b="0"/>
            <wp:docPr id="11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05400" cy="5915025"/>
                    </a:xfrm>
                    <a:prstGeom prst="rect">
                      <a:avLst/>
                    </a:prstGeom>
                    <a:noFill/>
                    <a:ln>
                      <a:noFill/>
                    </a:ln>
                  </pic:spPr>
                </pic:pic>
              </a:graphicData>
            </a:graphic>
          </wp:inline>
        </w:drawing>
      </w:r>
    </w:p>
    <w:p w14:paraId="2668934C" w14:textId="77777777" w:rsidR="00FB49AD" w:rsidRPr="00D95127" w:rsidRDefault="00FB49AD">
      <w:pPr>
        <w:spacing w:after="160" w:line="259" w:lineRule="auto"/>
        <w:jc w:val="left"/>
        <w:rPr>
          <w:rFonts w:eastAsiaTheme="majorEastAsia" w:cs="Times New Roman"/>
          <w:b/>
          <w:bCs/>
          <w:sz w:val="28"/>
          <w:szCs w:val="32"/>
          <w:lang w:val="cs-CZ"/>
        </w:rPr>
      </w:pPr>
      <w:bookmarkStart w:id="45" w:name="_Toc15304030"/>
      <w:bookmarkStart w:id="46" w:name="_Toc23509823"/>
      <w:bookmarkStart w:id="47" w:name="_Toc76137342"/>
      <w:bookmarkStart w:id="48" w:name="_Toc76637541"/>
      <w:bookmarkStart w:id="49" w:name="_Toc80953220"/>
      <w:r w:rsidRPr="00D95127">
        <w:rPr>
          <w:rFonts w:cs="Times New Roman"/>
        </w:rPr>
        <w:br w:type="page"/>
      </w:r>
    </w:p>
    <w:p w14:paraId="56262580" w14:textId="023AD777" w:rsidR="00A16DDB" w:rsidRPr="00D95127" w:rsidRDefault="00A16DDB" w:rsidP="00FB49AD">
      <w:pPr>
        <w:pStyle w:val="Nadpis1"/>
      </w:pPr>
      <w:bookmarkStart w:id="50" w:name="_Toc81739176"/>
      <w:r w:rsidRPr="00D95127">
        <w:lastRenderedPageBreak/>
        <w:t>Jak závažný je tento problém?</w:t>
      </w:r>
      <w:bookmarkEnd w:id="45"/>
      <w:bookmarkEnd w:id="46"/>
      <w:bookmarkEnd w:id="47"/>
      <w:bookmarkEnd w:id="48"/>
      <w:bookmarkEnd w:id="49"/>
      <w:bookmarkEnd w:id="50"/>
    </w:p>
    <w:p w14:paraId="107972E6" w14:textId="77777777" w:rsidR="00A16DDB" w:rsidRPr="00D95127" w:rsidRDefault="00A16DDB" w:rsidP="00FB49AD">
      <w:pPr>
        <w:pStyle w:val="UZEINormaln"/>
        <w:rPr>
          <w:rFonts w:cs="Times New Roman"/>
        </w:rPr>
      </w:pPr>
      <w:r w:rsidRPr="00D95127">
        <w:rPr>
          <w:rFonts w:cs="Times New Roman"/>
        </w:rPr>
        <w:t>Snížení ploch ovoce a zeleniny přispělo částečně k „bi-komoditní“ výrobní struktuře zemědělských podniků charakterizované převahou obilovin a řepky s environmentálními důsledky.</w:t>
      </w:r>
    </w:p>
    <w:p w14:paraId="1E399B67" w14:textId="77777777" w:rsidR="00A16DDB" w:rsidRPr="00D95127" w:rsidRDefault="00A16DDB" w:rsidP="00FB49AD">
      <w:pPr>
        <w:pStyle w:val="UZEINormaln"/>
        <w:rPr>
          <w:rFonts w:cs="Times New Roman"/>
        </w:rPr>
      </w:pPr>
      <w:r w:rsidRPr="00D95127">
        <w:rPr>
          <w:rFonts w:cs="Times New Roman"/>
        </w:rPr>
        <w:t>Sektor ovoce a zeleniny váže přibližně 7 400 zemědělských pracovníků, tj. 7 %</w:t>
      </w:r>
      <w:r w:rsidRPr="00D95127">
        <w:rPr>
          <w:rStyle w:val="Znakapoznpodarou"/>
        </w:rPr>
        <w:footnoteReference w:id="5"/>
      </w:r>
      <w:r w:rsidRPr="00D95127">
        <w:rPr>
          <w:rFonts w:cs="Times New Roman"/>
        </w:rPr>
        <w:t xml:space="preserve">. Na úrovni ČR další snížení produkce těchto sektorů nevyvolá sociální důsledky, ovšem lokálně může zvýšit nezaměstnanost v obcích a mikroregionech, především jižní Moravy, Polabí a ovocnářských oblastí. </w:t>
      </w:r>
    </w:p>
    <w:p w14:paraId="230B7A96" w14:textId="7176B206" w:rsidR="00FB49AD" w:rsidRPr="00D95127" w:rsidRDefault="00A16DDB" w:rsidP="00FB49AD">
      <w:pPr>
        <w:pStyle w:val="UZEINormaln"/>
        <w:rPr>
          <w:rFonts w:cs="Times New Roman"/>
        </w:rPr>
      </w:pPr>
      <w:r w:rsidRPr="00D95127">
        <w:rPr>
          <w:rFonts w:cs="Times New Roman"/>
        </w:rPr>
        <w:t>Výrazná negativní bilance s ovocem a zeleninou vyžaduje další nároky na logistiku a přepravu s prokázanými negativními externalitami (problematika tzv. „food miles“). Ty by v případě prohloubení obchodního deficitu s těmito komoditami dále narostly.</w:t>
      </w:r>
    </w:p>
    <w:p w14:paraId="15A837F0" w14:textId="2D0D0E22" w:rsidR="00A16DDB" w:rsidRPr="00D95127" w:rsidRDefault="00FB49AD" w:rsidP="00FB49AD">
      <w:pPr>
        <w:spacing w:after="160" w:line="259" w:lineRule="auto"/>
        <w:jc w:val="left"/>
        <w:rPr>
          <w:rFonts w:eastAsia="Times New Roman" w:cs="Times New Roman"/>
          <w:szCs w:val="24"/>
          <w:lang w:val="cs-CZ" w:eastAsia="cs-CZ"/>
        </w:rPr>
      </w:pPr>
      <w:r w:rsidRPr="00D95127">
        <w:rPr>
          <w:rFonts w:cs="Times New Roman"/>
        </w:rPr>
        <w:br w:type="page"/>
      </w:r>
    </w:p>
    <w:p w14:paraId="0A6AA0DD" w14:textId="77777777" w:rsidR="00A16DDB" w:rsidRPr="00D95127" w:rsidRDefault="00A16DDB" w:rsidP="00FB49AD">
      <w:pPr>
        <w:pStyle w:val="Nadpis1"/>
      </w:pPr>
      <w:bookmarkStart w:id="52" w:name="_Toc15304031"/>
      <w:bookmarkStart w:id="53" w:name="_Toc23509824"/>
      <w:bookmarkStart w:id="54" w:name="_Toc76137343"/>
      <w:bookmarkStart w:id="55" w:name="_Toc76637542"/>
      <w:bookmarkStart w:id="56" w:name="_Toc80953221"/>
      <w:bookmarkStart w:id="57" w:name="_Toc81739177"/>
      <w:r w:rsidRPr="00D95127">
        <w:lastRenderedPageBreak/>
        <w:t>Míra stávajícího řešení problému</w:t>
      </w:r>
      <w:bookmarkEnd w:id="52"/>
      <w:bookmarkEnd w:id="53"/>
      <w:bookmarkEnd w:id="54"/>
      <w:bookmarkEnd w:id="55"/>
      <w:bookmarkEnd w:id="56"/>
      <w:bookmarkEnd w:id="57"/>
    </w:p>
    <w:p w14:paraId="37AA05FE" w14:textId="77777777" w:rsidR="00A16DDB" w:rsidRPr="00D95127" w:rsidRDefault="00A16DDB" w:rsidP="00654DD7">
      <w:pPr>
        <w:pStyle w:val="Nadpis2"/>
      </w:pPr>
      <w:bookmarkStart w:id="58" w:name="_Toc15304032"/>
      <w:bookmarkStart w:id="59" w:name="_Toc76137344"/>
      <w:bookmarkStart w:id="60" w:name="_Toc76637543"/>
      <w:bookmarkStart w:id="61" w:name="_Toc80953222"/>
      <w:bookmarkStart w:id="62" w:name="_Toc81739178"/>
      <w:bookmarkStart w:id="63" w:name="_Toc23509825"/>
      <w:r w:rsidRPr="00D95127">
        <w:t>Míra řešení ve stávající SZP (úspěšnost/neúspěšnost)</w:t>
      </w:r>
      <w:bookmarkEnd w:id="58"/>
      <w:bookmarkEnd w:id="59"/>
      <w:bookmarkEnd w:id="60"/>
      <w:bookmarkEnd w:id="61"/>
      <w:bookmarkEnd w:id="62"/>
      <w:r w:rsidRPr="00D95127">
        <w:t xml:space="preserve"> </w:t>
      </w:r>
      <w:bookmarkEnd w:id="63"/>
    </w:p>
    <w:p w14:paraId="7F810474" w14:textId="08A35D33" w:rsidR="00A16DDB" w:rsidRPr="00D95127" w:rsidRDefault="00A16DDB" w:rsidP="00654DD7">
      <w:pPr>
        <w:pStyle w:val="UZEINormaln"/>
        <w:rPr>
          <w:rFonts w:cs="Times New Roman"/>
        </w:rPr>
      </w:pPr>
      <w:r w:rsidRPr="00D95127">
        <w:rPr>
          <w:rFonts w:cs="Times New Roman"/>
        </w:rPr>
        <w:t xml:space="preserve">V sektoru ovoce a zeleniny je vzhledem k jejich citlivosti aplikována politika ovlivňující stabilitu příjmové situace podniků. </w:t>
      </w:r>
    </w:p>
    <w:p w14:paraId="1394E329" w14:textId="2B71A67C" w:rsidR="00A16DDB" w:rsidRPr="00D95127" w:rsidRDefault="00A16DDB" w:rsidP="00654DD7">
      <w:pPr>
        <w:pStyle w:val="UZEIGraf"/>
        <w:rPr>
          <w:rFonts w:cs="Times New Roman"/>
        </w:rPr>
      </w:pPr>
      <w:bookmarkStart w:id="64" w:name="_Toc81738778"/>
      <w:r w:rsidRPr="00D95127">
        <w:rPr>
          <w:rFonts w:cs="Times New Roman"/>
        </w:rPr>
        <w:t>Dotační tituly ovoce s velmi vysokou pracností za roky 2011 až 2020 (vážený průměr)</w:t>
      </w:r>
      <w:bookmarkEnd w:id="64"/>
    </w:p>
    <w:p w14:paraId="51DB49AD" w14:textId="77777777" w:rsidR="00A16DDB" w:rsidRPr="00D95127" w:rsidRDefault="00A16DDB" w:rsidP="00A16DDB">
      <w:pPr>
        <w:pStyle w:val="Titulek"/>
        <w:spacing w:after="0"/>
        <w:rPr>
          <w:noProof/>
          <w:szCs w:val="24"/>
        </w:rPr>
      </w:pPr>
      <w:r w:rsidRPr="00D95127">
        <w:rPr>
          <w:noProof/>
        </w:rPr>
        <w:drawing>
          <wp:inline distT="0" distB="0" distL="0" distR="0" wp14:anchorId="4F519CD5" wp14:editId="08FA7438">
            <wp:extent cx="5760720" cy="3232150"/>
            <wp:effectExtent l="0" t="0" r="0" b="635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720" cy="3232150"/>
                    </a:xfrm>
                    <a:prstGeom prst="rect">
                      <a:avLst/>
                    </a:prstGeom>
                    <a:noFill/>
                    <a:ln>
                      <a:noFill/>
                    </a:ln>
                  </pic:spPr>
                </pic:pic>
              </a:graphicData>
            </a:graphic>
          </wp:inline>
        </w:drawing>
      </w:r>
    </w:p>
    <w:p w14:paraId="64A64B03" w14:textId="77777777" w:rsidR="00A16DDB" w:rsidRPr="00D95127" w:rsidRDefault="00A16DDB" w:rsidP="00654DD7">
      <w:pPr>
        <w:pStyle w:val="UZEIZdroj"/>
      </w:pPr>
      <w:r w:rsidRPr="00D95127">
        <w:t>Pramen: ÚZEI</w:t>
      </w:r>
    </w:p>
    <w:p w14:paraId="5A9891C6" w14:textId="408CAC66" w:rsidR="00A16DDB" w:rsidRPr="00D95127" w:rsidRDefault="00A16DDB" w:rsidP="00654DD7">
      <w:pPr>
        <w:pStyle w:val="UZEINormaln"/>
        <w:rPr>
          <w:rFonts w:cs="Times New Roman"/>
        </w:rPr>
      </w:pPr>
      <w:r w:rsidRPr="00D95127">
        <w:rPr>
          <w:rFonts w:cs="Times New Roman"/>
        </w:rPr>
        <w:t>Od roku 2009 do roku 2014 byla největší dotační položkou u ovoce s velmi vysokou pracností podpora na integrovanou a ekologickou produkci. Ta byla významnou dotační položkou i v následujících letech, nicméně její hodnota v Kč/ha od roku 2015 klesá. Mezi další významné podpory za období 2009-2014 patří SAPS, jejíž sazba se od roku 2013 snižuje. Dotace VCS zavedené od roku 2015 výrazně navyšují objem financí v rámci dotační politiky, nicméně i v tomto případě sazba každoročně klesá. Vzhledem k výkyvům klimatu byla od roku 2016 také zavedena dotace na zmírnění škod způsobených mrazem. Téměř zanedbatelnou položkou je platba LFA – ovocné sady. Vzhledem k úbytku a stáří některých sadů a upřednostňování obilnin a olejnin na úrodné půdě, by případné navýšení sazby této podpory mohlo podpořit výsadbu nových sadů a pěstování ovoce v méně vhodných oblastech.</w:t>
      </w:r>
    </w:p>
    <w:p w14:paraId="6FBE93F4" w14:textId="7D3EDBBE" w:rsidR="00654DD7" w:rsidRPr="00D95127" w:rsidRDefault="00654DD7" w:rsidP="00654DD7">
      <w:pPr>
        <w:pStyle w:val="UZEINormaln"/>
        <w:rPr>
          <w:rFonts w:cs="Times New Roman"/>
        </w:rPr>
      </w:pPr>
    </w:p>
    <w:p w14:paraId="6F80FBA3" w14:textId="4242808B" w:rsidR="00654DD7" w:rsidRPr="00D95127" w:rsidRDefault="00654DD7" w:rsidP="00654DD7">
      <w:pPr>
        <w:pStyle w:val="UZEINormaln"/>
        <w:rPr>
          <w:rFonts w:cs="Times New Roman"/>
        </w:rPr>
      </w:pPr>
    </w:p>
    <w:p w14:paraId="0C4A36BB" w14:textId="16225C6F" w:rsidR="00654DD7" w:rsidRPr="00D95127" w:rsidRDefault="00654DD7" w:rsidP="00654DD7">
      <w:pPr>
        <w:pStyle w:val="UZEINormaln"/>
        <w:rPr>
          <w:rFonts w:cs="Times New Roman"/>
        </w:rPr>
      </w:pPr>
    </w:p>
    <w:p w14:paraId="3F40C027" w14:textId="321869FE" w:rsidR="00654DD7" w:rsidRPr="00D95127" w:rsidRDefault="00654DD7" w:rsidP="00654DD7">
      <w:pPr>
        <w:pStyle w:val="UZEINormaln"/>
        <w:rPr>
          <w:rFonts w:cs="Times New Roman"/>
        </w:rPr>
      </w:pPr>
    </w:p>
    <w:p w14:paraId="6DA6F63C" w14:textId="39414825" w:rsidR="00654DD7" w:rsidRPr="00D95127" w:rsidRDefault="00654DD7" w:rsidP="00654DD7">
      <w:pPr>
        <w:pStyle w:val="UZEINormaln"/>
        <w:rPr>
          <w:rFonts w:cs="Times New Roman"/>
        </w:rPr>
      </w:pPr>
    </w:p>
    <w:p w14:paraId="18798019" w14:textId="0833EB98" w:rsidR="00654DD7" w:rsidRPr="00D95127" w:rsidRDefault="00654DD7" w:rsidP="00654DD7">
      <w:pPr>
        <w:pStyle w:val="UZEINormaln"/>
        <w:rPr>
          <w:rFonts w:cs="Times New Roman"/>
        </w:rPr>
      </w:pPr>
    </w:p>
    <w:p w14:paraId="4AE1D5A6" w14:textId="54CE1A52" w:rsidR="00654DD7" w:rsidRPr="00D95127" w:rsidRDefault="00654DD7" w:rsidP="00654DD7">
      <w:pPr>
        <w:pStyle w:val="UZEINormaln"/>
        <w:rPr>
          <w:rFonts w:cs="Times New Roman"/>
        </w:rPr>
      </w:pPr>
    </w:p>
    <w:p w14:paraId="01D48D8A" w14:textId="5246A120" w:rsidR="00654DD7" w:rsidRPr="00D95127" w:rsidRDefault="00654DD7" w:rsidP="00654DD7">
      <w:pPr>
        <w:pStyle w:val="UZEINormaln"/>
        <w:rPr>
          <w:rFonts w:cs="Times New Roman"/>
        </w:rPr>
      </w:pPr>
    </w:p>
    <w:p w14:paraId="7AA03917" w14:textId="77777777" w:rsidR="00654DD7" w:rsidRPr="00D95127" w:rsidRDefault="00654DD7" w:rsidP="00654DD7">
      <w:pPr>
        <w:pStyle w:val="UZEINormaln"/>
        <w:rPr>
          <w:rFonts w:cs="Times New Roman"/>
        </w:rPr>
      </w:pPr>
    </w:p>
    <w:p w14:paraId="2A1D310C" w14:textId="708F3261" w:rsidR="00A16DDB" w:rsidRPr="00D95127" w:rsidRDefault="00A16DDB" w:rsidP="00654DD7">
      <w:pPr>
        <w:pStyle w:val="UZEIGraf"/>
        <w:rPr>
          <w:rFonts w:cs="Times New Roman"/>
        </w:rPr>
      </w:pPr>
      <w:bookmarkStart w:id="65" w:name="_Toc81738779"/>
      <w:r w:rsidRPr="00D95127">
        <w:rPr>
          <w:rFonts w:cs="Times New Roman"/>
        </w:rPr>
        <w:lastRenderedPageBreak/>
        <w:t>Dotační tituly ovoce s vysokou pracností za roky 2011 až 2020 (vážený průměr)</w:t>
      </w:r>
      <w:bookmarkEnd w:id="65"/>
    </w:p>
    <w:p w14:paraId="3CEF6437" w14:textId="77777777" w:rsidR="00A16DDB" w:rsidRPr="00D95127" w:rsidRDefault="00A16DDB" w:rsidP="00A16DDB">
      <w:pPr>
        <w:pStyle w:val="Titulek"/>
        <w:rPr>
          <w:noProof/>
          <w:szCs w:val="24"/>
        </w:rPr>
      </w:pPr>
      <w:r w:rsidRPr="00D95127">
        <w:rPr>
          <w:noProof/>
        </w:rPr>
        <w:drawing>
          <wp:inline distT="0" distB="0" distL="0" distR="0" wp14:anchorId="0B493DD9" wp14:editId="13D65579">
            <wp:extent cx="5760720" cy="3226435"/>
            <wp:effectExtent l="0" t="0" r="0" b="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0720" cy="3226435"/>
                    </a:xfrm>
                    <a:prstGeom prst="rect">
                      <a:avLst/>
                    </a:prstGeom>
                    <a:noFill/>
                    <a:ln>
                      <a:noFill/>
                    </a:ln>
                  </pic:spPr>
                </pic:pic>
              </a:graphicData>
            </a:graphic>
          </wp:inline>
        </w:drawing>
      </w:r>
    </w:p>
    <w:p w14:paraId="46E45710" w14:textId="77777777" w:rsidR="00A16DDB" w:rsidRPr="00D95127" w:rsidRDefault="00A16DDB" w:rsidP="00654DD7">
      <w:pPr>
        <w:pStyle w:val="UZEIZdroj"/>
      </w:pPr>
      <w:r w:rsidRPr="00D95127">
        <w:t>Pramen: ÚZEI</w:t>
      </w:r>
    </w:p>
    <w:p w14:paraId="40ECECC9" w14:textId="77777777" w:rsidR="00A16DDB" w:rsidRPr="00D95127" w:rsidRDefault="00A16DDB" w:rsidP="00654DD7">
      <w:pPr>
        <w:pStyle w:val="UZEINormaln"/>
        <w:rPr>
          <w:rFonts w:cs="Times New Roman"/>
        </w:rPr>
      </w:pPr>
      <w:r w:rsidRPr="00D95127">
        <w:rPr>
          <w:rFonts w:cs="Times New Roman"/>
        </w:rPr>
        <w:t>U ovoce s vysokou pracností patřila v období od roku 2009 do roku 2014 mezi nejdůležitější podpory rovněž integrovaná a ekologická produkce. Sazba této podpory dosáhla svého maxima v roce 2015. Od roku 2015 byly zavedeny podpory VCS, které navýšily finanční objem dotací. Zároveň však došlo k výraznému snížení sazby dotace SAPS. V letech 2016 a 2017 byly kvůli klimatickým výkyvům zavedeny podpory na zmírnění škod způsobených jarním mrazem.</w:t>
      </w:r>
    </w:p>
    <w:p w14:paraId="5C44AB0B" w14:textId="77777777" w:rsidR="00A16DDB" w:rsidRPr="00D95127" w:rsidRDefault="00A16DDB" w:rsidP="00654DD7">
      <w:pPr>
        <w:pStyle w:val="UZEINormaln"/>
        <w:rPr>
          <w:rFonts w:cs="Times New Roman"/>
          <w:b/>
        </w:rPr>
      </w:pPr>
      <w:bookmarkStart w:id="66" w:name="_Hlk23401702"/>
      <w:r w:rsidRPr="00D95127">
        <w:rPr>
          <w:rFonts w:cs="Times New Roman"/>
        </w:rPr>
        <w:t>Přes významnou provozní podporu se plocha ovocných sadů v průběhu posledních let dle údajů neustále snižuje. Důvodem poklesu je pravděpodobně stáří stromů a vysoká finanční nákladnost obhospodařování sadů. Strategického cíle pro rok 2025 i pro rok 2030 tak nejspíš nebude dosaženo.</w:t>
      </w:r>
    </w:p>
    <w:p w14:paraId="51629E89" w14:textId="1DF7C707" w:rsidR="00A16DDB" w:rsidRPr="00D95127" w:rsidRDefault="00A16DDB" w:rsidP="00654DD7">
      <w:pPr>
        <w:pStyle w:val="UZEINormaln"/>
        <w:rPr>
          <w:rFonts w:cs="Times New Roman"/>
        </w:rPr>
      </w:pPr>
      <w:r w:rsidRPr="00D95127">
        <w:rPr>
          <w:rFonts w:cs="Times New Roman"/>
        </w:rPr>
        <w:t>U zeleniny s velmi vysokou pracností patří mezi nejvýznamnější podpory integrovaná a ekologická produkce, přičemž nejvyšší sazby dosahovala v roce 2018. Dotací s druhou nejvyšší sazbou je od roku 2015 podpora VCS. Třetí nejvyšší sazbu má podpora SAPS. V roce 2016 a 2018 zelináři čerpali ještě mimořádnou podporu na škody způsobené suchem, která v grafu 4 není uvedena.</w:t>
      </w:r>
    </w:p>
    <w:p w14:paraId="459B1955" w14:textId="16FC2E83" w:rsidR="002E65B3" w:rsidRPr="00D95127" w:rsidRDefault="002E65B3" w:rsidP="00654DD7">
      <w:pPr>
        <w:pStyle w:val="UZEINormaln"/>
        <w:rPr>
          <w:rFonts w:cs="Times New Roman"/>
        </w:rPr>
      </w:pPr>
    </w:p>
    <w:p w14:paraId="6391060B" w14:textId="26B1BD59" w:rsidR="002E65B3" w:rsidRPr="00D95127" w:rsidRDefault="002E65B3" w:rsidP="00654DD7">
      <w:pPr>
        <w:pStyle w:val="UZEINormaln"/>
        <w:rPr>
          <w:rFonts w:cs="Times New Roman"/>
        </w:rPr>
      </w:pPr>
    </w:p>
    <w:p w14:paraId="0BB9D0DC" w14:textId="63A6131A" w:rsidR="002E65B3" w:rsidRPr="00D95127" w:rsidRDefault="002E65B3" w:rsidP="00654DD7">
      <w:pPr>
        <w:pStyle w:val="UZEINormaln"/>
        <w:rPr>
          <w:rFonts w:cs="Times New Roman"/>
        </w:rPr>
      </w:pPr>
    </w:p>
    <w:p w14:paraId="7537AD66" w14:textId="4DAC263C" w:rsidR="002E65B3" w:rsidRPr="00D95127" w:rsidRDefault="002E65B3" w:rsidP="00654DD7">
      <w:pPr>
        <w:pStyle w:val="UZEINormaln"/>
        <w:rPr>
          <w:rFonts w:cs="Times New Roman"/>
        </w:rPr>
      </w:pPr>
    </w:p>
    <w:p w14:paraId="6043A51C" w14:textId="23299E5E" w:rsidR="002E65B3" w:rsidRPr="00D95127" w:rsidRDefault="002E65B3" w:rsidP="00654DD7">
      <w:pPr>
        <w:pStyle w:val="UZEINormaln"/>
        <w:rPr>
          <w:rFonts w:cs="Times New Roman"/>
        </w:rPr>
      </w:pPr>
    </w:p>
    <w:p w14:paraId="0EAD3A31" w14:textId="7EAC5650" w:rsidR="002E65B3" w:rsidRPr="00D95127" w:rsidRDefault="002E65B3" w:rsidP="00654DD7">
      <w:pPr>
        <w:pStyle w:val="UZEINormaln"/>
        <w:rPr>
          <w:rFonts w:cs="Times New Roman"/>
        </w:rPr>
      </w:pPr>
    </w:p>
    <w:p w14:paraId="34782F5A" w14:textId="4779B3B1" w:rsidR="002E65B3" w:rsidRPr="00D95127" w:rsidRDefault="002E65B3" w:rsidP="00654DD7">
      <w:pPr>
        <w:pStyle w:val="UZEINormaln"/>
        <w:rPr>
          <w:rFonts w:cs="Times New Roman"/>
        </w:rPr>
      </w:pPr>
    </w:p>
    <w:p w14:paraId="22EF608C" w14:textId="1DDECD76" w:rsidR="002E65B3" w:rsidRPr="00D95127" w:rsidRDefault="002E65B3" w:rsidP="00654DD7">
      <w:pPr>
        <w:pStyle w:val="UZEINormaln"/>
        <w:rPr>
          <w:rFonts w:cs="Times New Roman"/>
        </w:rPr>
      </w:pPr>
    </w:p>
    <w:p w14:paraId="077CF69F" w14:textId="21044E21" w:rsidR="002E65B3" w:rsidRPr="00D95127" w:rsidRDefault="002E65B3" w:rsidP="00654DD7">
      <w:pPr>
        <w:pStyle w:val="UZEINormaln"/>
        <w:rPr>
          <w:rFonts w:cs="Times New Roman"/>
        </w:rPr>
      </w:pPr>
    </w:p>
    <w:p w14:paraId="3D3603DB" w14:textId="77777777" w:rsidR="002E65B3" w:rsidRPr="00D95127" w:rsidRDefault="002E65B3" w:rsidP="00654DD7">
      <w:pPr>
        <w:pStyle w:val="UZEINormaln"/>
        <w:rPr>
          <w:rFonts w:cs="Times New Roman"/>
        </w:rPr>
      </w:pPr>
    </w:p>
    <w:p w14:paraId="4F68C9EE" w14:textId="020BE90A" w:rsidR="00A16DDB" w:rsidRPr="00D95127" w:rsidRDefault="00A16DDB" w:rsidP="002E65B3">
      <w:pPr>
        <w:pStyle w:val="UZEIGraf"/>
        <w:rPr>
          <w:rFonts w:cs="Times New Roman"/>
        </w:rPr>
      </w:pPr>
      <w:bookmarkStart w:id="67" w:name="_Toc81738780"/>
      <w:bookmarkStart w:id="68" w:name="_Hlk23401790"/>
      <w:bookmarkEnd w:id="66"/>
      <w:r w:rsidRPr="00D95127">
        <w:rPr>
          <w:rFonts w:cs="Times New Roman"/>
        </w:rPr>
        <w:lastRenderedPageBreak/>
        <w:t>Dotační tituly zeleniny s velmi vysokou pracností za roky 2011 až 2020 (vážený průměr)</w:t>
      </w:r>
      <w:bookmarkEnd w:id="67"/>
    </w:p>
    <w:bookmarkEnd w:id="68"/>
    <w:p w14:paraId="02179957" w14:textId="77777777" w:rsidR="00A16DDB" w:rsidRPr="00D95127" w:rsidRDefault="00A16DDB" w:rsidP="00A16DDB">
      <w:pPr>
        <w:spacing w:line="240" w:lineRule="atLeast"/>
        <w:contextualSpacing/>
        <w:rPr>
          <w:rFonts w:cs="Times New Roman"/>
          <w:i/>
          <w:szCs w:val="24"/>
          <w:lang w:val="cs-CZ"/>
        </w:rPr>
      </w:pPr>
      <w:r w:rsidRPr="00D95127">
        <w:rPr>
          <w:rFonts w:cs="Times New Roman"/>
          <w:noProof/>
          <w:lang w:val="cs-CZ"/>
        </w:rPr>
        <w:drawing>
          <wp:inline distT="0" distB="0" distL="0" distR="0" wp14:anchorId="2099B9CF" wp14:editId="4479EC2D">
            <wp:extent cx="5760720" cy="3230880"/>
            <wp:effectExtent l="0" t="0" r="0" b="762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0720" cy="3230880"/>
                    </a:xfrm>
                    <a:prstGeom prst="rect">
                      <a:avLst/>
                    </a:prstGeom>
                    <a:noFill/>
                    <a:ln>
                      <a:noFill/>
                    </a:ln>
                  </pic:spPr>
                </pic:pic>
              </a:graphicData>
            </a:graphic>
          </wp:inline>
        </w:drawing>
      </w:r>
    </w:p>
    <w:p w14:paraId="7AFCB7EF" w14:textId="7BA06BC4" w:rsidR="00A16DDB" w:rsidRPr="00D95127" w:rsidRDefault="00A16DDB" w:rsidP="002E65B3">
      <w:pPr>
        <w:pStyle w:val="UZEIZdroj"/>
        <w:rPr>
          <w:lang w:eastAsia="cs-CZ"/>
        </w:rPr>
      </w:pPr>
      <w:r w:rsidRPr="00D95127">
        <w:t>Pramen: ÚZEI</w:t>
      </w:r>
    </w:p>
    <w:p w14:paraId="4C293480" w14:textId="77777777" w:rsidR="00A16DDB" w:rsidRPr="00D95127" w:rsidRDefault="00A16DDB" w:rsidP="002E65B3">
      <w:pPr>
        <w:pStyle w:val="UZEINormaln"/>
        <w:rPr>
          <w:rFonts w:cs="Times New Roman"/>
        </w:rPr>
      </w:pPr>
      <w:r w:rsidRPr="00D95127">
        <w:rPr>
          <w:rFonts w:cs="Times New Roman"/>
        </w:rPr>
        <w:t>Pro zeleninu s vysokou pracností je nejvyšší sazba rovněž pro integrovanou a ekologickou produkci. I v tomto případě byl značně navýšen finanční obnos dotací zavedením podpor VCS od roku 2015. A také v tomto případě čerpali v roce 2016 a 2018 zelináři podporu na škody způsobené suchem.</w:t>
      </w:r>
    </w:p>
    <w:p w14:paraId="63CFE2E5" w14:textId="5E47C9FC" w:rsidR="00A16DDB" w:rsidRPr="00D95127" w:rsidRDefault="00A16DDB" w:rsidP="002E65B3">
      <w:pPr>
        <w:pStyle w:val="UZEIGraf"/>
        <w:rPr>
          <w:rFonts w:cs="Times New Roman"/>
        </w:rPr>
      </w:pPr>
      <w:bookmarkStart w:id="69" w:name="_Toc81738781"/>
      <w:r w:rsidRPr="00D95127">
        <w:rPr>
          <w:rFonts w:cs="Times New Roman"/>
        </w:rPr>
        <w:t>Dotační tituly zeleniny s vysokou pracností za roky 2011 až 2020 (vážený průměr)</w:t>
      </w:r>
      <w:bookmarkEnd w:id="69"/>
    </w:p>
    <w:p w14:paraId="39406793" w14:textId="77777777" w:rsidR="00A16DDB" w:rsidRPr="00D95127" w:rsidRDefault="00A16DDB" w:rsidP="00A16DDB">
      <w:pPr>
        <w:pStyle w:val="Odstavecseseznamem"/>
        <w:ind w:left="0"/>
        <w:rPr>
          <w:noProof/>
        </w:rPr>
      </w:pPr>
      <w:r w:rsidRPr="00D95127">
        <w:rPr>
          <w:noProof/>
        </w:rPr>
        <w:drawing>
          <wp:inline distT="0" distB="0" distL="0" distR="0" wp14:anchorId="14665A1C" wp14:editId="359B9CE5">
            <wp:extent cx="5760720" cy="3216275"/>
            <wp:effectExtent l="0" t="0" r="0" b="317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0720" cy="3216275"/>
                    </a:xfrm>
                    <a:prstGeom prst="rect">
                      <a:avLst/>
                    </a:prstGeom>
                    <a:noFill/>
                    <a:ln>
                      <a:noFill/>
                    </a:ln>
                  </pic:spPr>
                </pic:pic>
              </a:graphicData>
            </a:graphic>
          </wp:inline>
        </w:drawing>
      </w:r>
    </w:p>
    <w:p w14:paraId="76D239F5" w14:textId="77777777" w:rsidR="00A16DDB" w:rsidRPr="00D95127" w:rsidRDefault="00A16DDB" w:rsidP="002E65B3">
      <w:pPr>
        <w:pStyle w:val="UZEIZdroj"/>
      </w:pPr>
      <w:r w:rsidRPr="00D95127">
        <w:t>Pramen: ÚZEI</w:t>
      </w:r>
    </w:p>
    <w:p w14:paraId="7A0657BF" w14:textId="7F36BB39" w:rsidR="00A16DDB" w:rsidRPr="00D95127" w:rsidRDefault="00A16DDB" w:rsidP="002E65B3">
      <w:pPr>
        <w:pStyle w:val="UZEINormaln"/>
        <w:rPr>
          <w:rFonts w:cs="Times New Roman"/>
        </w:rPr>
      </w:pPr>
      <w:r w:rsidRPr="00D95127">
        <w:rPr>
          <w:rFonts w:cs="Times New Roman"/>
        </w:rPr>
        <w:t xml:space="preserve">Výměra pěstební plochy zeleniny se ve sledovaném období mírně zvyšovala (ČSÚ přidala do sledování červenou řepu, papriku, špenát). Produkce v jednotlivých letech kolísala s ohledem na vývoj počasí v ČR a Evropě. Rok 2020 byl pak mimořádný vzhledem k situaci okolo šíření viru COVID-19. Z dosavadního vývoje je možné konstatovat, že výměra pěstební plochy </w:t>
      </w:r>
      <w:r w:rsidRPr="00D95127">
        <w:rPr>
          <w:rFonts w:cs="Times New Roman"/>
        </w:rPr>
        <w:lastRenderedPageBreak/>
        <w:t>zeleniny se nepatrně navyšuje a při příznivých klimatických podmínkách a poptávce spotřebitelů po čerstvé lokální produkci by mohla plocha a produkce mírněji vzrůst. Je možné však předpokládat, že cíl Strategie v roce 2030 nebude naplněn. Pravděpodobně je důležité udržet míru stávajících podpor, protože i v současné době se přes podpory nedaří výrazněji zvyšovat zájem zemědělců pěstovat zeleninu.</w:t>
      </w:r>
    </w:p>
    <w:p w14:paraId="60614261" w14:textId="77777777" w:rsidR="00A16DDB" w:rsidRPr="00D95127" w:rsidRDefault="00A16DDB" w:rsidP="002E65B3">
      <w:pPr>
        <w:pStyle w:val="UZEINormaln"/>
        <w:rPr>
          <w:rFonts w:cs="Times New Roman"/>
        </w:rPr>
      </w:pPr>
      <w:r w:rsidRPr="00D95127">
        <w:rPr>
          <w:rFonts w:cs="Times New Roman"/>
        </w:rPr>
        <w:t>Investiční deficit ovšem přetrvává i u skladovacích kapacit. Projekty v rámci opatření M121 – Modernizace zemědělských podniků v rámci PRV 2007-2013 k zajištění uskladňovacích kapacit produktů rostlinné výroby pomohly financovat výstavbu nebo rekonstrukci skladů brambor a zeleniny o kapacitě 333 tis. m</w:t>
      </w:r>
      <w:r w:rsidRPr="00D95127">
        <w:rPr>
          <w:rFonts w:cs="Times New Roman"/>
          <w:vertAlign w:val="superscript"/>
        </w:rPr>
        <w:t xml:space="preserve">3 </w:t>
      </w:r>
      <w:r w:rsidRPr="00D95127">
        <w:rPr>
          <w:rFonts w:cs="Times New Roman"/>
        </w:rPr>
        <w:t>a sklady ovoce cca 230 tis. m</w:t>
      </w:r>
      <w:r w:rsidRPr="00D95127">
        <w:rPr>
          <w:rFonts w:cs="Times New Roman"/>
          <w:vertAlign w:val="superscript"/>
        </w:rPr>
        <w:t>3</w:t>
      </w:r>
      <w:r w:rsidRPr="00D95127">
        <w:rPr>
          <w:rFonts w:cs="Times New Roman"/>
        </w:rPr>
        <w:t xml:space="preserve">. Současně využívané sklady vyžadují technologie, jako jsou dynamické ULO, ozonizace, smartfresh, atd. Potřebný rozsah obnovy skladů je odhadován na přibližně 30 % skladů u ovoce a 35 % u zeleniny. Projekty zaměřené do rostlinné výroby přispěly k obnově nebo nové výstavbě protikroupových sítí na ploše o výměře 472,4 ha, zainvestováno bylo do obnovy a údržby ovocných sadů o výměře 169,4 ha, </w:t>
      </w:r>
      <w:r w:rsidRPr="00D95127">
        <w:rPr>
          <w:rFonts w:cs="Times New Roman"/>
          <w:color w:val="000000"/>
        </w:rPr>
        <w:t>opěrné konstrukce stromů v ovocných sadech na více než 932 hektarech</w:t>
      </w:r>
      <w:r w:rsidRPr="00D95127">
        <w:rPr>
          <w:rFonts w:cs="Times New Roman"/>
        </w:rPr>
        <w:t>, vybudovány byly fóliovníky pro pěstování zeleniny a bobulovin na ploše 35,8 hektarů.</w:t>
      </w:r>
    </w:p>
    <w:p w14:paraId="0E3C7728" w14:textId="77777777" w:rsidR="00A16DDB" w:rsidRPr="00D95127" w:rsidRDefault="00A16DDB" w:rsidP="002E65B3">
      <w:pPr>
        <w:pStyle w:val="UZEINormaln"/>
        <w:rPr>
          <w:rFonts w:cs="Times New Roman"/>
        </w:rPr>
      </w:pPr>
      <w:r w:rsidRPr="00D95127">
        <w:rPr>
          <w:rFonts w:cs="Times New Roman"/>
        </w:rPr>
        <w:t xml:space="preserve">V rámci PRV 2014-2020 byly ke konci roku 2018 podpořeny </w:t>
      </w:r>
      <w:r w:rsidRPr="00D95127">
        <w:rPr>
          <w:rFonts w:cs="Times New Roman"/>
          <w:color w:val="000000"/>
        </w:rPr>
        <w:t>opěrné konstrukce stromů v ovocných sadech na více než 339 hektarech, protikroupové a protideštové systémy v sadech na výměře 176 ha. Nově postaveny nebo rekonstruovány byly v rámci projektů sklady brambor a zeleniny o kapacitě 152 tis. m</w:t>
      </w:r>
      <w:r w:rsidRPr="00D95127">
        <w:rPr>
          <w:rFonts w:cs="Times New Roman"/>
          <w:color w:val="000000"/>
          <w:vertAlign w:val="superscript"/>
        </w:rPr>
        <w:t>3</w:t>
      </w:r>
      <w:r w:rsidRPr="00D95127">
        <w:rPr>
          <w:rFonts w:cs="Times New Roman"/>
          <w:color w:val="000000"/>
        </w:rPr>
        <w:t xml:space="preserve"> a sklady ovoce cca 87 tis. m</w:t>
      </w:r>
      <w:r w:rsidRPr="00D95127">
        <w:rPr>
          <w:rFonts w:cs="Times New Roman"/>
          <w:color w:val="000000"/>
          <w:vertAlign w:val="superscript"/>
        </w:rPr>
        <w:t>3</w:t>
      </w:r>
      <w:r w:rsidRPr="00D95127">
        <w:rPr>
          <w:rFonts w:cs="Times New Roman"/>
          <w:color w:val="000000"/>
        </w:rPr>
        <w:t>. Dále byly vybudovány fóliovníky či skleníky pro pěstování zeleniny a bobulovin na ploše 26,5 hektarů.</w:t>
      </w:r>
      <w:r w:rsidRPr="00D95127">
        <w:rPr>
          <w:rFonts w:cs="Times New Roman"/>
        </w:rPr>
        <w:t xml:space="preserve"> </w:t>
      </w:r>
    </w:p>
    <w:p w14:paraId="40B3ECEF" w14:textId="403ACEA1" w:rsidR="00A16DDB" w:rsidRPr="00D95127" w:rsidRDefault="00A16DDB" w:rsidP="002E65B3">
      <w:pPr>
        <w:pStyle w:val="UZEITaB"/>
        <w:rPr>
          <w:rFonts w:cs="Times New Roman"/>
        </w:rPr>
      </w:pPr>
      <w:bookmarkStart w:id="70" w:name="_Toc81738435"/>
      <w:r w:rsidRPr="00D95127">
        <w:rPr>
          <w:rFonts w:cs="Times New Roman"/>
        </w:rPr>
        <w:t>Přehled čerpání podpor v rámci EAFRD v období 2007 – 2015 v rámci Opatření – Modernizace zemědělských podniků</w:t>
      </w:r>
      <w:bookmarkEnd w:id="70"/>
    </w:p>
    <w:tbl>
      <w:tblPr>
        <w:tblW w:w="4935" w:type="pct"/>
        <w:tblCellMar>
          <w:left w:w="70" w:type="dxa"/>
          <w:right w:w="70" w:type="dxa"/>
        </w:tblCellMar>
        <w:tblLook w:val="04A0" w:firstRow="1" w:lastRow="0" w:firstColumn="1" w:lastColumn="0" w:noHBand="0" w:noVBand="1"/>
      </w:tblPr>
      <w:tblGrid>
        <w:gridCol w:w="622"/>
        <w:gridCol w:w="5598"/>
        <w:gridCol w:w="2689"/>
      </w:tblGrid>
      <w:tr w:rsidR="00A16DDB" w:rsidRPr="00D95127" w14:paraId="36F194F3" w14:textId="77777777" w:rsidTr="007A627A">
        <w:trPr>
          <w:trHeight w:val="330"/>
        </w:trPr>
        <w:tc>
          <w:tcPr>
            <w:tcW w:w="349" w:type="pct"/>
            <w:tcBorders>
              <w:top w:val="double" w:sz="6" w:space="0" w:color="auto"/>
              <w:left w:val="double" w:sz="6" w:space="0" w:color="auto"/>
              <w:bottom w:val="single" w:sz="8" w:space="0" w:color="auto"/>
              <w:right w:val="single" w:sz="8" w:space="0" w:color="auto"/>
            </w:tcBorders>
            <w:shd w:val="clear" w:color="auto" w:fill="auto"/>
            <w:noWrap/>
            <w:vAlign w:val="bottom"/>
            <w:hideMark/>
          </w:tcPr>
          <w:p w14:paraId="51955787" w14:textId="77777777" w:rsidR="00A16DDB" w:rsidRPr="00D95127" w:rsidRDefault="00A16DDB" w:rsidP="002E65B3">
            <w:pPr>
              <w:keepNext/>
              <w:jc w:val="center"/>
              <w:rPr>
                <w:rFonts w:cs="Times New Roman"/>
                <w:b/>
                <w:color w:val="000000"/>
                <w:sz w:val="20"/>
                <w:szCs w:val="20"/>
                <w:lang w:val="cs-CZ"/>
              </w:rPr>
            </w:pPr>
            <w:r w:rsidRPr="00D95127">
              <w:rPr>
                <w:rFonts w:cs="Times New Roman"/>
                <w:b/>
                <w:color w:val="000000"/>
                <w:sz w:val="20"/>
                <w:szCs w:val="20"/>
                <w:lang w:val="cs-CZ"/>
              </w:rPr>
              <w:t>Rok</w:t>
            </w:r>
          </w:p>
        </w:tc>
        <w:tc>
          <w:tcPr>
            <w:tcW w:w="3142" w:type="pct"/>
            <w:tcBorders>
              <w:top w:val="double" w:sz="6" w:space="0" w:color="auto"/>
              <w:left w:val="nil"/>
              <w:bottom w:val="single" w:sz="8" w:space="0" w:color="auto"/>
              <w:right w:val="nil"/>
            </w:tcBorders>
            <w:shd w:val="clear" w:color="auto" w:fill="auto"/>
            <w:noWrap/>
            <w:vAlign w:val="bottom"/>
            <w:hideMark/>
          </w:tcPr>
          <w:p w14:paraId="694BB38D" w14:textId="77777777" w:rsidR="00A16DDB" w:rsidRPr="00D95127" w:rsidRDefault="00A16DDB" w:rsidP="002E65B3">
            <w:pPr>
              <w:keepNext/>
              <w:jc w:val="center"/>
              <w:rPr>
                <w:rFonts w:cs="Times New Roman"/>
                <w:b/>
                <w:color w:val="000000"/>
                <w:sz w:val="20"/>
                <w:szCs w:val="20"/>
                <w:lang w:val="cs-CZ"/>
              </w:rPr>
            </w:pPr>
            <w:r w:rsidRPr="00D95127">
              <w:rPr>
                <w:rFonts w:cs="Times New Roman"/>
                <w:b/>
                <w:color w:val="000000"/>
                <w:sz w:val="20"/>
                <w:szCs w:val="20"/>
                <w:lang w:val="cs-CZ"/>
              </w:rPr>
              <w:t>Počet schválených žádostí</w:t>
            </w:r>
          </w:p>
        </w:tc>
        <w:tc>
          <w:tcPr>
            <w:tcW w:w="1510" w:type="pct"/>
            <w:tcBorders>
              <w:top w:val="double" w:sz="6" w:space="0" w:color="auto"/>
              <w:left w:val="single" w:sz="8" w:space="0" w:color="auto"/>
              <w:bottom w:val="single" w:sz="8" w:space="0" w:color="auto"/>
              <w:right w:val="double" w:sz="6" w:space="0" w:color="auto"/>
            </w:tcBorders>
            <w:shd w:val="clear" w:color="auto" w:fill="auto"/>
            <w:noWrap/>
            <w:vAlign w:val="bottom"/>
            <w:hideMark/>
          </w:tcPr>
          <w:p w14:paraId="18341C70" w14:textId="2B15DEA4" w:rsidR="00A16DDB" w:rsidRPr="00D95127" w:rsidRDefault="00A16DDB" w:rsidP="002E65B3">
            <w:pPr>
              <w:keepNext/>
              <w:jc w:val="center"/>
              <w:rPr>
                <w:rFonts w:cs="Times New Roman"/>
                <w:b/>
                <w:color w:val="000000"/>
                <w:sz w:val="20"/>
                <w:szCs w:val="20"/>
                <w:lang w:val="cs-CZ"/>
              </w:rPr>
            </w:pPr>
            <w:r w:rsidRPr="00D95127">
              <w:rPr>
                <w:rFonts w:cs="Times New Roman"/>
                <w:b/>
                <w:color w:val="000000"/>
                <w:sz w:val="20"/>
                <w:szCs w:val="20"/>
                <w:lang w:val="cs-CZ"/>
              </w:rPr>
              <w:t>Výše proplacených</w:t>
            </w:r>
          </w:p>
          <w:p w14:paraId="2233C3F7" w14:textId="77777777" w:rsidR="00A16DDB" w:rsidRPr="00D95127" w:rsidRDefault="00A16DDB" w:rsidP="002E65B3">
            <w:pPr>
              <w:keepNext/>
              <w:jc w:val="center"/>
              <w:rPr>
                <w:rFonts w:cs="Times New Roman"/>
                <w:b/>
                <w:color w:val="000000"/>
                <w:sz w:val="20"/>
                <w:szCs w:val="20"/>
                <w:lang w:val="cs-CZ"/>
              </w:rPr>
            </w:pPr>
            <w:r w:rsidRPr="00D95127">
              <w:rPr>
                <w:rFonts w:cs="Times New Roman"/>
                <w:b/>
                <w:color w:val="000000"/>
                <w:sz w:val="20"/>
                <w:szCs w:val="20"/>
                <w:lang w:val="cs-CZ"/>
              </w:rPr>
              <w:t>fin. prostředků</w:t>
            </w:r>
          </w:p>
        </w:tc>
      </w:tr>
      <w:tr w:rsidR="00A16DDB" w:rsidRPr="00D95127" w14:paraId="596F520C" w14:textId="77777777" w:rsidTr="007A627A">
        <w:trPr>
          <w:trHeight w:val="300"/>
        </w:trPr>
        <w:tc>
          <w:tcPr>
            <w:tcW w:w="349" w:type="pct"/>
            <w:tcBorders>
              <w:top w:val="nil"/>
              <w:left w:val="double" w:sz="6" w:space="0" w:color="auto"/>
              <w:bottom w:val="single" w:sz="4" w:space="0" w:color="auto"/>
              <w:right w:val="single" w:sz="8" w:space="0" w:color="auto"/>
            </w:tcBorders>
            <w:shd w:val="clear" w:color="auto" w:fill="auto"/>
            <w:noWrap/>
            <w:vAlign w:val="bottom"/>
            <w:hideMark/>
          </w:tcPr>
          <w:p w14:paraId="6CEC0D49" w14:textId="77777777" w:rsidR="00A16DDB" w:rsidRPr="00D95127" w:rsidRDefault="00A16DDB" w:rsidP="007A627A">
            <w:pPr>
              <w:keepNext/>
              <w:rPr>
                <w:rFonts w:cs="Times New Roman"/>
                <w:b/>
                <w:color w:val="000000"/>
                <w:sz w:val="20"/>
                <w:szCs w:val="20"/>
                <w:lang w:val="cs-CZ"/>
              </w:rPr>
            </w:pPr>
            <w:r w:rsidRPr="00D95127">
              <w:rPr>
                <w:rFonts w:cs="Times New Roman"/>
                <w:b/>
                <w:color w:val="000000"/>
                <w:sz w:val="20"/>
                <w:szCs w:val="20"/>
                <w:lang w:val="cs-CZ"/>
              </w:rPr>
              <w:t>2008</w:t>
            </w:r>
          </w:p>
        </w:tc>
        <w:tc>
          <w:tcPr>
            <w:tcW w:w="3142" w:type="pct"/>
            <w:tcBorders>
              <w:top w:val="nil"/>
              <w:left w:val="nil"/>
              <w:bottom w:val="single" w:sz="4" w:space="0" w:color="auto"/>
              <w:right w:val="nil"/>
            </w:tcBorders>
            <w:shd w:val="clear" w:color="auto" w:fill="auto"/>
            <w:noWrap/>
            <w:vAlign w:val="bottom"/>
            <w:hideMark/>
          </w:tcPr>
          <w:p w14:paraId="36C68FA6" w14:textId="77777777" w:rsidR="00A16DDB" w:rsidRPr="00D95127" w:rsidRDefault="00A16DDB" w:rsidP="007A627A">
            <w:pPr>
              <w:keepNext/>
              <w:rPr>
                <w:rFonts w:cs="Times New Roman"/>
                <w:color w:val="000000"/>
                <w:sz w:val="20"/>
                <w:szCs w:val="20"/>
                <w:lang w:val="cs-CZ"/>
              </w:rPr>
            </w:pPr>
            <w:r w:rsidRPr="00D95127">
              <w:rPr>
                <w:rFonts w:cs="Times New Roman"/>
                <w:color w:val="000000"/>
                <w:sz w:val="20"/>
                <w:szCs w:val="20"/>
                <w:lang w:val="cs-CZ"/>
              </w:rPr>
              <w:t>55</w:t>
            </w:r>
          </w:p>
        </w:tc>
        <w:tc>
          <w:tcPr>
            <w:tcW w:w="1510" w:type="pct"/>
            <w:tcBorders>
              <w:top w:val="nil"/>
              <w:left w:val="single" w:sz="8" w:space="0" w:color="auto"/>
              <w:bottom w:val="single" w:sz="4" w:space="0" w:color="auto"/>
              <w:right w:val="double" w:sz="6" w:space="0" w:color="auto"/>
            </w:tcBorders>
            <w:shd w:val="clear" w:color="auto" w:fill="auto"/>
            <w:noWrap/>
            <w:vAlign w:val="bottom"/>
            <w:hideMark/>
          </w:tcPr>
          <w:p w14:paraId="7A819CF5"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120,3 mil. Kč</w:t>
            </w:r>
          </w:p>
        </w:tc>
      </w:tr>
      <w:tr w:rsidR="00A16DDB" w:rsidRPr="00D95127" w14:paraId="070698E0" w14:textId="77777777" w:rsidTr="007A627A">
        <w:trPr>
          <w:trHeight w:val="300"/>
        </w:trPr>
        <w:tc>
          <w:tcPr>
            <w:tcW w:w="349" w:type="pct"/>
            <w:vMerge w:val="restart"/>
            <w:tcBorders>
              <w:top w:val="nil"/>
              <w:left w:val="double" w:sz="6" w:space="0" w:color="auto"/>
              <w:bottom w:val="single" w:sz="4" w:space="0" w:color="auto"/>
              <w:right w:val="single" w:sz="8" w:space="0" w:color="auto"/>
            </w:tcBorders>
            <w:shd w:val="clear" w:color="auto" w:fill="auto"/>
            <w:noWrap/>
            <w:vAlign w:val="center"/>
            <w:hideMark/>
          </w:tcPr>
          <w:p w14:paraId="1EAB77B2" w14:textId="77777777" w:rsidR="00A16DDB" w:rsidRPr="00D95127" w:rsidRDefault="00A16DDB" w:rsidP="007A627A">
            <w:pPr>
              <w:keepNext/>
              <w:rPr>
                <w:rFonts w:cs="Times New Roman"/>
                <w:b/>
                <w:color w:val="000000"/>
                <w:sz w:val="20"/>
                <w:szCs w:val="20"/>
                <w:lang w:val="cs-CZ"/>
              </w:rPr>
            </w:pPr>
            <w:r w:rsidRPr="00D95127">
              <w:rPr>
                <w:rFonts w:cs="Times New Roman"/>
                <w:b/>
                <w:color w:val="000000"/>
                <w:sz w:val="20"/>
                <w:szCs w:val="20"/>
                <w:lang w:val="cs-CZ"/>
              </w:rPr>
              <w:t>2009</w:t>
            </w:r>
          </w:p>
        </w:tc>
        <w:tc>
          <w:tcPr>
            <w:tcW w:w="3142" w:type="pct"/>
            <w:tcBorders>
              <w:top w:val="nil"/>
              <w:left w:val="nil"/>
              <w:bottom w:val="single" w:sz="4" w:space="0" w:color="auto"/>
              <w:right w:val="nil"/>
            </w:tcBorders>
            <w:shd w:val="clear" w:color="auto" w:fill="auto"/>
            <w:vAlign w:val="bottom"/>
            <w:hideMark/>
          </w:tcPr>
          <w:p w14:paraId="331B9945" w14:textId="77777777" w:rsidR="00A16DDB" w:rsidRPr="00D95127" w:rsidRDefault="00A16DDB" w:rsidP="007A627A">
            <w:pPr>
              <w:keepNext/>
              <w:rPr>
                <w:rFonts w:cs="Times New Roman"/>
                <w:color w:val="000000"/>
                <w:sz w:val="20"/>
                <w:szCs w:val="20"/>
                <w:lang w:val="cs-CZ"/>
              </w:rPr>
            </w:pPr>
            <w:r w:rsidRPr="00D95127">
              <w:rPr>
                <w:rFonts w:cs="Times New Roman"/>
                <w:color w:val="000000"/>
                <w:sz w:val="20"/>
                <w:szCs w:val="20"/>
                <w:lang w:val="cs-CZ"/>
              </w:rPr>
              <w:t xml:space="preserve">54 - modernizace zem. podniků (ovoce, zelenina)                                           </w:t>
            </w:r>
          </w:p>
        </w:tc>
        <w:tc>
          <w:tcPr>
            <w:tcW w:w="1510" w:type="pct"/>
            <w:tcBorders>
              <w:top w:val="nil"/>
              <w:left w:val="single" w:sz="8" w:space="0" w:color="auto"/>
              <w:bottom w:val="single" w:sz="4" w:space="0" w:color="auto"/>
              <w:right w:val="double" w:sz="6" w:space="0" w:color="auto"/>
            </w:tcBorders>
            <w:shd w:val="clear" w:color="auto" w:fill="auto"/>
            <w:noWrap/>
            <w:vAlign w:val="bottom"/>
            <w:hideMark/>
          </w:tcPr>
          <w:p w14:paraId="44D3A8FC"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200,7 mil. Kč</w:t>
            </w:r>
          </w:p>
        </w:tc>
      </w:tr>
      <w:tr w:rsidR="00A16DDB" w:rsidRPr="00D95127" w14:paraId="5C3FAAE6" w14:textId="77777777" w:rsidTr="007A627A">
        <w:trPr>
          <w:trHeight w:val="300"/>
        </w:trPr>
        <w:tc>
          <w:tcPr>
            <w:tcW w:w="349" w:type="pct"/>
            <w:vMerge/>
            <w:tcBorders>
              <w:top w:val="nil"/>
              <w:left w:val="double" w:sz="6" w:space="0" w:color="auto"/>
              <w:bottom w:val="single" w:sz="4" w:space="0" w:color="auto"/>
              <w:right w:val="single" w:sz="8" w:space="0" w:color="auto"/>
            </w:tcBorders>
            <w:vAlign w:val="center"/>
            <w:hideMark/>
          </w:tcPr>
          <w:p w14:paraId="23238E3C" w14:textId="77777777" w:rsidR="00A16DDB" w:rsidRPr="00D95127" w:rsidRDefault="00A16DDB" w:rsidP="007A627A">
            <w:pPr>
              <w:keepNext/>
              <w:rPr>
                <w:rFonts w:cs="Times New Roman"/>
                <w:b/>
                <w:color w:val="000000"/>
                <w:sz w:val="20"/>
                <w:szCs w:val="20"/>
                <w:lang w:val="cs-CZ"/>
              </w:rPr>
            </w:pPr>
          </w:p>
        </w:tc>
        <w:tc>
          <w:tcPr>
            <w:tcW w:w="3142" w:type="pct"/>
            <w:tcBorders>
              <w:top w:val="nil"/>
              <w:left w:val="nil"/>
              <w:bottom w:val="single" w:sz="4" w:space="0" w:color="auto"/>
              <w:right w:val="nil"/>
            </w:tcBorders>
            <w:shd w:val="clear" w:color="auto" w:fill="auto"/>
            <w:vAlign w:val="bottom"/>
            <w:hideMark/>
          </w:tcPr>
          <w:p w14:paraId="26146ADE" w14:textId="77777777" w:rsidR="00A16DDB" w:rsidRPr="00D95127" w:rsidRDefault="00A16DDB" w:rsidP="007A627A">
            <w:pPr>
              <w:keepNext/>
              <w:rPr>
                <w:rFonts w:cs="Times New Roman"/>
                <w:color w:val="000000"/>
                <w:sz w:val="20"/>
                <w:szCs w:val="20"/>
                <w:lang w:val="cs-CZ"/>
              </w:rPr>
            </w:pPr>
            <w:r w:rsidRPr="00D95127">
              <w:rPr>
                <w:rFonts w:cs="Times New Roman"/>
                <w:color w:val="000000"/>
                <w:sz w:val="20"/>
                <w:szCs w:val="20"/>
                <w:lang w:val="cs-CZ"/>
              </w:rPr>
              <w:t xml:space="preserve">64 - nosné konstrukce (ovoce, chmel, réva) </w:t>
            </w:r>
          </w:p>
        </w:tc>
        <w:tc>
          <w:tcPr>
            <w:tcW w:w="1510" w:type="pct"/>
            <w:tcBorders>
              <w:top w:val="nil"/>
              <w:left w:val="single" w:sz="8" w:space="0" w:color="auto"/>
              <w:bottom w:val="single" w:sz="4" w:space="0" w:color="auto"/>
              <w:right w:val="double" w:sz="6" w:space="0" w:color="auto"/>
            </w:tcBorders>
            <w:shd w:val="clear" w:color="auto" w:fill="auto"/>
            <w:noWrap/>
            <w:vAlign w:val="bottom"/>
            <w:hideMark/>
          </w:tcPr>
          <w:p w14:paraId="78547CAB"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111,3 mil. Kč</w:t>
            </w:r>
          </w:p>
        </w:tc>
      </w:tr>
      <w:tr w:rsidR="00A16DDB" w:rsidRPr="00D95127" w14:paraId="0C956774" w14:textId="77777777" w:rsidTr="007A627A">
        <w:trPr>
          <w:trHeight w:val="300"/>
        </w:trPr>
        <w:tc>
          <w:tcPr>
            <w:tcW w:w="349" w:type="pct"/>
            <w:vMerge/>
            <w:tcBorders>
              <w:top w:val="nil"/>
              <w:left w:val="double" w:sz="6" w:space="0" w:color="auto"/>
              <w:bottom w:val="single" w:sz="4" w:space="0" w:color="auto"/>
              <w:right w:val="single" w:sz="8" w:space="0" w:color="auto"/>
            </w:tcBorders>
            <w:vAlign w:val="center"/>
            <w:hideMark/>
          </w:tcPr>
          <w:p w14:paraId="118C2049" w14:textId="77777777" w:rsidR="00A16DDB" w:rsidRPr="00D95127" w:rsidRDefault="00A16DDB" w:rsidP="007A627A">
            <w:pPr>
              <w:keepNext/>
              <w:rPr>
                <w:rFonts w:cs="Times New Roman"/>
                <w:b/>
                <w:color w:val="000000"/>
                <w:sz w:val="20"/>
                <w:szCs w:val="20"/>
                <w:lang w:val="cs-CZ"/>
              </w:rPr>
            </w:pPr>
          </w:p>
        </w:tc>
        <w:tc>
          <w:tcPr>
            <w:tcW w:w="3142" w:type="pct"/>
            <w:tcBorders>
              <w:top w:val="nil"/>
              <w:left w:val="nil"/>
              <w:bottom w:val="single" w:sz="4" w:space="0" w:color="auto"/>
              <w:right w:val="nil"/>
            </w:tcBorders>
            <w:shd w:val="clear" w:color="auto" w:fill="auto"/>
            <w:vAlign w:val="bottom"/>
            <w:hideMark/>
          </w:tcPr>
          <w:p w14:paraId="47BF451E" w14:textId="77777777" w:rsidR="00A16DDB" w:rsidRPr="00D95127" w:rsidRDefault="00A16DDB" w:rsidP="007A627A">
            <w:pPr>
              <w:keepNext/>
              <w:rPr>
                <w:rFonts w:cs="Times New Roman"/>
                <w:color w:val="000000"/>
                <w:sz w:val="20"/>
                <w:szCs w:val="20"/>
                <w:lang w:val="cs-CZ"/>
              </w:rPr>
            </w:pPr>
            <w:r w:rsidRPr="00D95127">
              <w:rPr>
                <w:rFonts w:cs="Times New Roman"/>
                <w:color w:val="000000"/>
                <w:sz w:val="20"/>
                <w:szCs w:val="20"/>
                <w:lang w:val="cs-CZ"/>
              </w:rPr>
              <w:t>32 - skleníky, fóliovníky, kontejnerovny</w:t>
            </w:r>
          </w:p>
        </w:tc>
        <w:tc>
          <w:tcPr>
            <w:tcW w:w="1510" w:type="pct"/>
            <w:tcBorders>
              <w:top w:val="nil"/>
              <w:left w:val="single" w:sz="8" w:space="0" w:color="auto"/>
              <w:bottom w:val="single" w:sz="4" w:space="0" w:color="auto"/>
              <w:right w:val="double" w:sz="6" w:space="0" w:color="auto"/>
            </w:tcBorders>
            <w:shd w:val="clear" w:color="auto" w:fill="auto"/>
            <w:noWrap/>
            <w:vAlign w:val="bottom"/>
            <w:hideMark/>
          </w:tcPr>
          <w:p w14:paraId="0FCB7D5F"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84,0 mil. Kč</w:t>
            </w:r>
          </w:p>
        </w:tc>
      </w:tr>
      <w:tr w:rsidR="00A16DDB" w:rsidRPr="00D95127" w14:paraId="52721E8A" w14:textId="77777777" w:rsidTr="007A627A">
        <w:trPr>
          <w:trHeight w:val="300"/>
        </w:trPr>
        <w:tc>
          <w:tcPr>
            <w:tcW w:w="349" w:type="pct"/>
            <w:tcBorders>
              <w:top w:val="nil"/>
              <w:left w:val="double" w:sz="6" w:space="0" w:color="auto"/>
              <w:bottom w:val="single" w:sz="4" w:space="0" w:color="auto"/>
              <w:right w:val="single" w:sz="8" w:space="0" w:color="auto"/>
            </w:tcBorders>
            <w:shd w:val="clear" w:color="auto" w:fill="auto"/>
            <w:noWrap/>
            <w:vAlign w:val="bottom"/>
            <w:hideMark/>
          </w:tcPr>
          <w:p w14:paraId="5AAE7A9F" w14:textId="77777777" w:rsidR="00A16DDB" w:rsidRPr="00D95127" w:rsidRDefault="00A16DDB" w:rsidP="007A627A">
            <w:pPr>
              <w:keepNext/>
              <w:rPr>
                <w:rFonts w:cs="Times New Roman"/>
                <w:b/>
                <w:color w:val="000000"/>
                <w:sz w:val="20"/>
                <w:szCs w:val="20"/>
                <w:lang w:val="cs-CZ"/>
              </w:rPr>
            </w:pPr>
            <w:r w:rsidRPr="00D95127">
              <w:rPr>
                <w:rFonts w:cs="Times New Roman"/>
                <w:b/>
                <w:color w:val="000000"/>
                <w:sz w:val="20"/>
                <w:szCs w:val="20"/>
                <w:lang w:val="cs-CZ"/>
              </w:rPr>
              <w:t>2010</w:t>
            </w:r>
          </w:p>
        </w:tc>
        <w:tc>
          <w:tcPr>
            <w:tcW w:w="3142" w:type="pct"/>
            <w:tcBorders>
              <w:top w:val="nil"/>
              <w:left w:val="nil"/>
              <w:bottom w:val="single" w:sz="4" w:space="0" w:color="auto"/>
              <w:right w:val="nil"/>
            </w:tcBorders>
            <w:shd w:val="clear" w:color="auto" w:fill="auto"/>
            <w:vAlign w:val="bottom"/>
            <w:hideMark/>
          </w:tcPr>
          <w:p w14:paraId="72A3096A" w14:textId="77777777" w:rsidR="00A16DDB" w:rsidRPr="00D95127" w:rsidRDefault="00A16DDB" w:rsidP="007A627A">
            <w:pPr>
              <w:keepNext/>
              <w:rPr>
                <w:rFonts w:cs="Times New Roman"/>
                <w:color w:val="000000"/>
                <w:sz w:val="20"/>
                <w:szCs w:val="20"/>
                <w:lang w:val="cs-CZ"/>
              </w:rPr>
            </w:pPr>
            <w:r w:rsidRPr="00D95127">
              <w:rPr>
                <w:rFonts w:cs="Times New Roman"/>
                <w:color w:val="000000"/>
                <w:sz w:val="20"/>
                <w:szCs w:val="20"/>
                <w:lang w:val="cs-CZ"/>
              </w:rPr>
              <w:t>40 - modernizace skladovacích kapacit (ov., zel.)</w:t>
            </w:r>
          </w:p>
        </w:tc>
        <w:tc>
          <w:tcPr>
            <w:tcW w:w="1510" w:type="pct"/>
            <w:tcBorders>
              <w:top w:val="nil"/>
              <w:left w:val="single" w:sz="8" w:space="0" w:color="auto"/>
              <w:bottom w:val="single" w:sz="4" w:space="0" w:color="auto"/>
              <w:right w:val="double" w:sz="6" w:space="0" w:color="auto"/>
            </w:tcBorders>
            <w:shd w:val="clear" w:color="auto" w:fill="auto"/>
            <w:noWrap/>
            <w:vAlign w:val="bottom"/>
            <w:hideMark/>
          </w:tcPr>
          <w:p w14:paraId="73AD17AC"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137,0 mil. Kč</w:t>
            </w:r>
          </w:p>
        </w:tc>
      </w:tr>
      <w:tr w:rsidR="00A16DDB" w:rsidRPr="00D95127" w14:paraId="55F89A17" w14:textId="77777777" w:rsidTr="007A627A">
        <w:trPr>
          <w:trHeight w:val="300"/>
        </w:trPr>
        <w:tc>
          <w:tcPr>
            <w:tcW w:w="349" w:type="pct"/>
            <w:tcBorders>
              <w:top w:val="nil"/>
              <w:left w:val="double" w:sz="6" w:space="0" w:color="auto"/>
              <w:bottom w:val="single" w:sz="4" w:space="0" w:color="auto"/>
              <w:right w:val="single" w:sz="8" w:space="0" w:color="auto"/>
            </w:tcBorders>
            <w:shd w:val="clear" w:color="auto" w:fill="auto"/>
            <w:noWrap/>
            <w:vAlign w:val="bottom"/>
            <w:hideMark/>
          </w:tcPr>
          <w:p w14:paraId="7F0A741D" w14:textId="77777777" w:rsidR="00A16DDB" w:rsidRPr="00D95127" w:rsidRDefault="00A16DDB" w:rsidP="007A627A">
            <w:pPr>
              <w:keepNext/>
              <w:rPr>
                <w:rFonts w:cs="Times New Roman"/>
                <w:b/>
                <w:color w:val="000000"/>
                <w:sz w:val="20"/>
                <w:szCs w:val="20"/>
                <w:lang w:val="cs-CZ"/>
              </w:rPr>
            </w:pPr>
            <w:r w:rsidRPr="00D95127">
              <w:rPr>
                <w:rFonts w:cs="Times New Roman"/>
                <w:b/>
                <w:color w:val="000000"/>
                <w:sz w:val="20"/>
                <w:szCs w:val="20"/>
                <w:lang w:val="cs-CZ"/>
              </w:rPr>
              <w:t>2011</w:t>
            </w:r>
          </w:p>
        </w:tc>
        <w:tc>
          <w:tcPr>
            <w:tcW w:w="3142" w:type="pct"/>
            <w:tcBorders>
              <w:top w:val="nil"/>
              <w:left w:val="nil"/>
              <w:bottom w:val="single" w:sz="4" w:space="0" w:color="auto"/>
              <w:right w:val="nil"/>
            </w:tcBorders>
            <w:shd w:val="clear" w:color="auto" w:fill="auto"/>
            <w:vAlign w:val="bottom"/>
            <w:hideMark/>
          </w:tcPr>
          <w:p w14:paraId="4F157086" w14:textId="77777777" w:rsidR="00A16DDB" w:rsidRPr="00D95127" w:rsidRDefault="00A16DDB" w:rsidP="007A627A">
            <w:pPr>
              <w:keepNext/>
              <w:rPr>
                <w:rFonts w:cs="Times New Roman"/>
                <w:color w:val="000000"/>
                <w:sz w:val="20"/>
                <w:szCs w:val="20"/>
                <w:lang w:val="cs-CZ"/>
              </w:rPr>
            </w:pPr>
            <w:r w:rsidRPr="00D95127">
              <w:rPr>
                <w:rFonts w:cs="Times New Roman"/>
                <w:color w:val="000000"/>
                <w:sz w:val="20"/>
                <w:szCs w:val="20"/>
                <w:lang w:val="cs-CZ"/>
              </w:rPr>
              <w:t>10 - modernizace zem. podniků (ovoce, zelenina)</w:t>
            </w:r>
          </w:p>
        </w:tc>
        <w:tc>
          <w:tcPr>
            <w:tcW w:w="1510" w:type="pct"/>
            <w:tcBorders>
              <w:top w:val="nil"/>
              <w:left w:val="single" w:sz="8" w:space="0" w:color="auto"/>
              <w:bottom w:val="single" w:sz="4" w:space="0" w:color="auto"/>
              <w:right w:val="double" w:sz="6" w:space="0" w:color="auto"/>
            </w:tcBorders>
            <w:shd w:val="clear" w:color="auto" w:fill="auto"/>
            <w:noWrap/>
            <w:vAlign w:val="bottom"/>
            <w:hideMark/>
          </w:tcPr>
          <w:p w14:paraId="048AA56B"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14,8 mil. Kč</w:t>
            </w:r>
          </w:p>
        </w:tc>
      </w:tr>
      <w:tr w:rsidR="00A16DDB" w:rsidRPr="00D95127" w14:paraId="66406D86" w14:textId="77777777" w:rsidTr="007A627A">
        <w:trPr>
          <w:trHeight w:val="300"/>
        </w:trPr>
        <w:tc>
          <w:tcPr>
            <w:tcW w:w="349" w:type="pct"/>
            <w:tcBorders>
              <w:top w:val="nil"/>
              <w:left w:val="double" w:sz="6" w:space="0" w:color="auto"/>
              <w:bottom w:val="single" w:sz="4" w:space="0" w:color="auto"/>
              <w:right w:val="single" w:sz="8" w:space="0" w:color="auto"/>
            </w:tcBorders>
            <w:shd w:val="clear" w:color="auto" w:fill="auto"/>
            <w:noWrap/>
            <w:vAlign w:val="bottom"/>
            <w:hideMark/>
          </w:tcPr>
          <w:p w14:paraId="3D3C423E" w14:textId="77777777" w:rsidR="00A16DDB" w:rsidRPr="00D95127" w:rsidRDefault="00A16DDB" w:rsidP="007A627A">
            <w:pPr>
              <w:keepNext/>
              <w:rPr>
                <w:rFonts w:cs="Times New Roman"/>
                <w:b/>
                <w:color w:val="000000"/>
                <w:sz w:val="20"/>
                <w:szCs w:val="20"/>
                <w:lang w:val="cs-CZ"/>
              </w:rPr>
            </w:pPr>
            <w:r w:rsidRPr="00D95127">
              <w:rPr>
                <w:rFonts w:cs="Times New Roman"/>
                <w:b/>
                <w:color w:val="000000"/>
                <w:sz w:val="20"/>
                <w:szCs w:val="20"/>
                <w:lang w:val="cs-CZ"/>
              </w:rPr>
              <w:t> </w:t>
            </w:r>
          </w:p>
        </w:tc>
        <w:tc>
          <w:tcPr>
            <w:tcW w:w="3142" w:type="pct"/>
            <w:tcBorders>
              <w:top w:val="nil"/>
              <w:left w:val="nil"/>
              <w:bottom w:val="single" w:sz="4" w:space="0" w:color="auto"/>
              <w:right w:val="nil"/>
            </w:tcBorders>
            <w:shd w:val="clear" w:color="auto" w:fill="auto"/>
            <w:vAlign w:val="bottom"/>
            <w:hideMark/>
          </w:tcPr>
          <w:p w14:paraId="4BC60EDA" w14:textId="77777777" w:rsidR="00A16DDB" w:rsidRPr="00D95127" w:rsidRDefault="00A16DDB" w:rsidP="007A627A">
            <w:pPr>
              <w:keepNext/>
              <w:rPr>
                <w:rFonts w:cs="Times New Roman"/>
                <w:color w:val="000000"/>
                <w:sz w:val="20"/>
                <w:szCs w:val="20"/>
                <w:lang w:val="cs-CZ"/>
              </w:rPr>
            </w:pPr>
            <w:r w:rsidRPr="00D95127">
              <w:rPr>
                <w:rFonts w:cs="Times New Roman"/>
                <w:color w:val="000000"/>
                <w:sz w:val="20"/>
                <w:szCs w:val="20"/>
                <w:lang w:val="cs-CZ"/>
              </w:rPr>
              <w:t>3 - skleníky, fóliovníky, kontejnerovny</w:t>
            </w:r>
          </w:p>
        </w:tc>
        <w:tc>
          <w:tcPr>
            <w:tcW w:w="1510" w:type="pct"/>
            <w:tcBorders>
              <w:top w:val="nil"/>
              <w:left w:val="single" w:sz="8" w:space="0" w:color="auto"/>
              <w:bottom w:val="single" w:sz="4" w:space="0" w:color="auto"/>
              <w:right w:val="double" w:sz="6" w:space="0" w:color="auto"/>
            </w:tcBorders>
            <w:shd w:val="clear" w:color="auto" w:fill="auto"/>
            <w:noWrap/>
            <w:vAlign w:val="bottom"/>
            <w:hideMark/>
          </w:tcPr>
          <w:p w14:paraId="0834A23B"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0,4 mil. Kč</w:t>
            </w:r>
          </w:p>
        </w:tc>
      </w:tr>
      <w:tr w:rsidR="00A16DDB" w:rsidRPr="00D95127" w14:paraId="67612F5A" w14:textId="77777777" w:rsidTr="007A627A">
        <w:trPr>
          <w:trHeight w:val="300"/>
        </w:trPr>
        <w:tc>
          <w:tcPr>
            <w:tcW w:w="349" w:type="pct"/>
            <w:tcBorders>
              <w:top w:val="nil"/>
              <w:left w:val="double" w:sz="6" w:space="0" w:color="auto"/>
              <w:bottom w:val="single" w:sz="4" w:space="0" w:color="auto"/>
              <w:right w:val="single" w:sz="8" w:space="0" w:color="auto"/>
            </w:tcBorders>
            <w:shd w:val="clear" w:color="auto" w:fill="auto"/>
            <w:noWrap/>
            <w:vAlign w:val="bottom"/>
            <w:hideMark/>
          </w:tcPr>
          <w:p w14:paraId="50B6A171" w14:textId="77777777" w:rsidR="00A16DDB" w:rsidRPr="00D95127" w:rsidRDefault="00A16DDB" w:rsidP="007A627A">
            <w:pPr>
              <w:keepNext/>
              <w:rPr>
                <w:rFonts w:cs="Times New Roman"/>
                <w:b/>
                <w:color w:val="000000"/>
                <w:sz w:val="20"/>
                <w:szCs w:val="20"/>
                <w:lang w:val="cs-CZ"/>
              </w:rPr>
            </w:pPr>
            <w:r w:rsidRPr="00D95127">
              <w:rPr>
                <w:rFonts w:cs="Times New Roman"/>
                <w:b/>
                <w:color w:val="000000"/>
                <w:sz w:val="20"/>
                <w:szCs w:val="20"/>
                <w:lang w:val="cs-CZ"/>
              </w:rPr>
              <w:t>2012</w:t>
            </w:r>
          </w:p>
        </w:tc>
        <w:tc>
          <w:tcPr>
            <w:tcW w:w="3142" w:type="pct"/>
            <w:tcBorders>
              <w:top w:val="nil"/>
              <w:left w:val="nil"/>
              <w:bottom w:val="single" w:sz="4" w:space="0" w:color="auto"/>
              <w:right w:val="nil"/>
            </w:tcBorders>
            <w:shd w:val="clear" w:color="auto" w:fill="auto"/>
            <w:vAlign w:val="bottom"/>
            <w:hideMark/>
          </w:tcPr>
          <w:p w14:paraId="095C5E3F" w14:textId="77777777" w:rsidR="00A16DDB" w:rsidRPr="00D95127" w:rsidRDefault="00A16DDB" w:rsidP="007A627A">
            <w:pPr>
              <w:keepNext/>
              <w:rPr>
                <w:rFonts w:cs="Times New Roman"/>
                <w:color w:val="000000"/>
                <w:sz w:val="20"/>
                <w:szCs w:val="20"/>
                <w:lang w:val="cs-CZ"/>
              </w:rPr>
            </w:pPr>
            <w:r w:rsidRPr="00D95127">
              <w:rPr>
                <w:rFonts w:cs="Times New Roman"/>
                <w:color w:val="000000"/>
                <w:sz w:val="20"/>
                <w:szCs w:val="20"/>
                <w:lang w:val="cs-CZ"/>
              </w:rPr>
              <w:t>neproběhl žádný příjem žádostí</w:t>
            </w:r>
          </w:p>
        </w:tc>
        <w:tc>
          <w:tcPr>
            <w:tcW w:w="1510" w:type="pct"/>
            <w:tcBorders>
              <w:top w:val="nil"/>
              <w:left w:val="single" w:sz="8" w:space="0" w:color="auto"/>
              <w:bottom w:val="single" w:sz="4" w:space="0" w:color="auto"/>
              <w:right w:val="double" w:sz="6" w:space="0" w:color="auto"/>
            </w:tcBorders>
            <w:shd w:val="clear" w:color="auto" w:fill="auto"/>
            <w:noWrap/>
            <w:vAlign w:val="bottom"/>
            <w:hideMark/>
          </w:tcPr>
          <w:p w14:paraId="37984378" w14:textId="77777777" w:rsidR="00A16DDB" w:rsidRPr="00D95127" w:rsidRDefault="00A16DDB" w:rsidP="007A627A">
            <w:pPr>
              <w:keepNext/>
              <w:jc w:val="center"/>
              <w:rPr>
                <w:rFonts w:cs="Times New Roman"/>
                <w:color w:val="000000"/>
                <w:sz w:val="20"/>
                <w:szCs w:val="20"/>
                <w:lang w:val="cs-CZ"/>
              </w:rPr>
            </w:pPr>
          </w:p>
        </w:tc>
      </w:tr>
      <w:tr w:rsidR="00A16DDB" w:rsidRPr="00D95127" w14:paraId="4F6B0DB6" w14:textId="77777777" w:rsidTr="007A627A">
        <w:trPr>
          <w:trHeight w:val="300"/>
        </w:trPr>
        <w:tc>
          <w:tcPr>
            <w:tcW w:w="349" w:type="pct"/>
            <w:tcBorders>
              <w:top w:val="nil"/>
              <w:left w:val="double" w:sz="6" w:space="0" w:color="auto"/>
              <w:bottom w:val="single" w:sz="4" w:space="0" w:color="auto"/>
              <w:right w:val="single" w:sz="8" w:space="0" w:color="auto"/>
            </w:tcBorders>
            <w:shd w:val="clear" w:color="auto" w:fill="auto"/>
            <w:noWrap/>
            <w:vAlign w:val="bottom"/>
            <w:hideMark/>
          </w:tcPr>
          <w:p w14:paraId="16628AF5" w14:textId="77777777" w:rsidR="00A16DDB" w:rsidRPr="00D95127" w:rsidRDefault="00A16DDB" w:rsidP="007A627A">
            <w:pPr>
              <w:keepNext/>
              <w:rPr>
                <w:rFonts w:cs="Times New Roman"/>
                <w:b/>
                <w:color w:val="000000"/>
                <w:sz w:val="20"/>
                <w:szCs w:val="20"/>
                <w:lang w:val="cs-CZ"/>
              </w:rPr>
            </w:pPr>
            <w:r w:rsidRPr="00D95127">
              <w:rPr>
                <w:rFonts w:cs="Times New Roman"/>
                <w:b/>
                <w:color w:val="000000"/>
                <w:sz w:val="20"/>
                <w:szCs w:val="20"/>
                <w:lang w:val="cs-CZ"/>
              </w:rPr>
              <w:t>2013</w:t>
            </w:r>
          </w:p>
        </w:tc>
        <w:tc>
          <w:tcPr>
            <w:tcW w:w="3142" w:type="pct"/>
            <w:tcBorders>
              <w:top w:val="nil"/>
              <w:left w:val="nil"/>
              <w:bottom w:val="single" w:sz="4" w:space="0" w:color="auto"/>
              <w:right w:val="nil"/>
            </w:tcBorders>
            <w:shd w:val="clear" w:color="auto" w:fill="auto"/>
            <w:vAlign w:val="bottom"/>
            <w:hideMark/>
          </w:tcPr>
          <w:p w14:paraId="5D7984C3" w14:textId="77777777" w:rsidR="00A16DDB" w:rsidRPr="00D95127" w:rsidRDefault="00A16DDB" w:rsidP="007A627A">
            <w:pPr>
              <w:keepNext/>
              <w:rPr>
                <w:rFonts w:cs="Times New Roman"/>
                <w:color w:val="000000"/>
                <w:sz w:val="20"/>
                <w:szCs w:val="20"/>
                <w:lang w:val="cs-CZ"/>
              </w:rPr>
            </w:pPr>
            <w:r w:rsidRPr="00D95127">
              <w:rPr>
                <w:rFonts w:cs="Times New Roman"/>
                <w:color w:val="000000"/>
                <w:sz w:val="20"/>
                <w:szCs w:val="20"/>
                <w:lang w:val="cs-CZ"/>
              </w:rPr>
              <w:t>neproběhl žádný příjem žádostí</w:t>
            </w:r>
          </w:p>
        </w:tc>
        <w:tc>
          <w:tcPr>
            <w:tcW w:w="1510" w:type="pct"/>
            <w:tcBorders>
              <w:top w:val="nil"/>
              <w:left w:val="single" w:sz="8" w:space="0" w:color="auto"/>
              <w:bottom w:val="single" w:sz="4" w:space="0" w:color="auto"/>
              <w:right w:val="double" w:sz="6" w:space="0" w:color="auto"/>
            </w:tcBorders>
            <w:shd w:val="clear" w:color="auto" w:fill="auto"/>
            <w:noWrap/>
            <w:vAlign w:val="bottom"/>
            <w:hideMark/>
          </w:tcPr>
          <w:p w14:paraId="19E709AE" w14:textId="77777777" w:rsidR="00A16DDB" w:rsidRPr="00D95127" w:rsidRDefault="00A16DDB" w:rsidP="007A627A">
            <w:pPr>
              <w:keepNext/>
              <w:jc w:val="center"/>
              <w:rPr>
                <w:rFonts w:cs="Times New Roman"/>
                <w:color w:val="000000"/>
                <w:sz w:val="20"/>
                <w:szCs w:val="20"/>
                <w:lang w:val="cs-CZ"/>
              </w:rPr>
            </w:pPr>
          </w:p>
        </w:tc>
      </w:tr>
      <w:tr w:rsidR="00A16DDB" w:rsidRPr="00D95127" w14:paraId="0963605B" w14:textId="77777777" w:rsidTr="007A627A">
        <w:trPr>
          <w:trHeight w:val="300"/>
        </w:trPr>
        <w:tc>
          <w:tcPr>
            <w:tcW w:w="349" w:type="pct"/>
            <w:vMerge w:val="restart"/>
            <w:tcBorders>
              <w:top w:val="nil"/>
              <w:left w:val="double" w:sz="6" w:space="0" w:color="auto"/>
              <w:bottom w:val="single" w:sz="4" w:space="0" w:color="auto"/>
              <w:right w:val="single" w:sz="8" w:space="0" w:color="auto"/>
            </w:tcBorders>
            <w:shd w:val="clear" w:color="auto" w:fill="auto"/>
            <w:noWrap/>
            <w:vAlign w:val="center"/>
            <w:hideMark/>
          </w:tcPr>
          <w:p w14:paraId="58F9CD1E" w14:textId="77777777" w:rsidR="00A16DDB" w:rsidRPr="00D95127" w:rsidRDefault="00A16DDB" w:rsidP="007A627A">
            <w:pPr>
              <w:keepNext/>
              <w:rPr>
                <w:rFonts w:cs="Times New Roman"/>
                <w:b/>
                <w:color w:val="000000"/>
                <w:sz w:val="20"/>
                <w:szCs w:val="20"/>
                <w:lang w:val="cs-CZ"/>
              </w:rPr>
            </w:pPr>
            <w:r w:rsidRPr="00D95127">
              <w:rPr>
                <w:rFonts w:cs="Times New Roman"/>
                <w:b/>
                <w:color w:val="000000"/>
                <w:sz w:val="20"/>
                <w:szCs w:val="20"/>
                <w:lang w:val="cs-CZ"/>
              </w:rPr>
              <w:t>2014</w:t>
            </w:r>
          </w:p>
        </w:tc>
        <w:tc>
          <w:tcPr>
            <w:tcW w:w="3142" w:type="pct"/>
            <w:tcBorders>
              <w:top w:val="nil"/>
              <w:left w:val="nil"/>
              <w:bottom w:val="single" w:sz="4" w:space="0" w:color="auto"/>
              <w:right w:val="nil"/>
            </w:tcBorders>
            <w:shd w:val="clear" w:color="auto" w:fill="auto"/>
            <w:vAlign w:val="bottom"/>
            <w:hideMark/>
          </w:tcPr>
          <w:p w14:paraId="023ED51D" w14:textId="77777777" w:rsidR="00A16DDB" w:rsidRPr="00D95127" w:rsidRDefault="00A16DDB" w:rsidP="007A627A">
            <w:pPr>
              <w:keepNext/>
              <w:rPr>
                <w:rFonts w:cs="Times New Roman"/>
                <w:color w:val="000000"/>
                <w:sz w:val="20"/>
                <w:szCs w:val="20"/>
                <w:lang w:val="cs-CZ"/>
              </w:rPr>
            </w:pPr>
            <w:r w:rsidRPr="00D95127">
              <w:rPr>
                <w:rFonts w:cs="Times New Roman"/>
                <w:color w:val="000000"/>
                <w:sz w:val="20"/>
                <w:szCs w:val="20"/>
                <w:lang w:val="cs-CZ"/>
              </w:rPr>
              <w:t>93 - modernizace skladů (ov., zel.)</w:t>
            </w:r>
          </w:p>
        </w:tc>
        <w:tc>
          <w:tcPr>
            <w:tcW w:w="1510" w:type="pct"/>
            <w:tcBorders>
              <w:top w:val="nil"/>
              <w:left w:val="single" w:sz="8" w:space="0" w:color="auto"/>
              <w:bottom w:val="single" w:sz="4" w:space="0" w:color="auto"/>
              <w:right w:val="double" w:sz="6" w:space="0" w:color="auto"/>
            </w:tcBorders>
            <w:shd w:val="clear" w:color="auto" w:fill="auto"/>
            <w:noWrap/>
            <w:vAlign w:val="bottom"/>
            <w:hideMark/>
          </w:tcPr>
          <w:p w14:paraId="3F826B83"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152,0 mil. Kč</w:t>
            </w:r>
          </w:p>
        </w:tc>
      </w:tr>
      <w:tr w:rsidR="00A16DDB" w:rsidRPr="00D95127" w14:paraId="18BA08E8" w14:textId="77777777" w:rsidTr="007A627A">
        <w:trPr>
          <w:trHeight w:val="300"/>
        </w:trPr>
        <w:tc>
          <w:tcPr>
            <w:tcW w:w="349" w:type="pct"/>
            <w:vMerge/>
            <w:tcBorders>
              <w:top w:val="nil"/>
              <w:left w:val="double" w:sz="6" w:space="0" w:color="auto"/>
              <w:bottom w:val="single" w:sz="4" w:space="0" w:color="auto"/>
              <w:right w:val="single" w:sz="8" w:space="0" w:color="auto"/>
            </w:tcBorders>
            <w:vAlign w:val="center"/>
            <w:hideMark/>
          </w:tcPr>
          <w:p w14:paraId="44742C6B" w14:textId="77777777" w:rsidR="00A16DDB" w:rsidRPr="00D95127" w:rsidRDefault="00A16DDB" w:rsidP="007A627A">
            <w:pPr>
              <w:keepNext/>
              <w:rPr>
                <w:rFonts w:cs="Times New Roman"/>
                <w:b/>
                <w:color w:val="000000"/>
                <w:sz w:val="20"/>
                <w:szCs w:val="20"/>
                <w:lang w:val="cs-CZ"/>
              </w:rPr>
            </w:pPr>
          </w:p>
        </w:tc>
        <w:tc>
          <w:tcPr>
            <w:tcW w:w="3142" w:type="pct"/>
            <w:tcBorders>
              <w:top w:val="nil"/>
              <w:left w:val="nil"/>
              <w:bottom w:val="single" w:sz="4" w:space="0" w:color="auto"/>
              <w:right w:val="nil"/>
            </w:tcBorders>
            <w:shd w:val="clear" w:color="auto" w:fill="auto"/>
            <w:vAlign w:val="bottom"/>
            <w:hideMark/>
          </w:tcPr>
          <w:p w14:paraId="37D8E8E7" w14:textId="77777777" w:rsidR="00A16DDB" w:rsidRPr="00D95127" w:rsidRDefault="00A16DDB" w:rsidP="007A627A">
            <w:pPr>
              <w:keepNext/>
              <w:rPr>
                <w:rFonts w:cs="Times New Roman"/>
                <w:color w:val="000000"/>
                <w:sz w:val="20"/>
                <w:szCs w:val="20"/>
                <w:lang w:val="cs-CZ"/>
              </w:rPr>
            </w:pPr>
            <w:r w:rsidRPr="00D95127">
              <w:rPr>
                <w:rFonts w:cs="Times New Roman"/>
                <w:color w:val="000000"/>
                <w:sz w:val="20"/>
                <w:szCs w:val="20"/>
                <w:lang w:val="cs-CZ"/>
              </w:rPr>
              <w:t>33 - nosné konstrukce v sadech</w:t>
            </w:r>
          </w:p>
        </w:tc>
        <w:tc>
          <w:tcPr>
            <w:tcW w:w="1510" w:type="pct"/>
            <w:tcBorders>
              <w:top w:val="nil"/>
              <w:left w:val="single" w:sz="8" w:space="0" w:color="auto"/>
              <w:bottom w:val="single" w:sz="4" w:space="0" w:color="auto"/>
              <w:right w:val="double" w:sz="6" w:space="0" w:color="auto"/>
            </w:tcBorders>
            <w:shd w:val="clear" w:color="auto" w:fill="auto"/>
            <w:noWrap/>
            <w:vAlign w:val="bottom"/>
            <w:hideMark/>
          </w:tcPr>
          <w:p w14:paraId="176BAC34"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17,0 mil. Kč</w:t>
            </w:r>
          </w:p>
        </w:tc>
      </w:tr>
      <w:tr w:rsidR="00A16DDB" w:rsidRPr="00D95127" w14:paraId="7488BD06" w14:textId="77777777" w:rsidTr="007A627A">
        <w:trPr>
          <w:trHeight w:val="300"/>
        </w:trPr>
        <w:tc>
          <w:tcPr>
            <w:tcW w:w="349" w:type="pct"/>
            <w:vMerge w:val="restart"/>
            <w:tcBorders>
              <w:top w:val="nil"/>
              <w:left w:val="double" w:sz="6" w:space="0" w:color="auto"/>
              <w:bottom w:val="double" w:sz="6" w:space="0" w:color="000000"/>
              <w:right w:val="single" w:sz="8" w:space="0" w:color="auto"/>
            </w:tcBorders>
            <w:shd w:val="clear" w:color="auto" w:fill="auto"/>
            <w:noWrap/>
            <w:vAlign w:val="center"/>
            <w:hideMark/>
          </w:tcPr>
          <w:p w14:paraId="33F460BB" w14:textId="77777777" w:rsidR="00A16DDB" w:rsidRPr="00D95127" w:rsidRDefault="00A16DDB" w:rsidP="002E65B3">
            <w:pPr>
              <w:pStyle w:val="UZEIZdroj"/>
            </w:pPr>
            <w:r w:rsidRPr="00D95127">
              <w:t>2015</w:t>
            </w:r>
          </w:p>
        </w:tc>
        <w:tc>
          <w:tcPr>
            <w:tcW w:w="3142" w:type="pct"/>
            <w:tcBorders>
              <w:top w:val="nil"/>
              <w:left w:val="nil"/>
              <w:bottom w:val="single" w:sz="4" w:space="0" w:color="auto"/>
              <w:right w:val="nil"/>
            </w:tcBorders>
            <w:shd w:val="clear" w:color="auto" w:fill="auto"/>
            <w:vAlign w:val="bottom"/>
            <w:hideMark/>
          </w:tcPr>
          <w:p w14:paraId="412FC578" w14:textId="77777777" w:rsidR="00A16DDB" w:rsidRPr="00D95127" w:rsidRDefault="00A16DDB" w:rsidP="002E65B3">
            <w:pPr>
              <w:pStyle w:val="UZEIZdroj"/>
            </w:pPr>
            <w:r w:rsidRPr="00D95127">
              <w:t>42 - stroje pro pěstování ovoce</w:t>
            </w:r>
          </w:p>
        </w:tc>
        <w:tc>
          <w:tcPr>
            <w:tcW w:w="1510" w:type="pct"/>
            <w:tcBorders>
              <w:top w:val="nil"/>
              <w:left w:val="single" w:sz="8" w:space="0" w:color="auto"/>
              <w:bottom w:val="single" w:sz="4" w:space="0" w:color="auto"/>
              <w:right w:val="double" w:sz="6" w:space="0" w:color="auto"/>
            </w:tcBorders>
            <w:shd w:val="clear" w:color="auto" w:fill="auto"/>
            <w:noWrap/>
            <w:vAlign w:val="bottom"/>
            <w:hideMark/>
          </w:tcPr>
          <w:p w14:paraId="60B756C5" w14:textId="77777777" w:rsidR="00A16DDB" w:rsidRPr="00D95127" w:rsidRDefault="00A16DDB" w:rsidP="002E65B3">
            <w:pPr>
              <w:pStyle w:val="UZEIZdroj"/>
            </w:pPr>
            <w:r w:rsidRPr="00D95127">
              <w:t>30,5 mil. Kč</w:t>
            </w:r>
          </w:p>
        </w:tc>
      </w:tr>
      <w:tr w:rsidR="00A16DDB" w:rsidRPr="00D95127" w14:paraId="4954AE78" w14:textId="77777777" w:rsidTr="007A627A">
        <w:trPr>
          <w:trHeight w:val="315"/>
        </w:trPr>
        <w:tc>
          <w:tcPr>
            <w:tcW w:w="349" w:type="pct"/>
            <w:vMerge/>
            <w:tcBorders>
              <w:top w:val="nil"/>
              <w:left w:val="double" w:sz="6" w:space="0" w:color="auto"/>
              <w:bottom w:val="double" w:sz="6" w:space="0" w:color="000000"/>
              <w:right w:val="single" w:sz="8" w:space="0" w:color="auto"/>
            </w:tcBorders>
            <w:vAlign w:val="center"/>
            <w:hideMark/>
          </w:tcPr>
          <w:p w14:paraId="3CC879E1" w14:textId="77777777" w:rsidR="00A16DDB" w:rsidRPr="00D95127" w:rsidRDefault="00A16DDB" w:rsidP="002E65B3">
            <w:pPr>
              <w:pStyle w:val="UZEIZdroj"/>
            </w:pPr>
          </w:p>
        </w:tc>
        <w:tc>
          <w:tcPr>
            <w:tcW w:w="3142" w:type="pct"/>
            <w:tcBorders>
              <w:top w:val="nil"/>
              <w:left w:val="nil"/>
              <w:bottom w:val="double" w:sz="6" w:space="0" w:color="auto"/>
              <w:right w:val="nil"/>
            </w:tcBorders>
            <w:shd w:val="clear" w:color="auto" w:fill="auto"/>
            <w:vAlign w:val="bottom"/>
            <w:hideMark/>
          </w:tcPr>
          <w:p w14:paraId="71F87963" w14:textId="77777777" w:rsidR="00A16DDB" w:rsidRPr="00D95127" w:rsidRDefault="00A16DDB" w:rsidP="002E65B3">
            <w:pPr>
              <w:pStyle w:val="UZEIZdroj"/>
            </w:pPr>
            <w:r w:rsidRPr="00D95127">
              <w:t>2 - technologie pro RV (ov., zel., bram.,</w:t>
            </w:r>
            <w:r w:rsidRPr="00D95127">
              <w:rPr>
                <w:rFonts w:eastAsia="Times New Roman"/>
                <w:lang w:eastAsia="cs-CZ"/>
              </w:rPr>
              <w:t xml:space="preserve"> </w:t>
            </w:r>
            <w:r w:rsidRPr="00D95127">
              <w:t>chmel)</w:t>
            </w:r>
          </w:p>
        </w:tc>
        <w:tc>
          <w:tcPr>
            <w:tcW w:w="1510" w:type="pct"/>
            <w:tcBorders>
              <w:top w:val="nil"/>
              <w:left w:val="single" w:sz="8" w:space="0" w:color="auto"/>
              <w:bottom w:val="double" w:sz="6" w:space="0" w:color="auto"/>
              <w:right w:val="double" w:sz="6" w:space="0" w:color="auto"/>
            </w:tcBorders>
            <w:shd w:val="clear" w:color="auto" w:fill="auto"/>
            <w:noWrap/>
            <w:vAlign w:val="bottom"/>
            <w:hideMark/>
          </w:tcPr>
          <w:p w14:paraId="6455C432" w14:textId="77777777" w:rsidR="00A16DDB" w:rsidRPr="00D95127" w:rsidRDefault="00A16DDB" w:rsidP="002E65B3">
            <w:pPr>
              <w:pStyle w:val="UZEIZdroj"/>
            </w:pPr>
            <w:r w:rsidRPr="00D95127">
              <w:t>6,1 mil. Kč</w:t>
            </w:r>
          </w:p>
        </w:tc>
      </w:tr>
    </w:tbl>
    <w:p w14:paraId="50B6188B" w14:textId="77777777" w:rsidR="00A16DDB" w:rsidRPr="00D95127" w:rsidRDefault="00A16DDB" w:rsidP="002E65B3">
      <w:pPr>
        <w:pStyle w:val="UZEIZdroj"/>
      </w:pPr>
      <w:r w:rsidRPr="00D95127">
        <w:t>Pramen: Situační a výhledová zpráva - zelenina 2018</w:t>
      </w:r>
    </w:p>
    <w:p w14:paraId="74D87C5C" w14:textId="77777777" w:rsidR="00A16DDB" w:rsidRPr="00D95127" w:rsidRDefault="00A16DDB" w:rsidP="002E65B3">
      <w:pPr>
        <w:pStyle w:val="UZEINormaln"/>
        <w:rPr>
          <w:rFonts w:cs="Times New Roman"/>
          <w:b/>
          <w:bCs/>
        </w:rPr>
      </w:pPr>
      <w:r w:rsidRPr="00D95127">
        <w:rPr>
          <w:rFonts w:cs="Times New Roman"/>
          <w:b/>
          <w:bCs/>
        </w:rPr>
        <w:t>Podpory v rámci SOT jsou podrobně představeny v příloze I., Analýzy ke specifickému cíli C.</w:t>
      </w:r>
    </w:p>
    <w:p w14:paraId="3027DCE5" w14:textId="77777777" w:rsidR="00A16DDB" w:rsidRPr="00D95127" w:rsidRDefault="00A16DDB" w:rsidP="002E65B3">
      <w:pPr>
        <w:pStyle w:val="Nadpis2"/>
      </w:pPr>
      <w:bookmarkStart w:id="71" w:name="_Toc23509826"/>
      <w:bookmarkStart w:id="72" w:name="_Toc76137345"/>
      <w:bookmarkStart w:id="73" w:name="_Toc76637544"/>
      <w:bookmarkStart w:id="74" w:name="_Toc80953223"/>
      <w:bookmarkStart w:id="75" w:name="_Toc81739179"/>
      <w:r w:rsidRPr="00D95127">
        <w:t>Míra současného řešení problému jinými politikami</w:t>
      </w:r>
      <w:bookmarkEnd w:id="71"/>
      <w:bookmarkEnd w:id="72"/>
      <w:bookmarkEnd w:id="73"/>
      <w:bookmarkEnd w:id="74"/>
      <w:bookmarkEnd w:id="75"/>
    </w:p>
    <w:p w14:paraId="04520042" w14:textId="3E6A0547" w:rsidR="00A16DDB" w:rsidRPr="00D95127" w:rsidRDefault="00A16DDB" w:rsidP="002E65B3">
      <w:pPr>
        <w:pStyle w:val="UZEINormaln"/>
        <w:rPr>
          <w:rFonts w:cs="Times New Roman"/>
        </w:rPr>
      </w:pPr>
      <w:r w:rsidRPr="00D95127">
        <w:rPr>
          <w:rFonts w:cs="Times New Roman"/>
        </w:rPr>
        <w:t xml:space="preserve">Další strukturální podpory usnadňující přizpůsobení se sektorů novým trendům jsou realizovány v podobě národní podpory směřující na sektor ovoce jsou v základu dvě – 1.R restrukturalizace a 1.I kapková závlaha. V sektoru zeleniny se jedná o Program 129 310 „Podpora konkurenceschopnosti agropotravinářského komplexu – závlahy – II. Etapa. </w:t>
      </w:r>
    </w:p>
    <w:p w14:paraId="38A3CB65" w14:textId="5387C3F8" w:rsidR="00A16DDB" w:rsidRPr="00D95127" w:rsidRDefault="00A16DDB" w:rsidP="002E65B3">
      <w:pPr>
        <w:pStyle w:val="UZEINormaln"/>
        <w:rPr>
          <w:rFonts w:cs="Times New Roman"/>
        </w:rPr>
      </w:pPr>
      <w:r w:rsidRPr="00D95127">
        <w:rPr>
          <w:rFonts w:cs="Times New Roman"/>
        </w:rPr>
        <w:lastRenderedPageBreak/>
        <w:t>Další podpory financované podpory financované z národních zdrojů byly v posledních letech vypláceny v reakci na nepříznivé klimatické jevy – MRÁZ a SUCHO.</w:t>
      </w:r>
    </w:p>
    <w:p w14:paraId="7EBEB11D" w14:textId="6B49A761" w:rsidR="00A16DDB" w:rsidRPr="00D95127" w:rsidRDefault="00A16DDB" w:rsidP="002E65B3">
      <w:pPr>
        <w:pStyle w:val="UZEITaB"/>
        <w:rPr>
          <w:rFonts w:cs="Times New Roman"/>
        </w:rPr>
      </w:pPr>
      <w:bookmarkStart w:id="76" w:name="_Toc81738436"/>
      <w:r w:rsidRPr="00D95127">
        <w:rPr>
          <w:rFonts w:cs="Times New Roman"/>
        </w:rPr>
        <w:t>Přehled čerpání dotace 1.I (Podpora vybudování kapkové závlahy v ovocných sadech, chmelnicích, vinicích a ve školkách) v letech 2011-2019</w:t>
      </w:r>
      <w:bookmarkEnd w:id="76"/>
    </w:p>
    <w:tbl>
      <w:tblPr>
        <w:tblW w:w="4943" w:type="pct"/>
        <w:tblCellMar>
          <w:left w:w="70" w:type="dxa"/>
          <w:right w:w="70" w:type="dxa"/>
        </w:tblCellMar>
        <w:tblLook w:val="04A0" w:firstRow="1" w:lastRow="0" w:firstColumn="1" w:lastColumn="0" w:noHBand="0" w:noVBand="1"/>
      </w:tblPr>
      <w:tblGrid>
        <w:gridCol w:w="1190"/>
        <w:gridCol w:w="709"/>
        <w:gridCol w:w="690"/>
        <w:gridCol w:w="690"/>
        <w:gridCol w:w="690"/>
        <w:gridCol w:w="690"/>
        <w:gridCol w:w="690"/>
        <w:gridCol w:w="690"/>
        <w:gridCol w:w="690"/>
        <w:gridCol w:w="690"/>
        <w:gridCol w:w="690"/>
        <w:gridCol w:w="840"/>
      </w:tblGrid>
      <w:tr w:rsidR="00A16DDB" w:rsidRPr="00D95127" w14:paraId="1ACB7A85" w14:textId="77777777" w:rsidTr="007A627A">
        <w:trPr>
          <w:trHeight w:val="300"/>
        </w:trPr>
        <w:tc>
          <w:tcPr>
            <w:tcW w:w="673" w:type="pct"/>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749D940D" w14:textId="77777777" w:rsidR="00A16DDB" w:rsidRPr="00D95127" w:rsidRDefault="00A16DDB" w:rsidP="007A627A">
            <w:pPr>
              <w:rPr>
                <w:rFonts w:cs="Times New Roman"/>
                <w:color w:val="000000"/>
                <w:sz w:val="20"/>
                <w:szCs w:val="20"/>
                <w:lang w:val="cs-CZ"/>
              </w:rPr>
            </w:pPr>
            <w:r w:rsidRPr="00D95127">
              <w:rPr>
                <w:rFonts w:eastAsia="Times New Roman" w:cs="Times New Roman"/>
                <w:color w:val="000000"/>
                <w:sz w:val="20"/>
                <w:szCs w:val="20"/>
                <w:lang w:val="cs-CZ" w:eastAsia="cs-CZ"/>
              </w:rPr>
              <w:t> </w:t>
            </w:r>
          </w:p>
        </w:tc>
        <w:tc>
          <w:tcPr>
            <w:tcW w:w="404" w:type="pct"/>
            <w:tcBorders>
              <w:top w:val="single" w:sz="8" w:space="0" w:color="auto"/>
              <w:left w:val="nil"/>
              <w:bottom w:val="single" w:sz="4" w:space="0" w:color="auto"/>
              <w:right w:val="single" w:sz="4" w:space="0" w:color="auto"/>
            </w:tcBorders>
            <w:shd w:val="clear" w:color="auto" w:fill="auto"/>
            <w:noWrap/>
            <w:vAlign w:val="bottom"/>
            <w:hideMark/>
          </w:tcPr>
          <w:p w14:paraId="5C45B3ED" w14:textId="77777777" w:rsidR="00A16DDB" w:rsidRPr="00D95127" w:rsidRDefault="00A16DDB" w:rsidP="007A627A">
            <w:pPr>
              <w:jc w:val="center"/>
              <w:rPr>
                <w:rFonts w:cs="Times New Roman"/>
                <w:b/>
                <w:color w:val="000000"/>
                <w:sz w:val="20"/>
                <w:szCs w:val="20"/>
                <w:lang w:val="cs-CZ"/>
              </w:rPr>
            </w:pPr>
            <w:r w:rsidRPr="00D95127">
              <w:rPr>
                <w:rFonts w:eastAsia="Times New Roman" w:cs="Times New Roman"/>
                <w:b/>
                <w:color w:val="000000"/>
                <w:sz w:val="20"/>
                <w:szCs w:val="20"/>
                <w:lang w:val="cs-CZ" w:eastAsia="cs-CZ"/>
              </w:rPr>
              <w:t>mj.</w:t>
            </w:r>
          </w:p>
        </w:tc>
        <w:tc>
          <w:tcPr>
            <w:tcW w:w="392" w:type="pct"/>
            <w:tcBorders>
              <w:top w:val="single" w:sz="8" w:space="0" w:color="auto"/>
              <w:left w:val="nil"/>
              <w:bottom w:val="single" w:sz="4" w:space="0" w:color="auto"/>
              <w:right w:val="single" w:sz="4" w:space="0" w:color="auto"/>
            </w:tcBorders>
            <w:shd w:val="clear" w:color="auto" w:fill="auto"/>
            <w:noWrap/>
            <w:vAlign w:val="bottom"/>
            <w:hideMark/>
          </w:tcPr>
          <w:p w14:paraId="79147904" w14:textId="77777777" w:rsidR="00A16DDB" w:rsidRPr="00D95127" w:rsidRDefault="00A16DDB" w:rsidP="007A627A">
            <w:pPr>
              <w:jc w:val="center"/>
              <w:rPr>
                <w:rFonts w:eastAsia="Times New Roman" w:cs="Times New Roman"/>
                <w:b/>
                <w:color w:val="000000"/>
                <w:sz w:val="20"/>
                <w:szCs w:val="20"/>
                <w:lang w:val="cs-CZ" w:eastAsia="cs-CZ"/>
              </w:rPr>
            </w:pPr>
            <w:r w:rsidRPr="00D95127">
              <w:rPr>
                <w:rFonts w:eastAsia="Times New Roman" w:cs="Times New Roman"/>
                <w:b/>
                <w:color w:val="000000"/>
                <w:sz w:val="20"/>
                <w:szCs w:val="20"/>
                <w:lang w:val="cs-CZ" w:eastAsia="cs-CZ"/>
              </w:rPr>
              <w:t>2011</w:t>
            </w:r>
          </w:p>
        </w:tc>
        <w:tc>
          <w:tcPr>
            <w:tcW w:w="392" w:type="pct"/>
            <w:tcBorders>
              <w:top w:val="single" w:sz="8" w:space="0" w:color="auto"/>
              <w:left w:val="nil"/>
              <w:bottom w:val="single" w:sz="4" w:space="0" w:color="auto"/>
              <w:right w:val="single" w:sz="4" w:space="0" w:color="auto"/>
            </w:tcBorders>
            <w:shd w:val="clear" w:color="auto" w:fill="auto"/>
            <w:noWrap/>
            <w:vAlign w:val="bottom"/>
            <w:hideMark/>
          </w:tcPr>
          <w:p w14:paraId="21737A34" w14:textId="77777777" w:rsidR="00A16DDB" w:rsidRPr="00D95127" w:rsidRDefault="00A16DDB" w:rsidP="007A627A">
            <w:pPr>
              <w:jc w:val="center"/>
              <w:rPr>
                <w:rFonts w:eastAsia="Times New Roman" w:cs="Times New Roman"/>
                <w:b/>
                <w:color w:val="000000"/>
                <w:sz w:val="20"/>
                <w:szCs w:val="20"/>
                <w:lang w:val="cs-CZ" w:eastAsia="cs-CZ"/>
              </w:rPr>
            </w:pPr>
            <w:r w:rsidRPr="00D95127">
              <w:rPr>
                <w:rFonts w:eastAsia="Times New Roman" w:cs="Times New Roman"/>
                <w:b/>
                <w:color w:val="000000"/>
                <w:sz w:val="20"/>
                <w:szCs w:val="20"/>
                <w:lang w:val="cs-CZ" w:eastAsia="cs-CZ"/>
              </w:rPr>
              <w:t>2012</w:t>
            </w:r>
          </w:p>
        </w:tc>
        <w:tc>
          <w:tcPr>
            <w:tcW w:w="392" w:type="pct"/>
            <w:tcBorders>
              <w:top w:val="single" w:sz="8" w:space="0" w:color="auto"/>
              <w:left w:val="nil"/>
              <w:bottom w:val="single" w:sz="4" w:space="0" w:color="auto"/>
              <w:right w:val="single" w:sz="4" w:space="0" w:color="auto"/>
            </w:tcBorders>
            <w:shd w:val="clear" w:color="auto" w:fill="auto"/>
            <w:noWrap/>
            <w:vAlign w:val="bottom"/>
            <w:hideMark/>
          </w:tcPr>
          <w:p w14:paraId="6623D828" w14:textId="77777777" w:rsidR="00A16DDB" w:rsidRPr="00D95127" w:rsidRDefault="00A16DDB" w:rsidP="007A627A">
            <w:pPr>
              <w:jc w:val="center"/>
              <w:rPr>
                <w:rFonts w:eastAsia="Times New Roman" w:cs="Times New Roman"/>
                <w:b/>
                <w:color w:val="000000"/>
                <w:sz w:val="20"/>
                <w:szCs w:val="20"/>
                <w:lang w:val="cs-CZ" w:eastAsia="cs-CZ"/>
              </w:rPr>
            </w:pPr>
            <w:r w:rsidRPr="00D95127">
              <w:rPr>
                <w:rFonts w:eastAsia="Times New Roman" w:cs="Times New Roman"/>
                <w:b/>
                <w:color w:val="000000"/>
                <w:sz w:val="20"/>
                <w:szCs w:val="20"/>
                <w:lang w:val="cs-CZ" w:eastAsia="cs-CZ"/>
              </w:rPr>
              <w:t>2013</w:t>
            </w:r>
          </w:p>
        </w:tc>
        <w:tc>
          <w:tcPr>
            <w:tcW w:w="392" w:type="pct"/>
            <w:tcBorders>
              <w:top w:val="single" w:sz="8" w:space="0" w:color="auto"/>
              <w:left w:val="nil"/>
              <w:bottom w:val="single" w:sz="4" w:space="0" w:color="auto"/>
              <w:right w:val="single" w:sz="4" w:space="0" w:color="auto"/>
            </w:tcBorders>
            <w:shd w:val="clear" w:color="auto" w:fill="auto"/>
            <w:noWrap/>
            <w:vAlign w:val="bottom"/>
            <w:hideMark/>
          </w:tcPr>
          <w:p w14:paraId="08286A60" w14:textId="77777777" w:rsidR="00A16DDB" w:rsidRPr="00D95127" w:rsidRDefault="00A16DDB" w:rsidP="007A627A">
            <w:pPr>
              <w:jc w:val="center"/>
              <w:rPr>
                <w:rFonts w:eastAsia="Times New Roman" w:cs="Times New Roman"/>
                <w:b/>
                <w:color w:val="000000"/>
                <w:sz w:val="20"/>
                <w:szCs w:val="20"/>
                <w:lang w:val="cs-CZ" w:eastAsia="cs-CZ"/>
              </w:rPr>
            </w:pPr>
            <w:r w:rsidRPr="00D95127">
              <w:rPr>
                <w:rFonts w:eastAsia="Times New Roman" w:cs="Times New Roman"/>
                <w:b/>
                <w:color w:val="000000"/>
                <w:sz w:val="20"/>
                <w:szCs w:val="20"/>
                <w:lang w:val="cs-CZ" w:eastAsia="cs-CZ"/>
              </w:rPr>
              <w:t>2014</w:t>
            </w:r>
          </w:p>
        </w:tc>
        <w:tc>
          <w:tcPr>
            <w:tcW w:w="392" w:type="pct"/>
            <w:tcBorders>
              <w:top w:val="single" w:sz="8" w:space="0" w:color="auto"/>
              <w:left w:val="nil"/>
              <w:bottom w:val="single" w:sz="4" w:space="0" w:color="auto"/>
              <w:right w:val="single" w:sz="4" w:space="0" w:color="auto"/>
            </w:tcBorders>
            <w:shd w:val="clear" w:color="auto" w:fill="auto"/>
            <w:noWrap/>
            <w:vAlign w:val="bottom"/>
            <w:hideMark/>
          </w:tcPr>
          <w:p w14:paraId="11859150" w14:textId="77777777" w:rsidR="00A16DDB" w:rsidRPr="00D95127" w:rsidRDefault="00A16DDB" w:rsidP="007A627A">
            <w:pPr>
              <w:jc w:val="center"/>
              <w:rPr>
                <w:rFonts w:eastAsia="Times New Roman" w:cs="Times New Roman"/>
                <w:b/>
                <w:color w:val="000000"/>
                <w:sz w:val="20"/>
                <w:szCs w:val="20"/>
                <w:lang w:val="cs-CZ" w:eastAsia="cs-CZ"/>
              </w:rPr>
            </w:pPr>
            <w:r w:rsidRPr="00D95127">
              <w:rPr>
                <w:rFonts w:eastAsia="Times New Roman" w:cs="Times New Roman"/>
                <w:b/>
                <w:color w:val="000000"/>
                <w:sz w:val="20"/>
                <w:szCs w:val="20"/>
                <w:lang w:val="cs-CZ" w:eastAsia="cs-CZ"/>
              </w:rPr>
              <w:t>2015</w:t>
            </w:r>
          </w:p>
        </w:tc>
        <w:tc>
          <w:tcPr>
            <w:tcW w:w="392" w:type="pct"/>
            <w:tcBorders>
              <w:top w:val="single" w:sz="8" w:space="0" w:color="auto"/>
              <w:left w:val="nil"/>
              <w:bottom w:val="single" w:sz="4" w:space="0" w:color="auto"/>
              <w:right w:val="single" w:sz="4" w:space="0" w:color="auto"/>
            </w:tcBorders>
            <w:shd w:val="clear" w:color="auto" w:fill="auto"/>
            <w:noWrap/>
            <w:vAlign w:val="bottom"/>
            <w:hideMark/>
          </w:tcPr>
          <w:p w14:paraId="4C245286" w14:textId="77777777" w:rsidR="00A16DDB" w:rsidRPr="00D95127" w:rsidRDefault="00A16DDB" w:rsidP="007A627A">
            <w:pPr>
              <w:jc w:val="center"/>
              <w:rPr>
                <w:rFonts w:eastAsia="Times New Roman" w:cs="Times New Roman"/>
                <w:b/>
                <w:color w:val="000000"/>
                <w:sz w:val="20"/>
                <w:szCs w:val="20"/>
                <w:lang w:val="cs-CZ" w:eastAsia="cs-CZ"/>
              </w:rPr>
            </w:pPr>
            <w:r w:rsidRPr="00D95127">
              <w:rPr>
                <w:rFonts w:eastAsia="Times New Roman" w:cs="Times New Roman"/>
                <w:b/>
                <w:color w:val="000000"/>
                <w:sz w:val="20"/>
                <w:szCs w:val="20"/>
                <w:lang w:val="cs-CZ" w:eastAsia="cs-CZ"/>
              </w:rPr>
              <w:t>2016</w:t>
            </w:r>
          </w:p>
        </w:tc>
        <w:tc>
          <w:tcPr>
            <w:tcW w:w="392" w:type="pct"/>
            <w:tcBorders>
              <w:top w:val="single" w:sz="8" w:space="0" w:color="auto"/>
              <w:left w:val="nil"/>
              <w:bottom w:val="single" w:sz="4" w:space="0" w:color="auto"/>
              <w:right w:val="single" w:sz="4" w:space="0" w:color="auto"/>
            </w:tcBorders>
            <w:shd w:val="clear" w:color="auto" w:fill="auto"/>
            <w:noWrap/>
            <w:vAlign w:val="bottom"/>
            <w:hideMark/>
          </w:tcPr>
          <w:p w14:paraId="287EBBD1" w14:textId="77777777" w:rsidR="00A16DDB" w:rsidRPr="00D95127" w:rsidRDefault="00A16DDB" w:rsidP="007A627A">
            <w:pPr>
              <w:jc w:val="center"/>
              <w:rPr>
                <w:rFonts w:eastAsia="Times New Roman" w:cs="Times New Roman"/>
                <w:b/>
                <w:color w:val="000000"/>
                <w:sz w:val="20"/>
                <w:szCs w:val="20"/>
                <w:lang w:val="cs-CZ" w:eastAsia="cs-CZ"/>
              </w:rPr>
            </w:pPr>
            <w:r w:rsidRPr="00D95127">
              <w:rPr>
                <w:rFonts w:eastAsia="Times New Roman" w:cs="Times New Roman"/>
                <w:b/>
                <w:color w:val="000000"/>
                <w:sz w:val="20"/>
                <w:szCs w:val="20"/>
                <w:lang w:val="cs-CZ" w:eastAsia="cs-CZ"/>
              </w:rPr>
              <w:t>2017</w:t>
            </w:r>
          </w:p>
        </w:tc>
        <w:tc>
          <w:tcPr>
            <w:tcW w:w="392" w:type="pct"/>
            <w:tcBorders>
              <w:top w:val="single" w:sz="8" w:space="0" w:color="auto"/>
              <w:left w:val="nil"/>
              <w:bottom w:val="single" w:sz="4" w:space="0" w:color="auto"/>
              <w:right w:val="single" w:sz="8" w:space="0" w:color="auto"/>
            </w:tcBorders>
            <w:shd w:val="clear" w:color="auto" w:fill="auto"/>
            <w:noWrap/>
            <w:vAlign w:val="bottom"/>
            <w:hideMark/>
          </w:tcPr>
          <w:p w14:paraId="20F8124D" w14:textId="77777777" w:rsidR="00A16DDB" w:rsidRPr="00D95127" w:rsidRDefault="00A16DDB" w:rsidP="007A627A">
            <w:pPr>
              <w:jc w:val="center"/>
              <w:rPr>
                <w:rFonts w:eastAsia="Times New Roman" w:cs="Times New Roman"/>
                <w:b/>
                <w:color w:val="000000"/>
                <w:sz w:val="20"/>
                <w:szCs w:val="20"/>
                <w:lang w:val="cs-CZ" w:eastAsia="cs-CZ"/>
              </w:rPr>
            </w:pPr>
            <w:r w:rsidRPr="00D95127">
              <w:rPr>
                <w:rFonts w:eastAsia="Times New Roman" w:cs="Times New Roman"/>
                <w:b/>
                <w:color w:val="000000"/>
                <w:sz w:val="20"/>
                <w:szCs w:val="20"/>
                <w:lang w:val="cs-CZ" w:eastAsia="cs-CZ"/>
              </w:rPr>
              <w:t>2018</w:t>
            </w:r>
          </w:p>
        </w:tc>
        <w:tc>
          <w:tcPr>
            <w:tcW w:w="392" w:type="pct"/>
            <w:tcBorders>
              <w:top w:val="single" w:sz="8" w:space="0" w:color="auto"/>
              <w:left w:val="nil"/>
              <w:bottom w:val="single" w:sz="4" w:space="0" w:color="auto"/>
              <w:right w:val="single" w:sz="8" w:space="0" w:color="auto"/>
            </w:tcBorders>
            <w:vAlign w:val="bottom"/>
          </w:tcPr>
          <w:p w14:paraId="67E2D17D" w14:textId="77777777" w:rsidR="00A16DDB" w:rsidRPr="00D95127" w:rsidRDefault="00A16DDB" w:rsidP="007A627A">
            <w:pPr>
              <w:jc w:val="center"/>
              <w:rPr>
                <w:rFonts w:eastAsia="Times New Roman" w:cs="Times New Roman"/>
                <w:b/>
                <w:color w:val="000000"/>
                <w:sz w:val="20"/>
                <w:szCs w:val="20"/>
                <w:lang w:val="cs-CZ" w:eastAsia="cs-CZ"/>
              </w:rPr>
            </w:pPr>
            <w:r w:rsidRPr="00D95127">
              <w:rPr>
                <w:rFonts w:eastAsia="Times New Roman" w:cs="Times New Roman"/>
                <w:b/>
                <w:color w:val="000000"/>
                <w:sz w:val="20"/>
                <w:szCs w:val="20"/>
                <w:lang w:val="cs-CZ" w:eastAsia="cs-CZ"/>
              </w:rPr>
              <w:t>2019</w:t>
            </w:r>
          </w:p>
        </w:tc>
        <w:tc>
          <w:tcPr>
            <w:tcW w:w="392" w:type="pct"/>
            <w:tcBorders>
              <w:top w:val="single" w:sz="8" w:space="0" w:color="auto"/>
              <w:left w:val="nil"/>
              <w:bottom w:val="single" w:sz="4" w:space="0" w:color="auto"/>
              <w:right w:val="single" w:sz="8" w:space="0" w:color="auto"/>
            </w:tcBorders>
            <w:vAlign w:val="bottom"/>
          </w:tcPr>
          <w:p w14:paraId="038B8720" w14:textId="77777777" w:rsidR="00A16DDB" w:rsidRPr="00D95127" w:rsidRDefault="00A16DDB" w:rsidP="007A627A">
            <w:pPr>
              <w:jc w:val="center"/>
              <w:rPr>
                <w:rFonts w:eastAsia="Times New Roman" w:cs="Times New Roman"/>
                <w:b/>
                <w:color w:val="000000"/>
                <w:sz w:val="20"/>
                <w:szCs w:val="20"/>
                <w:lang w:val="cs-CZ" w:eastAsia="cs-CZ"/>
              </w:rPr>
            </w:pPr>
            <w:r w:rsidRPr="00D95127">
              <w:rPr>
                <w:rFonts w:eastAsia="Times New Roman" w:cs="Times New Roman"/>
                <w:b/>
                <w:color w:val="000000"/>
                <w:sz w:val="20"/>
                <w:szCs w:val="20"/>
                <w:lang w:val="cs-CZ" w:eastAsia="cs-CZ"/>
              </w:rPr>
              <w:t>2020</w:t>
            </w:r>
          </w:p>
        </w:tc>
      </w:tr>
      <w:tr w:rsidR="00A16DDB" w:rsidRPr="00D95127" w14:paraId="65199220" w14:textId="77777777" w:rsidTr="007A627A">
        <w:trPr>
          <w:trHeight w:val="300"/>
        </w:trPr>
        <w:tc>
          <w:tcPr>
            <w:tcW w:w="673" w:type="pct"/>
            <w:tcBorders>
              <w:top w:val="nil"/>
              <w:left w:val="single" w:sz="8" w:space="0" w:color="auto"/>
              <w:bottom w:val="single" w:sz="4" w:space="0" w:color="auto"/>
              <w:right w:val="single" w:sz="4" w:space="0" w:color="auto"/>
            </w:tcBorders>
            <w:shd w:val="clear" w:color="auto" w:fill="auto"/>
            <w:noWrap/>
            <w:vAlign w:val="bottom"/>
            <w:hideMark/>
          </w:tcPr>
          <w:p w14:paraId="0B27F405" w14:textId="77777777" w:rsidR="00A16DDB" w:rsidRPr="00D95127" w:rsidRDefault="00A16DDB" w:rsidP="007A627A">
            <w:pPr>
              <w:rPr>
                <w:rFonts w:cs="Times New Roman"/>
                <w:color w:val="000000"/>
                <w:sz w:val="20"/>
                <w:szCs w:val="20"/>
                <w:lang w:val="cs-CZ"/>
              </w:rPr>
            </w:pPr>
            <w:r w:rsidRPr="00D95127">
              <w:rPr>
                <w:rFonts w:eastAsia="Times New Roman" w:cs="Times New Roman"/>
                <w:color w:val="000000"/>
                <w:sz w:val="20"/>
                <w:szCs w:val="20"/>
                <w:lang w:val="cs-CZ" w:eastAsia="cs-CZ"/>
              </w:rPr>
              <w:t>přijatých</w:t>
            </w:r>
          </w:p>
        </w:tc>
        <w:tc>
          <w:tcPr>
            <w:tcW w:w="404" w:type="pct"/>
            <w:tcBorders>
              <w:top w:val="nil"/>
              <w:left w:val="nil"/>
              <w:bottom w:val="single" w:sz="4" w:space="0" w:color="auto"/>
              <w:right w:val="single" w:sz="4" w:space="0" w:color="auto"/>
            </w:tcBorders>
            <w:shd w:val="clear" w:color="auto" w:fill="auto"/>
            <w:noWrap/>
            <w:vAlign w:val="bottom"/>
            <w:hideMark/>
          </w:tcPr>
          <w:p w14:paraId="16C92408" w14:textId="77777777" w:rsidR="00A16DDB" w:rsidRPr="00D95127" w:rsidRDefault="00A16DDB" w:rsidP="007A627A">
            <w:pPr>
              <w:jc w:val="center"/>
              <w:rPr>
                <w:rFonts w:cs="Times New Roman"/>
                <w:color w:val="000000"/>
                <w:sz w:val="20"/>
                <w:szCs w:val="20"/>
                <w:lang w:val="cs-CZ"/>
              </w:rPr>
            </w:pPr>
            <w:r w:rsidRPr="00D95127">
              <w:rPr>
                <w:rFonts w:eastAsia="Times New Roman" w:cs="Times New Roman"/>
                <w:color w:val="000000"/>
                <w:sz w:val="20"/>
                <w:szCs w:val="20"/>
                <w:lang w:val="cs-CZ" w:eastAsia="cs-CZ"/>
              </w:rPr>
              <w:t>ks</w:t>
            </w:r>
          </w:p>
        </w:tc>
        <w:tc>
          <w:tcPr>
            <w:tcW w:w="392" w:type="pct"/>
            <w:tcBorders>
              <w:top w:val="nil"/>
              <w:left w:val="nil"/>
              <w:bottom w:val="single" w:sz="4" w:space="0" w:color="auto"/>
              <w:right w:val="single" w:sz="4" w:space="0" w:color="auto"/>
            </w:tcBorders>
            <w:shd w:val="clear" w:color="auto" w:fill="auto"/>
            <w:noWrap/>
            <w:vAlign w:val="bottom"/>
            <w:hideMark/>
          </w:tcPr>
          <w:p w14:paraId="3D7813EF"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29</w:t>
            </w:r>
          </w:p>
        </w:tc>
        <w:tc>
          <w:tcPr>
            <w:tcW w:w="392" w:type="pct"/>
            <w:tcBorders>
              <w:top w:val="nil"/>
              <w:left w:val="nil"/>
              <w:bottom w:val="single" w:sz="4" w:space="0" w:color="auto"/>
              <w:right w:val="single" w:sz="4" w:space="0" w:color="auto"/>
            </w:tcBorders>
            <w:shd w:val="clear" w:color="auto" w:fill="auto"/>
            <w:noWrap/>
            <w:vAlign w:val="bottom"/>
            <w:hideMark/>
          </w:tcPr>
          <w:p w14:paraId="42A1872C"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38</w:t>
            </w:r>
          </w:p>
        </w:tc>
        <w:tc>
          <w:tcPr>
            <w:tcW w:w="392" w:type="pct"/>
            <w:tcBorders>
              <w:top w:val="nil"/>
              <w:left w:val="nil"/>
              <w:bottom w:val="single" w:sz="4" w:space="0" w:color="auto"/>
              <w:right w:val="single" w:sz="4" w:space="0" w:color="auto"/>
            </w:tcBorders>
            <w:shd w:val="clear" w:color="auto" w:fill="auto"/>
            <w:noWrap/>
            <w:vAlign w:val="bottom"/>
            <w:hideMark/>
          </w:tcPr>
          <w:p w14:paraId="49CB8A89"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28</w:t>
            </w:r>
          </w:p>
        </w:tc>
        <w:tc>
          <w:tcPr>
            <w:tcW w:w="392" w:type="pct"/>
            <w:tcBorders>
              <w:top w:val="nil"/>
              <w:left w:val="nil"/>
              <w:bottom w:val="single" w:sz="4" w:space="0" w:color="auto"/>
              <w:right w:val="single" w:sz="4" w:space="0" w:color="auto"/>
            </w:tcBorders>
            <w:shd w:val="clear" w:color="auto" w:fill="auto"/>
            <w:noWrap/>
            <w:vAlign w:val="bottom"/>
            <w:hideMark/>
          </w:tcPr>
          <w:p w14:paraId="208E84A9"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38</w:t>
            </w:r>
          </w:p>
        </w:tc>
        <w:tc>
          <w:tcPr>
            <w:tcW w:w="392" w:type="pct"/>
            <w:tcBorders>
              <w:top w:val="nil"/>
              <w:left w:val="nil"/>
              <w:bottom w:val="single" w:sz="4" w:space="0" w:color="auto"/>
              <w:right w:val="single" w:sz="4" w:space="0" w:color="auto"/>
            </w:tcBorders>
            <w:shd w:val="clear" w:color="auto" w:fill="auto"/>
            <w:noWrap/>
            <w:vAlign w:val="bottom"/>
            <w:hideMark/>
          </w:tcPr>
          <w:p w14:paraId="16840789"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37</w:t>
            </w:r>
          </w:p>
        </w:tc>
        <w:tc>
          <w:tcPr>
            <w:tcW w:w="392" w:type="pct"/>
            <w:tcBorders>
              <w:top w:val="nil"/>
              <w:left w:val="nil"/>
              <w:bottom w:val="single" w:sz="4" w:space="0" w:color="auto"/>
              <w:right w:val="single" w:sz="4" w:space="0" w:color="auto"/>
            </w:tcBorders>
            <w:shd w:val="clear" w:color="auto" w:fill="auto"/>
            <w:noWrap/>
            <w:vAlign w:val="bottom"/>
            <w:hideMark/>
          </w:tcPr>
          <w:p w14:paraId="6221D8D3"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42</w:t>
            </w:r>
          </w:p>
        </w:tc>
        <w:tc>
          <w:tcPr>
            <w:tcW w:w="392" w:type="pct"/>
            <w:tcBorders>
              <w:top w:val="nil"/>
              <w:left w:val="nil"/>
              <w:bottom w:val="single" w:sz="4" w:space="0" w:color="auto"/>
              <w:right w:val="single" w:sz="4" w:space="0" w:color="auto"/>
            </w:tcBorders>
            <w:shd w:val="clear" w:color="auto" w:fill="auto"/>
            <w:noWrap/>
            <w:vAlign w:val="bottom"/>
            <w:hideMark/>
          </w:tcPr>
          <w:p w14:paraId="4788107C"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51</w:t>
            </w:r>
          </w:p>
        </w:tc>
        <w:tc>
          <w:tcPr>
            <w:tcW w:w="392" w:type="pct"/>
            <w:tcBorders>
              <w:top w:val="nil"/>
              <w:left w:val="nil"/>
              <w:bottom w:val="single" w:sz="4" w:space="0" w:color="auto"/>
              <w:right w:val="single" w:sz="8" w:space="0" w:color="auto"/>
            </w:tcBorders>
            <w:shd w:val="clear" w:color="auto" w:fill="auto"/>
            <w:noWrap/>
            <w:vAlign w:val="bottom"/>
            <w:hideMark/>
          </w:tcPr>
          <w:p w14:paraId="49ED4C39"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63</w:t>
            </w:r>
          </w:p>
        </w:tc>
        <w:tc>
          <w:tcPr>
            <w:tcW w:w="392" w:type="pct"/>
            <w:tcBorders>
              <w:top w:val="nil"/>
              <w:left w:val="nil"/>
              <w:bottom w:val="single" w:sz="4" w:space="0" w:color="auto"/>
              <w:right w:val="single" w:sz="8" w:space="0" w:color="auto"/>
            </w:tcBorders>
            <w:vAlign w:val="bottom"/>
          </w:tcPr>
          <w:p w14:paraId="2F92051E"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78</w:t>
            </w:r>
          </w:p>
        </w:tc>
        <w:tc>
          <w:tcPr>
            <w:tcW w:w="392" w:type="pct"/>
            <w:tcBorders>
              <w:top w:val="nil"/>
              <w:left w:val="nil"/>
              <w:bottom w:val="single" w:sz="4" w:space="0" w:color="auto"/>
              <w:right w:val="single" w:sz="8" w:space="0" w:color="auto"/>
            </w:tcBorders>
            <w:vAlign w:val="bottom"/>
          </w:tcPr>
          <w:p w14:paraId="0FDB24A5"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57</w:t>
            </w:r>
          </w:p>
        </w:tc>
      </w:tr>
      <w:tr w:rsidR="00A16DDB" w:rsidRPr="00D95127" w14:paraId="63F60F40" w14:textId="77777777" w:rsidTr="007A627A">
        <w:trPr>
          <w:trHeight w:val="300"/>
        </w:trPr>
        <w:tc>
          <w:tcPr>
            <w:tcW w:w="673" w:type="pct"/>
            <w:tcBorders>
              <w:top w:val="nil"/>
              <w:left w:val="single" w:sz="8" w:space="0" w:color="auto"/>
              <w:bottom w:val="single" w:sz="4" w:space="0" w:color="auto"/>
              <w:right w:val="single" w:sz="4" w:space="0" w:color="auto"/>
            </w:tcBorders>
            <w:shd w:val="clear" w:color="auto" w:fill="auto"/>
            <w:noWrap/>
            <w:vAlign w:val="bottom"/>
            <w:hideMark/>
          </w:tcPr>
          <w:p w14:paraId="2107BAB5"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schválených</w:t>
            </w:r>
          </w:p>
        </w:tc>
        <w:tc>
          <w:tcPr>
            <w:tcW w:w="404" w:type="pct"/>
            <w:tcBorders>
              <w:top w:val="nil"/>
              <w:left w:val="nil"/>
              <w:bottom w:val="single" w:sz="4" w:space="0" w:color="auto"/>
              <w:right w:val="single" w:sz="4" w:space="0" w:color="auto"/>
            </w:tcBorders>
            <w:shd w:val="clear" w:color="auto" w:fill="auto"/>
            <w:noWrap/>
            <w:vAlign w:val="bottom"/>
            <w:hideMark/>
          </w:tcPr>
          <w:p w14:paraId="40926681"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ks</w:t>
            </w:r>
          </w:p>
        </w:tc>
        <w:tc>
          <w:tcPr>
            <w:tcW w:w="392" w:type="pct"/>
            <w:tcBorders>
              <w:top w:val="nil"/>
              <w:left w:val="nil"/>
              <w:bottom w:val="single" w:sz="4" w:space="0" w:color="auto"/>
              <w:right w:val="single" w:sz="4" w:space="0" w:color="auto"/>
            </w:tcBorders>
            <w:shd w:val="clear" w:color="auto" w:fill="auto"/>
            <w:noWrap/>
            <w:vAlign w:val="bottom"/>
            <w:hideMark/>
          </w:tcPr>
          <w:p w14:paraId="4B7337E8"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27</w:t>
            </w:r>
          </w:p>
        </w:tc>
        <w:tc>
          <w:tcPr>
            <w:tcW w:w="392" w:type="pct"/>
            <w:tcBorders>
              <w:top w:val="nil"/>
              <w:left w:val="nil"/>
              <w:bottom w:val="single" w:sz="4" w:space="0" w:color="auto"/>
              <w:right w:val="single" w:sz="4" w:space="0" w:color="auto"/>
            </w:tcBorders>
            <w:shd w:val="clear" w:color="auto" w:fill="auto"/>
            <w:noWrap/>
            <w:vAlign w:val="bottom"/>
            <w:hideMark/>
          </w:tcPr>
          <w:p w14:paraId="1E349F57"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33</w:t>
            </w:r>
          </w:p>
        </w:tc>
        <w:tc>
          <w:tcPr>
            <w:tcW w:w="392" w:type="pct"/>
            <w:tcBorders>
              <w:top w:val="nil"/>
              <w:left w:val="nil"/>
              <w:bottom w:val="single" w:sz="4" w:space="0" w:color="auto"/>
              <w:right w:val="single" w:sz="4" w:space="0" w:color="auto"/>
            </w:tcBorders>
            <w:shd w:val="clear" w:color="auto" w:fill="auto"/>
            <w:noWrap/>
            <w:vAlign w:val="bottom"/>
            <w:hideMark/>
          </w:tcPr>
          <w:p w14:paraId="63D1A133"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27</w:t>
            </w:r>
          </w:p>
        </w:tc>
        <w:tc>
          <w:tcPr>
            <w:tcW w:w="392" w:type="pct"/>
            <w:tcBorders>
              <w:top w:val="nil"/>
              <w:left w:val="nil"/>
              <w:bottom w:val="single" w:sz="4" w:space="0" w:color="auto"/>
              <w:right w:val="single" w:sz="4" w:space="0" w:color="auto"/>
            </w:tcBorders>
            <w:shd w:val="clear" w:color="auto" w:fill="auto"/>
            <w:noWrap/>
            <w:vAlign w:val="bottom"/>
            <w:hideMark/>
          </w:tcPr>
          <w:p w14:paraId="7C21FE23"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37</w:t>
            </w:r>
          </w:p>
        </w:tc>
        <w:tc>
          <w:tcPr>
            <w:tcW w:w="392" w:type="pct"/>
            <w:tcBorders>
              <w:top w:val="nil"/>
              <w:left w:val="nil"/>
              <w:bottom w:val="single" w:sz="4" w:space="0" w:color="auto"/>
              <w:right w:val="single" w:sz="4" w:space="0" w:color="auto"/>
            </w:tcBorders>
            <w:shd w:val="clear" w:color="auto" w:fill="auto"/>
            <w:noWrap/>
            <w:vAlign w:val="bottom"/>
            <w:hideMark/>
          </w:tcPr>
          <w:p w14:paraId="3F1F7209"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37</w:t>
            </w:r>
          </w:p>
        </w:tc>
        <w:tc>
          <w:tcPr>
            <w:tcW w:w="392" w:type="pct"/>
            <w:tcBorders>
              <w:top w:val="nil"/>
              <w:left w:val="nil"/>
              <w:bottom w:val="single" w:sz="4" w:space="0" w:color="auto"/>
              <w:right w:val="single" w:sz="4" w:space="0" w:color="auto"/>
            </w:tcBorders>
            <w:shd w:val="clear" w:color="auto" w:fill="auto"/>
            <w:noWrap/>
            <w:vAlign w:val="bottom"/>
            <w:hideMark/>
          </w:tcPr>
          <w:p w14:paraId="34669DB6"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41</w:t>
            </w:r>
          </w:p>
        </w:tc>
        <w:tc>
          <w:tcPr>
            <w:tcW w:w="392" w:type="pct"/>
            <w:tcBorders>
              <w:top w:val="nil"/>
              <w:left w:val="nil"/>
              <w:bottom w:val="single" w:sz="4" w:space="0" w:color="auto"/>
              <w:right w:val="single" w:sz="4" w:space="0" w:color="auto"/>
            </w:tcBorders>
            <w:shd w:val="clear" w:color="auto" w:fill="auto"/>
            <w:noWrap/>
            <w:vAlign w:val="bottom"/>
            <w:hideMark/>
          </w:tcPr>
          <w:p w14:paraId="5FBD0BCF"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51</w:t>
            </w:r>
          </w:p>
        </w:tc>
        <w:tc>
          <w:tcPr>
            <w:tcW w:w="392" w:type="pct"/>
            <w:tcBorders>
              <w:top w:val="nil"/>
              <w:left w:val="nil"/>
              <w:bottom w:val="single" w:sz="4" w:space="0" w:color="auto"/>
              <w:right w:val="single" w:sz="8" w:space="0" w:color="auto"/>
            </w:tcBorders>
            <w:shd w:val="clear" w:color="auto" w:fill="auto"/>
            <w:noWrap/>
            <w:vAlign w:val="bottom"/>
            <w:hideMark/>
          </w:tcPr>
          <w:p w14:paraId="727AE2FB"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61</w:t>
            </w:r>
          </w:p>
        </w:tc>
        <w:tc>
          <w:tcPr>
            <w:tcW w:w="392" w:type="pct"/>
            <w:tcBorders>
              <w:top w:val="nil"/>
              <w:left w:val="nil"/>
              <w:bottom w:val="single" w:sz="4" w:space="0" w:color="auto"/>
              <w:right w:val="single" w:sz="8" w:space="0" w:color="auto"/>
            </w:tcBorders>
            <w:vAlign w:val="bottom"/>
          </w:tcPr>
          <w:p w14:paraId="6F62AEC4"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63</w:t>
            </w:r>
          </w:p>
        </w:tc>
        <w:tc>
          <w:tcPr>
            <w:tcW w:w="392" w:type="pct"/>
            <w:tcBorders>
              <w:top w:val="nil"/>
              <w:left w:val="nil"/>
              <w:bottom w:val="single" w:sz="4" w:space="0" w:color="auto"/>
              <w:right w:val="single" w:sz="8" w:space="0" w:color="auto"/>
            </w:tcBorders>
            <w:vAlign w:val="bottom"/>
          </w:tcPr>
          <w:p w14:paraId="37D79183"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44</w:t>
            </w:r>
          </w:p>
        </w:tc>
      </w:tr>
      <w:tr w:rsidR="00A16DDB" w:rsidRPr="00D95127" w14:paraId="5A28EBC6" w14:textId="77777777" w:rsidTr="007A627A">
        <w:trPr>
          <w:trHeight w:val="300"/>
        </w:trPr>
        <w:tc>
          <w:tcPr>
            <w:tcW w:w="673" w:type="pct"/>
            <w:tcBorders>
              <w:top w:val="nil"/>
              <w:left w:val="single" w:sz="8" w:space="0" w:color="auto"/>
              <w:bottom w:val="single" w:sz="4" w:space="0" w:color="auto"/>
              <w:right w:val="single" w:sz="4" w:space="0" w:color="auto"/>
            </w:tcBorders>
            <w:shd w:val="clear" w:color="auto" w:fill="auto"/>
            <w:noWrap/>
            <w:vAlign w:val="bottom"/>
            <w:hideMark/>
          </w:tcPr>
          <w:p w14:paraId="71B40115"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vinice</w:t>
            </w:r>
          </w:p>
        </w:tc>
        <w:tc>
          <w:tcPr>
            <w:tcW w:w="404" w:type="pct"/>
            <w:tcBorders>
              <w:top w:val="nil"/>
              <w:left w:val="nil"/>
              <w:bottom w:val="single" w:sz="4" w:space="0" w:color="auto"/>
              <w:right w:val="single" w:sz="4" w:space="0" w:color="auto"/>
            </w:tcBorders>
            <w:shd w:val="clear" w:color="auto" w:fill="auto"/>
            <w:noWrap/>
            <w:vAlign w:val="bottom"/>
            <w:hideMark/>
          </w:tcPr>
          <w:p w14:paraId="219A85FB"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ha</w:t>
            </w:r>
          </w:p>
        </w:tc>
        <w:tc>
          <w:tcPr>
            <w:tcW w:w="392" w:type="pct"/>
            <w:tcBorders>
              <w:top w:val="nil"/>
              <w:left w:val="nil"/>
              <w:bottom w:val="single" w:sz="4" w:space="0" w:color="auto"/>
              <w:right w:val="single" w:sz="4" w:space="0" w:color="auto"/>
            </w:tcBorders>
            <w:shd w:val="clear" w:color="auto" w:fill="auto"/>
            <w:noWrap/>
            <w:vAlign w:val="bottom"/>
            <w:hideMark/>
          </w:tcPr>
          <w:p w14:paraId="4012B1B2"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35</w:t>
            </w:r>
          </w:p>
        </w:tc>
        <w:tc>
          <w:tcPr>
            <w:tcW w:w="392" w:type="pct"/>
            <w:tcBorders>
              <w:top w:val="nil"/>
              <w:left w:val="nil"/>
              <w:bottom w:val="single" w:sz="4" w:space="0" w:color="auto"/>
              <w:right w:val="single" w:sz="4" w:space="0" w:color="auto"/>
            </w:tcBorders>
            <w:shd w:val="clear" w:color="auto" w:fill="auto"/>
            <w:noWrap/>
            <w:vAlign w:val="bottom"/>
            <w:hideMark/>
          </w:tcPr>
          <w:p w14:paraId="2837C664"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75</w:t>
            </w:r>
          </w:p>
        </w:tc>
        <w:tc>
          <w:tcPr>
            <w:tcW w:w="392" w:type="pct"/>
            <w:tcBorders>
              <w:top w:val="nil"/>
              <w:left w:val="nil"/>
              <w:bottom w:val="single" w:sz="4" w:space="0" w:color="auto"/>
              <w:right w:val="single" w:sz="4" w:space="0" w:color="auto"/>
            </w:tcBorders>
            <w:shd w:val="clear" w:color="auto" w:fill="auto"/>
            <w:noWrap/>
            <w:vAlign w:val="bottom"/>
            <w:hideMark/>
          </w:tcPr>
          <w:p w14:paraId="7EC2C42A"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44</w:t>
            </w:r>
          </w:p>
        </w:tc>
        <w:tc>
          <w:tcPr>
            <w:tcW w:w="392" w:type="pct"/>
            <w:tcBorders>
              <w:top w:val="nil"/>
              <w:left w:val="nil"/>
              <w:bottom w:val="single" w:sz="4" w:space="0" w:color="auto"/>
              <w:right w:val="single" w:sz="4" w:space="0" w:color="auto"/>
            </w:tcBorders>
            <w:shd w:val="clear" w:color="auto" w:fill="auto"/>
            <w:noWrap/>
            <w:vAlign w:val="bottom"/>
            <w:hideMark/>
          </w:tcPr>
          <w:p w14:paraId="10EC774C"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24,6</w:t>
            </w:r>
          </w:p>
        </w:tc>
        <w:tc>
          <w:tcPr>
            <w:tcW w:w="392" w:type="pct"/>
            <w:tcBorders>
              <w:top w:val="nil"/>
              <w:left w:val="nil"/>
              <w:bottom w:val="single" w:sz="4" w:space="0" w:color="auto"/>
              <w:right w:val="single" w:sz="4" w:space="0" w:color="auto"/>
            </w:tcBorders>
            <w:shd w:val="clear" w:color="auto" w:fill="auto"/>
            <w:noWrap/>
            <w:vAlign w:val="bottom"/>
            <w:hideMark/>
          </w:tcPr>
          <w:p w14:paraId="5AA951C9"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68</w:t>
            </w:r>
          </w:p>
        </w:tc>
        <w:tc>
          <w:tcPr>
            <w:tcW w:w="392" w:type="pct"/>
            <w:tcBorders>
              <w:top w:val="nil"/>
              <w:left w:val="nil"/>
              <w:bottom w:val="single" w:sz="4" w:space="0" w:color="auto"/>
              <w:right w:val="single" w:sz="4" w:space="0" w:color="auto"/>
            </w:tcBorders>
            <w:shd w:val="clear" w:color="auto" w:fill="auto"/>
            <w:noWrap/>
            <w:vAlign w:val="bottom"/>
            <w:hideMark/>
          </w:tcPr>
          <w:p w14:paraId="2CB3682F"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158</w:t>
            </w:r>
          </w:p>
        </w:tc>
        <w:tc>
          <w:tcPr>
            <w:tcW w:w="392" w:type="pct"/>
            <w:tcBorders>
              <w:top w:val="nil"/>
              <w:left w:val="nil"/>
              <w:bottom w:val="single" w:sz="4" w:space="0" w:color="auto"/>
              <w:right w:val="single" w:sz="4" w:space="0" w:color="auto"/>
            </w:tcBorders>
            <w:shd w:val="clear" w:color="auto" w:fill="auto"/>
            <w:noWrap/>
            <w:vAlign w:val="bottom"/>
            <w:hideMark/>
          </w:tcPr>
          <w:p w14:paraId="79B09695"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85</w:t>
            </w:r>
          </w:p>
        </w:tc>
        <w:tc>
          <w:tcPr>
            <w:tcW w:w="392" w:type="pct"/>
            <w:tcBorders>
              <w:top w:val="nil"/>
              <w:left w:val="nil"/>
              <w:bottom w:val="single" w:sz="4" w:space="0" w:color="auto"/>
              <w:right w:val="single" w:sz="8" w:space="0" w:color="auto"/>
            </w:tcBorders>
            <w:shd w:val="clear" w:color="auto" w:fill="auto"/>
            <w:noWrap/>
            <w:vAlign w:val="bottom"/>
            <w:hideMark/>
          </w:tcPr>
          <w:p w14:paraId="068DC539"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134,74</w:t>
            </w:r>
          </w:p>
        </w:tc>
        <w:tc>
          <w:tcPr>
            <w:tcW w:w="392" w:type="pct"/>
            <w:tcBorders>
              <w:top w:val="nil"/>
              <w:left w:val="nil"/>
              <w:bottom w:val="single" w:sz="4" w:space="0" w:color="auto"/>
              <w:right w:val="single" w:sz="8" w:space="0" w:color="auto"/>
            </w:tcBorders>
            <w:vAlign w:val="bottom"/>
          </w:tcPr>
          <w:p w14:paraId="07D3CF30"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170,77</w:t>
            </w:r>
          </w:p>
        </w:tc>
        <w:tc>
          <w:tcPr>
            <w:tcW w:w="392" w:type="pct"/>
            <w:tcBorders>
              <w:top w:val="nil"/>
              <w:left w:val="nil"/>
              <w:bottom w:val="single" w:sz="4" w:space="0" w:color="auto"/>
              <w:right w:val="single" w:sz="8" w:space="0" w:color="auto"/>
            </w:tcBorders>
            <w:vAlign w:val="bottom"/>
          </w:tcPr>
          <w:p w14:paraId="63C00FBF"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72,32</w:t>
            </w:r>
          </w:p>
        </w:tc>
      </w:tr>
      <w:tr w:rsidR="00A16DDB" w:rsidRPr="00D95127" w14:paraId="4484697E" w14:textId="77777777" w:rsidTr="007A627A">
        <w:trPr>
          <w:trHeight w:val="300"/>
        </w:trPr>
        <w:tc>
          <w:tcPr>
            <w:tcW w:w="673" w:type="pct"/>
            <w:tcBorders>
              <w:top w:val="nil"/>
              <w:left w:val="single" w:sz="8" w:space="0" w:color="auto"/>
              <w:bottom w:val="single" w:sz="4" w:space="0" w:color="auto"/>
              <w:right w:val="single" w:sz="4" w:space="0" w:color="auto"/>
            </w:tcBorders>
            <w:shd w:val="clear" w:color="auto" w:fill="auto"/>
            <w:noWrap/>
            <w:vAlign w:val="bottom"/>
            <w:hideMark/>
          </w:tcPr>
          <w:p w14:paraId="6EE9FF84"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chmelnice</w:t>
            </w:r>
          </w:p>
        </w:tc>
        <w:tc>
          <w:tcPr>
            <w:tcW w:w="404" w:type="pct"/>
            <w:tcBorders>
              <w:top w:val="nil"/>
              <w:left w:val="nil"/>
              <w:bottom w:val="single" w:sz="4" w:space="0" w:color="auto"/>
              <w:right w:val="single" w:sz="4" w:space="0" w:color="auto"/>
            </w:tcBorders>
            <w:shd w:val="clear" w:color="auto" w:fill="auto"/>
            <w:noWrap/>
            <w:vAlign w:val="bottom"/>
            <w:hideMark/>
          </w:tcPr>
          <w:p w14:paraId="21FC5D12"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ha</w:t>
            </w:r>
          </w:p>
        </w:tc>
        <w:tc>
          <w:tcPr>
            <w:tcW w:w="392" w:type="pct"/>
            <w:tcBorders>
              <w:top w:val="nil"/>
              <w:left w:val="nil"/>
              <w:bottom w:val="single" w:sz="4" w:space="0" w:color="auto"/>
              <w:right w:val="single" w:sz="4" w:space="0" w:color="auto"/>
            </w:tcBorders>
            <w:shd w:val="clear" w:color="auto" w:fill="auto"/>
            <w:noWrap/>
            <w:vAlign w:val="bottom"/>
            <w:hideMark/>
          </w:tcPr>
          <w:p w14:paraId="698B4797"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25</w:t>
            </w:r>
          </w:p>
        </w:tc>
        <w:tc>
          <w:tcPr>
            <w:tcW w:w="392" w:type="pct"/>
            <w:tcBorders>
              <w:top w:val="nil"/>
              <w:left w:val="nil"/>
              <w:bottom w:val="single" w:sz="4" w:space="0" w:color="auto"/>
              <w:right w:val="single" w:sz="4" w:space="0" w:color="auto"/>
            </w:tcBorders>
            <w:shd w:val="clear" w:color="auto" w:fill="auto"/>
            <w:noWrap/>
            <w:vAlign w:val="bottom"/>
            <w:hideMark/>
          </w:tcPr>
          <w:p w14:paraId="1F4653B5"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14,5</w:t>
            </w:r>
          </w:p>
        </w:tc>
        <w:tc>
          <w:tcPr>
            <w:tcW w:w="392" w:type="pct"/>
            <w:tcBorders>
              <w:top w:val="nil"/>
              <w:left w:val="nil"/>
              <w:bottom w:val="single" w:sz="4" w:space="0" w:color="auto"/>
              <w:right w:val="single" w:sz="4" w:space="0" w:color="auto"/>
            </w:tcBorders>
            <w:shd w:val="clear" w:color="auto" w:fill="auto"/>
            <w:noWrap/>
            <w:vAlign w:val="bottom"/>
            <w:hideMark/>
          </w:tcPr>
          <w:p w14:paraId="68061726"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6,8</w:t>
            </w:r>
          </w:p>
        </w:tc>
        <w:tc>
          <w:tcPr>
            <w:tcW w:w="392" w:type="pct"/>
            <w:tcBorders>
              <w:top w:val="nil"/>
              <w:left w:val="nil"/>
              <w:bottom w:val="single" w:sz="4" w:space="0" w:color="auto"/>
              <w:right w:val="single" w:sz="4" w:space="0" w:color="auto"/>
            </w:tcBorders>
            <w:shd w:val="clear" w:color="auto" w:fill="auto"/>
            <w:noWrap/>
            <w:vAlign w:val="bottom"/>
            <w:hideMark/>
          </w:tcPr>
          <w:p w14:paraId="4CB3092F"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27,5</w:t>
            </w:r>
          </w:p>
        </w:tc>
        <w:tc>
          <w:tcPr>
            <w:tcW w:w="392" w:type="pct"/>
            <w:tcBorders>
              <w:top w:val="nil"/>
              <w:left w:val="nil"/>
              <w:bottom w:val="single" w:sz="4" w:space="0" w:color="auto"/>
              <w:right w:val="single" w:sz="4" w:space="0" w:color="auto"/>
            </w:tcBorders>
            <w:shd w:val="clear" w:color="auto" w:fill="auto"/>
            <w:noWrap/>
            <w:vAlign w:val="bottom"/>
            <w:hideMark/>
          </w:tcPr>
          <w:p w14:paraId="0B743DFF"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27,9</w:t>
            </w:r>
          </w:p>
        </w:tc>
        <w:tc>
          <w:tcPr>
            <w:tcW w:w="392" w:type="pct"/>
            <w:tcBorders>
              <w:top w:val="nil"/>
              <w:left w:val="nil"/>
              <w:bottom w:val="single" w:sz="4" w:space="0" w:color="auto"/>
              <w:right w:val="single" w:sz="4" w:space="0" w:color="auto"/>
            </w:tcBorders>
            <w:shd w:val="clear" w:color="auto" w:fill="auto"/>
            <w:noWrap/>
            <w:vAlign w:val="bottom"/>
            <w:hideMark/>
          </w:tcPr>
          <w:p w14:paraId="057B2506"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24</w:t>
            </w:r>
          </w:p>
        </w:tc>
        <w:tc>
          <w:tcPr>
            <w:tcW w:w="392" w:type="pct"/>
            <w:tcBorders>
              <w:top w:val="nil"/>
              <w:left w:val="nil"/>
              <w:bottom w:val="single" w:sz="4" w:space="0" w:color="auto"/>
              <w:right w:val="single" w:sz="4" w:space="0" w:color="auto"/>
            </w:tcBorders>
            <w:shd w:val="clear" w:color="auto" w:fill="auto"/>
            <w:noWrap/>
            <w:vAlign w:val="bottom"/>
            <w:hideMark/>
          </w:tcPr>
          <w:p w14:paraId="6048124C"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62,46</w:t>
            </w:r>
          </w:p>
        </w:tc>
        <w:tc>
          <w:tcPr>
            <w:tcW w:w="392" w:type="pct"/>
            <w:tcBorders>
              <w:top w:val="nil"/>
              <w:left w:val="nil"/>
              <w:bottom w:val="single" w:sz="4" w:space="0" w:color="auto"/>
              <w:right w:val="single" w:sz="8" w:space="0" w:color="auto"/>
            </w:tcBorders>
            <w:shd w:val="clear" w:color="auto" w:fill="auto"/>
            <w:noWrap/>
            <w:vAlign w:val="bottom"/>
            <w:hideMark/>
          </w:tcPr>
          <w:p w14:paraId="47F2D383"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66,02</w:t>
            </w:r>
          </w:p>
        </w:tc>
        <w:tc>
          <w:tcPr>
            <w:tcW w:w="392" w:type="pct"/>
            <w:tcBorders>
              <w:top w:val="nil"/>
              <w:left w:val="nil"/>
              <w:bottom w:val="single" w:sz="4" w:space="0" w:color="auto"/>
              <w:right w:val="single" w:sz="8" w:space="0" w:color="auto"/>
            </w:tcBorders>
            <w:vAlign w:val="bottom"/>
          </w:tcPr>
          <w:p w14:paraId="49A923A1"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94,30</w:t>
            </w:r>
          </w:p>
        </w:tc>
        <w:tc>
          <w:tcPr>
            <w:tcW w:w="392" w:type="pct"/>
            <w:tcBorders>
              <w:top w:val="nil"/>
              <w:left w:val="nil"/>
              <w:bottom w:val="single" w:sz="4" w:space="0" w:color="auto"/>
              <w:right w:val="single" w:sz="8" w:space="0" w:color="auto"/>
            </w:tcBorders>
            <w:vAlign w:val="bottom"/>
          </w:tcPr>
          <w:p w14:paraId="78C8A58F"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78,79</w:t>
            </w:r>
          </w:p>
        </w:tc>
      </w:tr>
      <w:tr w:rsidR="00A16DDB" w:rsidRPr="00D95127" w14:paraId="1682124A" w14:textId="77777777" w:rsidTr="007A627A">
        <w:trPr>
          <w:trHeight w:val="300"/>
        </w:trPr>
        <w:tc>
          <w:tcPr>
            <w:tcW w:w="673" w:type="pct"/>
            <w:tcBorders>
              <w:top w:val="nil"/>
              <w:left w:val="single" w:sz="8" w:space="0" w:color="auto"/>
              <w:bottom w:val="single" w:sz="4" w:space="0" w:color="auto"/>
              <w:right w:val="single" w:sz="4" w:space="0" w:color="auto"/>
            </w:tcBorders>
            <w:shd w:val="clear" w:color="auto" w:fill="auto"/>
            <w:noWrap/>
            <w:vAlign w:val="bottom"/>
            <w:hideMark/>
          </w:tcPr>
          <w:p w14:paraId="26CFDB12"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sady</w:t>
            </w:r>
          </w:p>
        </w:tc>
        <w:tc>
          <w:tcPr>
            <w:tcW w:w="404" w:type="pct"/>
            <w:tcBorders>
              <w:top w:val="nil"/>
              <w:left w:val="nil"/>
              <w:bottom w:val="single" w:sz="4" w:space="0" w:color="auto"/>
              <w:right w:val="single" w:sz="4" w:space="0" w:color="auto"/>
            </w:tcBorders>
            <w:shd w:val="clear" w:color="auto" w:fill="auto"/>
            <w:noWrap/>
            <w:vAlign w:val="bottom"/>
            <w:hideMark/>
          </w:tcPr>
          <w:p w14:paraId="0F140248"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ha</w:t>
            </w:r>
          </w:p>
        </w:tc>
        <w:tc>
          <w:tcPr>
            <w:tcW w:w="392" w:type="pct"/>
            <w:tcBorders>
              <w:top w:val="nil"/>
              <w:left w:val="nil"/>
              <w:bottom w:val="single" w:sz="4" w:space="0" w:color="auto"/>
              <w:right w:val="single" w:sz="4" w:space="0" w:color="auto"/>
            </w:tcBorders>
            <w:shd w:val="clear" w:color="auto" w:fill="auto"/>
            <w:noWrap/>
            <w:vAlign w:val="bottom"/>
            <w:hideMark/>
          </w:tcPr>
          <w:p w14:paraId="0DA8353D"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267</w:t>
            </w:r>
          </w:p>
        </w:tc>
        <w:tc>
          <w:tcPr>
            <w:tcW w:w="392" w:type="pct"/>
            <w:tcBorders>
              <w:top w:val="nil"/>
              <w:left w:val="nil"/>
              <w:bottom w:val="single" w:sz="4" w:space="0" w:color="auto"/>
              <w:right w:val="single" w:sz="4" w:space="0" w:color="auto"/>
            </w:tcBorders>
            <w:shd w:val="clear" w:color="auto" w:fill="auto"/>
            <w:noWrap/>
            <w:vAlign w:val="bottom"/>
            <w:hideMark/>
          </w:tcPr>
          <w:p w14:paraId="090F17AA"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287</w:t>
            </w:r>
          </w:p>
        </w:tc>
        <w:tc>
          <w:tcPr>
            <w:tcW w:w="392" w:type="pct"/>
            <w:tcBorders>
              <w:top w:val="nil"/>
              <w:left w:val="nil"/>
              <w:bottom w:val="single" w:sz="4" w:space="0" w:color="auto"/>
              <w:right w:val="single" w:sz="4" w:space="0" w:color="auto"/>
            </w:tcBorders>
            <w:shd w:val="clear" w:color="auto" w:fill="auto"/>
            <w:noWrap/>
            <w:vAlign w:val="bottom"/>
            <w:hideMark/>
          </w:tcPr>
          <w:p w14:paraId="230B9892"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151,8</w:t>
            </w:r>
          </w:p>
        </w:tc>
        <w:tc>
          <w:tcPr>
            <w:tcW w:w="392" w:type="pct"/>
            <w:tcBorders>
              <w:top w:val="nil"/>
              <w:left w:val="nil"/>
              <w:bottom w:val="single" w:sz="4" w:space="0" w:color="auto"/>
              <w:right w:val="single" w:sz="4" w:space="0" w:color="auto"/>
            </w:tcBorders>
            <w:shd w:val="clear" w:color="auto" w:fill="auto"/>
            <w:noWrap/>
            <w:vAlign w:val="bottom"/>
            <w:hideMark/>
          </w:tcPr>
          <w:p w14:paraId="0EE8DB47"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250,2</w:t>
            </w:r>
          </w:p>
        </w:tc>
        <w:tc>
          <w:tcPr>
            <w:tcW w:w="392" w:type="pct"/>
            <w:tcBorders>
              <w:top w:val="nil"/>
              <w:left w:val="nil"/>
              <w:bottom w:val="single" w:sz="4" w:space="0" w:color="auto"/>
              <w:right w:val="single" w:sz="4" w:space="0" w:color="auto"/>
            </w:tcBorders>
            <w:shd w:val="clear" w:color="auto" w:fill="auto"/>
            <w:noWrap/>
            <w:vAlign w:val="bottom"/>
            <w:hideMark/>
          </w:tcPr>
          <w:p w14:paraId="1630FC27"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260,9</w:t>
            </w:r>
          </w:p>
        </w:tc>
        <w:tc>
          <w:tcPr>
            <w:tcW w:w="392" w:type="pct"/>
            <w:tcBorders>
              <w:top w:val="nil"/>
              <w:left w:val="nil"/>
              <w:bottom w:val="single" w:sz="4" w:space="0" w:color="auto"/>
              <w:right w:val="single" w:sz="4" w:space="0" w:color="auto"/>
            </w:tcBorders>
            <w:shd w:val="clear" w:color="auto" w:fill="auto"/>
            <w:noWrap/>
            <w:vAlign w:val="bottom"/>
            <w:hideMark/>
          </w:tcPr>
          <w:p w14:paraId="704610F9"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177</w:t>
            </w:r>
          </w:p>
        </w:tc>
        <w:tc>
          <w:tcPr>
            <w:tcW w:w="392" w:type="pct"/>
            <w:tcBorders>
              <w:top w:val="nil"/>
              <w:left w:val="nil"/>
              <w:bottom w:val="single" w:sz="4" w:space="0" w:color="auto"/>
              <w:right w:val="single" w:sz="4" w:space="0" w:color="auto"/>
            </w:tcBorders>
            <w:shd w:val="clear" w:color="auto" w:fill="auto"/>
            <w:noWrap/>
            <w:vAlign w:val="bottom"/>
            <w:hideMark/>
          </w:tcPr>
          <w:p w14:paraId="4B06121F"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244,14</w:t>
            </w:r>
          </w:p>
        </w:tc>
        <w:tc>
          <w:tcPr>
            <w:tcW w:w="392" w:type="pct"/>
            <w:tcBorders>
              <w:top w:val="nil"/>
              <w:left w:val="nil"/>
              <w:bottom w:val="single" w:sz="4" w:space="0" w:color="auto"/>
              <w:right w:val="single" w:sz="8" w:space="0" w:color="auto"/>
            </w:tcBorders>
            <w:shd w:val="clear" w:color="auto" w:fill="auto"/>
            <w:noWrap/>
            <w:vAlign w:val="bottom"/>
            <w:hideMark/>
          </w:tcPr>
          <w:p w14:paraId="42F21E3B"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169,59</w:t>
            </w:r>
          </w:p>
        </w:tc>
        <w:tc>
          <w:tcPr>
            <w:tcW w:w="392" w:type="pct"/>
            <w:tcBorders>
              <w:top w:val="nil"/>
              <w:left w:val="nil"/>
              <w:bottom w:val="single" w:sz="4" w:space="0" w:color="auto"/>
              <w:right w:val="single" w:sz="8" w:space="0" w:color="auto"/>
            </w:tcBorders>
            <w:vAlign w:val="bottom"/>
          </w:tcPr>
          <w:p w14:paraId="5D7E97A5"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241,55</w:t>
            </w:r>
          </w:p>
        </w:tc>
        <w:tc>
          <w:tcPr>
            <w:tcW w:w="392" w:type="pct"/>
            <w:tcBorders>
              <w:top w:val="nil"/>
              <w:left w:val="nil"/>
              <w:bottom w:val="single" w:sz="4" w:space="0" w:color="auto"/>
              <w:right w:val="single" w:sz="8" w:space="0" w:color="auto"/>
            </w:tcBorders>
            <w:vAlign w:val="bottom"/>
          </w:tcPr>
          <w:p w14:paraId="5C8C8974"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108,37</w:t>
            </w:r>
          </w:p>
        </w:tc>
      </w:tr>
      <w:tr w:rsidR="00A16DDB" w:rsidRPr="00D95127" w14:paraId="1DDC5BC9" w14:textId="77777777" w:rsidTr="007A627A">
        <w:trPr>
          <w:trHeight w:val="300"/>
        </w:trPr>
        <w:tc>
          <w:tcPr>
            <w:tcW w:w="673" w:type="pct"/>
            <w:tcBorders>
              <w:top w:val="nil"/>
              <w:left w:val="single" w:sz="8" w:space="0" w:color="auto"/>
              <w:bottom w:val="nil"/>
              <w:right w:val="single" w:sz="4" w:space="0" w:color="auto"/>
            </w:tcBorders>
            <w:shd w:val="clear" w:color="auto" w:fill="auto"/>
            <w:noWrap/>
            <w:vAlign w:val="bottom"/>
            <w:hideMark/>
          </w:tcPr>
          <w:p w14:paraId="170470FC"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školky</w:t>
            </w:r>
          </w:p>
        </w:tc>
        <w:tc>
          <w:tcPr>
            <w:tcW w:w="404" w:type="pct"/>
            <w:tcBorders>
              <w:top w:val="nil"/>
              <w:left w:val="nil"/>
              <w:bottom w:val="nil"/>
              <w:right w:val="single" w:sz="4" w:space="0" w:color="auto"/>
            </w:tcBorders>
            <w:shd w:val="clear" w:color="auto" w:fill="auto"/>
            <w:noWrap/>
            <w:vAlign w:val="bottom"/>
            <w:hideMark/>
          </w:tcPr>
          <w:p w14:paraId="206F2DB2"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ha</w:t>
            </w:r>
          </w:p>
        </w:tc>
        <w:tc>
          <w:tcPr>
            <w:tcW w:w="392" w:type="pct"/>
            <w:tcBorders>
              <w:top w:val="nil"/>
              <w:left w:val="nil"/>
              <w:bottom w:val="nil"/>
              <w:right w:val="single" w:sz="4" w:space="0" w:color="auto"/>
            </w:tcBorders>
            <w:shd w:val="clear" w:color="auto" w:fill="auto"/>
            <w:noWrap/>
            <w:vAlign w:val="bottom"/>
            <w:hideMark/>
          </w:tcPr>
          <w:p w14:paraId="6438B757"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0</w:t>
            </w:r>
          </w:p>
        </w:tc>
        <w:tc>
          <w:tcPr>
            <w:tcW w:w="392" w:type="pct"/>
            <w:tcBorders>
              <w:top w:val="nil"/>
              <w:left w:val="nil"/>
              <w:bottom w:val="nil"/>
              <w:right w:val="single" w:sz="4" w:space="0" w:color="auto"/>
            </w:tcBorders>
            <w:shd w:val="clear" w:color="auto" w:fill="auto"/>
            <w:noWrap/>
            <w:vAlign w:val="bottom"/>
            <w:hideMark/>
          </w:tcPr>
          <w:p w14:paraId="6EDE6EDA"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w:t>
            </w:r>
          </w:p>
        </w:tc>
        <w:tc>
          <w:tcPr>
            <w:tcW w:w="392" w:type="pct"/>
            <w:tcBorders>
              <w:top w:val="nil"/>
              <w:left w:val="nil"/>
              <w:bottom w:val="nil"/>
              <w:right w:val="single" w:sz="4" w:space="0" w:color="auto"/>
            </w:tcBorders>
            <w:shd w:val="clear" w:color="auto" w:fill="auto"/>
            <w:noWrap/>
            <w:vAlign w:val="bottom"/>
            <w:hideMark/>
          </w:tcPr>
          <w:p w14:paraId="664F90C3"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w:t>
            </w:r>
          </w:p>
        </w:tc>
        <w:tc>
          <w:tcPr>
            <w:tcW w:w="392" w:type="pct"/>
            <w:tcBorders>
              <w:top w:val="nil"/>
              <w:left w:val="nil"/>
              <w:bottom w:val="nil"/>
              <w:right w:val="single" w:sz="4" w:space="0" w:color="auto"/>
            </w:tcBorders>
            <w:shd w:val="clear" w:color="auto" w:fill="auto"/>
            <w:noWrap/>
            <w:vAlign w:val="bottom"/>
            <w:hideMark/>
          </w:tcPr>
          <w:p w14:paraId="15717484"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0</w:t>
            </w:r>
          </w:p>
        </w:tc>
        <w:tc>
          <w:tcPr>
            <w:tcW w:w="392" w:type="pct"/>
            <w:tcBorders>
              <w:top w:val="nil"/>
              <w:left w:val="nil"/>
              <w:bottom w:val="nil"/>
              <w:right w:val="single" w:sz="4" w:space="0" w:color="auto"/>
            </w:tcBorders>
            <w:shd w:val="clear" w:color="auto" w:fill="auto"/>
            <w:noWrap/>
            <w:vAlign w:val="bottom"/>
            <w:hideMark/>
          </w:tcPr>
          <w:p w14:paraId="3C8FA01B"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0</w:t>
            </w:r>
          </w:p>
        </w:tc>
        <w:tc>
          <w:tcPr>
            <w:tcW w:w="392" w:type="pct"/>
            <w:tcBorders>
              <w:top w:val="nil"/>
              <w:left w:val="nil"/>
              <w:bottom w:val="nil"/>
              <w:right w:val="single" w:sz="4" w:space="0" w:color="auto"/>
            </w:tcBorders>
            <w:shd w:val="clear" w:color="auto" w:fill="auto"/>
            <w:noWrap/>
            <w:vAlign w:val="bottom"/>
            <w:hideMark/>
          </w:tcPr>
          <w:p w14:paraId="6CFDEF77"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0</w:t>
            </w:r>
          </w:p>
        </w:tc>
        <w:tc>
          <w:tcPr>
            <w:tcW w:w="392" w:type="pct"/>
            <w:tcBorders>
              <w:top w:val="nil"/>
              <w:left w:val="nil"/>
              <w:bottom w:val="nil"/>
              <w:right w:val="single" w:sz="4" w:space="0" w:color="auto"/>
            </w:tcBorders>
            <w:shd w:val="clear" w:color="auto" w:fill="auto"/>
            <w:noWrap/>
            <w:vAlign w:val="bottom"/>
            <w:hideMark/>
          </w:tcPr>
          <w:p w14:paraId="64D8A941"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0</w:t>
            </w:r>
          </w:p>
        </w:tc>
        <w:tc>
          <w:tcPr>
            <w:tcW w:w="392" w:type="pct"/>
            <w:tcBorders>
              <w:top w:val="nil"/>
              <w:left w:val="nil"/>
              <w:bottom w:val="nil"/>
              <w:right w:val="single" w:sz="8" w:space="0" w:color="auto"/>
            </w:tcBorders>
            <w:shd w:val="clear" w:color="auto" w:fill="auto"/>
            <w:noWrap/>
            <w:vAlign w:val="bottom"/>
            <w:hideMark/>
          </w:tcPr>
          <w:p w14:paraId="66E21AB9"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0</w:t>
            </w:r>
          </w:p>
        </w:tc>
        <w:tc>
          <w:tcPr>
            <w:tcW w:w="392" w:type="pct"/>
            <w:tcBorders>
              <w:top w:val="nil"/>
              <w:left w:val="nil"/>
              <w:bottom w:val="nil"/>
              <w:right w:val="single" w:sz="8" w:space="0" w:color="auto"/>
            </w:tcBorders>
            <w:vAlign w:val="bottom"/>
          </w:tcPr>
          <w:p w14:paraId="0B280B92"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12,27</w:t>
            </w:r>
          </w:p>
        </w:tc>
        <w:tc>
          <w:tcPr>
            <w:tcW w:w="392" w:type="pct"/>
            <w:tcBorders>
              <w:top w:val="nil"/>
              <w:left w:val="nil"/>
              <w:bottom w:val="nil"/>
              <w:right w:val="single" w:sz="8" w:space="0" w:color="auto"/>
            </w:tcBorders>
            <w:vAlign w:val="bottom"/>
          </w:tcPr>
          <w:p w14:paraId="1A5083C8"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0,57</w:t>
            </w:r>
          </w:p>
        </w:tc>
      </w:tr>
      <w:tr w:rsidR="00A16DDB" w:rsidRPr="00D95127" w14:paraId="5789E9C8" w14:textId="77777777" w:rsidTr="007A627A">
        <w:trPr>
          <w:trHeight w:val="315"/>
        </w:trPr>
        <w:tc>
          <w:tcPr>
            <w:tcW w:w="673" w:type="pct"/>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29B9F67A"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celkem</w:t>
            </w:r>
          </w:p>
        </w:tc>
        <w:tc>
          <w:tcPr>
            <w:tcW w:w="404" w:type="pct"/>
            <w:tcBorders>
              <w:top w:val="single" w:sz="4" w:space="0" w:color="auto"/>
              <w:left w:val="nil"/>
              <w:bottom w:val="single" w:sz="8" w:space="0" w:color="auto"/>
              <w:right w:val="single" w:sz="4" w:space="0" w:color="auto"/>
            </w:tcBorders>
            <w:shd w:val="clear" w:color="auto" w:fill="auto"/>
            <w:noWrap/>
            <w:vAlign w:val="bottom"/>
            <w:hideMark/>
          </w:tcPr>
          <w:p w14:paraId="5E317299"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tis. Kč</w:t>
            </w:r>
          </w:p>
        </w:tc>
        <w:tc>
          <w:tcPr>
            <w:tcW w:w="392" w:type="pct"/>
            <w:tcBorders>
              <w:top w:val="single" w:sz="4" w:space="0" w:color="auto"/>
              <w:left w:val="nil"/>
              <w:bottom w:val="single" w:sz="8" w:space="0" w:color="auto"/>
              <w:right w:val="single" w:sz="4" w:space="0" w:color="auto"/>
            </w:tcBorders>
            <w:shd w:val="clear" w:color="auto" w:fill="auto"/>
            <w:noWrap/>
            <w:vAlign w:val="bottom"/>
            <w:hideMark/>
          </w:tcPr>
          <w:p w14:paraId="2A062DFA"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19 132</w:t>
            </w:r>
          </w:p>
        </w:tc>
        <w:tc>
          <w:tcPr>
            <w:tcW w:w="392" w:type="pct"/>
            <w:tcBorders>
              <w:top w:val="single" w:sz="4" w:space="0" w:color="auto"/>
              <w:left w:val="nil"/>
              <w:bottom w:val="single" w:sz="8" w:space="0" w:color="auto"/>
              <w:right w:val="single" w:sz="4" w:space="0" w:color="auto"/>
            </w:tcBorders>
            <w:shd w:val="clear" w:color="auto" w:fill="auto"/>
            <w:noWrap/>
            <w:vAlign w:val="bottom"/>
            <w:hideMark/>
          </w:tcPr>
          <w:p w14:paraId="4A1E93DB"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10 999</w:t>
            </w:r>
          </w:p>
        </w:tc>
        <w:tc>
          <w:tcPr>
            <w:tcW w:w="392" w:type="pct"/>
            <w:tcBorders>
              <w:top w:val="single" w:sz="4" w:space="0" w:color="auto"/>
              <w:left w:val="nil"/>
              <w:bottom w:val="single" w:sz="8" w:space="0" w:color="auto"/>
              <w:right w:val="single" w:sz="4" w:space="0" w:color="auto"/>
            </w:tcBorders>
            <w:shd w:val="clear" w:color="auto" w:fill="auto"/>
            <w:noWrap/>
            <w:vAlign w:val="bottom"/>
            <w:hideMark/>
          </w:tcPr>
          <w:p w14:paraId="121B0FB4"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12 163</w:t>
            </w:r>
          </w:p>
        </w:tc>
        <w:tc>
          <w:tcPr>
            <w:tcW w:w="392" w:type="pct"/>
            <w:tcBorders>
              <w:top w:val="single" w:sz="4" w:space="0" w:color="auto"/>
              <w:left w:val="nil"/>
              <w:bottom w:val="single" w:sz="8" w:space="0" w:color="auto"/>
              <w:right w:val="single" w:sz="4" w:space="0" w:color="auto"/>
            </w:tcBorders>
            <w:shd w:val="clear" w:color="auto" w:fill="auto"/>
            <w:noWrap/>
            <w:vAlign w:val="bottom"/>
            <w:hideMark/>
          </w:tcPr>
          <w:p w14:paraId="33362962"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17 205</w:t>
            </w:r>
          </w:p>
        </w:tc>
        <w:tc>
          <w:tcPr>
            <w:tcW w:w="392" w:type="pct"/>
            <w:tcBorders>
              <w:top w:val="single" w:sz="4" w:space="0" w:color="auto"/>
              <w:left w:val="nil"/>
              <w:bottom w:val="single" w:sz="8" w:space="0" w:color="auto"/>
              <w:right w:val="single" w:sz="4" w:space="0" w:color="auto"/>
            </w:tcBorders>
            <w:shd w:val="clear" w:color="auto" w:fill="auto"/>
            <w:noWrap/>
            <w:vAlign w:val="bottom"/>
            <w:hideMark/>
          </w:tcPr>
          <w:p w14:paraId="3FDE68E5"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15 658</w:t>
            </w:r>
          </w:p>
        </w:tc>
        <w:tc>
          <w:tcPr>
            <w:tcW w:w="392" w:type="pct"/>
            <w:tcBorders>
              <w:top w:val="single" w:sz="4" w:space="0" w:color="auto"/>
              <w:left w:val="nil"/>
              <w:bottom w:val="single" w:sz="8" w:space="0" w:color="auto"/>
              <w:right w:val="single" w:sz="4" w:space="0" w:color="auto"/>
            </w:tcBorders>
            <w:shd w:val="clear" w:color="auto" w:fill="auto"/>
            <w:noWrap/>
            <w:vAlign w:val="bottom"/>
            <w:hideMark/>
          </w:tcPr>
          <w:p w14:paraId="526B004B"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21 164</w:t>
            </w:r>
          </w:p>
        </w:tc>
        <w:tc>
          <w:tcPr>
            <w:tcW w:w="392" w:type="pct"/>
            <w:tcBorders>
              <w:top w:val="single" w:sz="4" w:space="0" w:color="auto"/>
              <w:left w:val="nil"/>
              <w:bottom w:val="single" w:sz="8" w:space="0" w:color="auto"/>
              <w:right w:val="single" w:sz="4" w:space="0" w:color="auto"/>
            </w:tcBorders>
            <w:shd w:val="clear" w:color="auto" w:fill="auto"/>
            <w:noWrap/>
            <w:vAlign w:val="bottom"/>
            <w:hideMark/>
          </w:tcPr>
          <w:p w14:paraId="6DF714AF"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28 195</w:t>
            </w:r>
          </w:p>
        </w:tc>
        <w:tc>
          <w:tcPr>
            <w:tcW w:w="392" w:type="pct"/>
            <w:tcBorders>
              <w:top w:val="single" w:sz="4" w:space="0" w:color="auto"/>
              <w:left w:val="nil"/>
              <w:bottom w:val="single" w:sz="8" w:space="0" w:color="auto"/>
              <w:right w:val="single" w:sz="8" w:space="0" w:color="auto"/>
            </w:tcBorders>
            <w:shd w:val="clear" w:color="auto" w:fill="auto"/>
            <w:noWrap/>
            <w:vAlign w:val="bottom"/>
            <w:hideMark/>
          </w:tcPr>
          <w:p w14:paraId="3AE17CCE"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26 663</w:t>
            </w:r>
          </w:p>
        </w:tc>
        <w:tc>
          <w:tcPr>
            <w:tcW w:w="392" w:type="pct"/>
            <w:tcBorders>
              <w:top w:val="single" w:sz="4" w:space="0" w:color="auto"/>
              <w:left w:val="nil"/>
              <w:bottom w:val="single" w:sz="8" w:space="0" w:color="auto"/>
              <w:right w:val="single" w:sz="8" w:space="0" w:color="auto"/>
            </w:tcBorders>
            <w:vAlign w:val="bottom"/>
          </w:tcPr>
          <w:p w14:paraId="777DAECB"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37 360</w:t>
            </w:r>
          </w:p>
        </w:tc>
        <w:tc>
          <w:tcPr>
            <w:tcW w:w="392" w:type="pct"/>
            <w:tcBorders>
              <w:top w:val="single" w:sz="4" w:space="0" w:color="auto"/>
              <w:left w:val="nil"/>
              <w:bottom w:val="single" w:sz="8" w:space="0" w:color="auto"/>
              <w:right w:val="single" w:sz="8" w:space="0" w:color="auto"/>
            </w:tcBorders>
            <w:vAlign w:val="bottom"/>
          </w:tcPr>
          <w:p w14:paraId="2BA79849"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18 723,6</w:t>
            </w:r>
          </w:p>
        </w:tc>
      </w:tr>
    </w:tbl>
    <w:p w14:paraId="60DA7F83" w14:textId="04595022" w:rsidR="00A16DDB" w:rsidRPr="00D95127" w:rsidRDefault="00A16DDB" w:rsidP="002E65B3">
      <w:pPr>
        <w:pStyle w:val="UZEIZdroj"/>
      </w:pPr>
      <w:r w:rsidRPr="00D95127">
        <w:t>Pramen: MZe – Analýza národních dotací do zemědělství za roky 2010-2019, SZIF 2020</w:t>
      </w:r>
    </w:p>
    <w:p w14:paraId="395AA6F9" w14:textId="77777777" w:rsidR="00A16DDB" w:rsidRPr="00D95127" w:rsidRDefault="00A16DDB" w:rsidP="002E65B3">
      <w:pPr>
        <w:pStyle w:val="UZEINormaln"/>
        <w:rPr>
          <w:rFonts w:cs="Times New Roman"/>
        </w:rPr>
      </w:pPr>
      <w:r w:rsidRPr="00D95127">
        <w:rPr>
          <w:rFonts w:cs="Times New Roman"/>
        </w:rPr>
        <w:t>Nedostatek vody v půdním profilu se v současné době stává stále závažnějším problémem, proto je nezbytné realizovat opatření pro zmírnění negativních dopadů sucha a nedostatku vody v krajině i v půdě. Kapková závlaha je jedním z důležitých opatření v rámci boje se suchem, jde o způsob zavlažování, kterým se docílí stabilita produkce a zvýšení její kvality při minimalizaci spotřeby vody. Pokud by vybudování kapkové závlahy nebylo podpořeno přímou dotací, tato investice by se nerealizovala, a to především k vysokým investičním nákladům na vybudování kapkové závlahy a dlouhé době návratnosti investice, proto je nutné v této podpoře pokračovat i nadále.</w:t>
      </w:r>
    </w:p>
    <w:p w14:paraId="65C464E3" w14:textId="0725429D" w:rsidR="00A16DDB" w:rsidRPr="00D95127" w:rsidRDefault="00A16DDB" w:rsidP="002E65B3">
      <w:pPr>
        <w:pStyle w:val="UZEITaB"/>
        <w:rPr>
          <w:rFonts w:cs="Times New Roman"/>
        </w:rPr>
      </w:pPr>
      <w:bookmarkStart w:id="77" w:name="_Toc81738437"/>
      <w:r w:rsidRPr="00D95127">
        <w:rPr>
          <w:rFonts w:cs="Times New Roman"/>
        </w:rPr>
        <w:t>Přehled čerpání dotace 1.R (Podpora restrukturalizace ovocných sadů) v letech 2010-2018</w:t>
      </w:r>
      <w:bookmarkEnd w:id="77"/>
    </w:p>
    <w:tbl>
      <w:tblPr>
        <w:tblW w:w="5576" w:type="pct"/>
        <w:tblCellMar>
          <w:left w:w="70" w:type="dxa"/>
          <w:right w:w="70" w:type="dxa"/>
        </w:tblCellMar>
        <w:tblLook w:val="04A0" w:firstRow="1" w:lastRow="0" w:firstColumn="1" w:lastColumn="0" w:noHBand="0" w:noVBand="1"/>
      </w:tblPr>
      <w:tblGrid>
        <w:gridCol w:w="1328"/>
        <w:gridCol w:w="767"/>
        <w:gridCol w:w="800"/>
        <w:gridCol w:w="800"/>
        <w:gridCol w:w="800"/>
        <w:gridCol w:w="800"/>
        <w:gridCol w:w="800"/>
        <w:gridCol w:w="800"/>
        <w:gridCol w:w="800"/>
        <w:gridCol w:w="800"/>
        <w:gridCol w:w="800"/>
        <w:gridCol w:w="800"/>
      </w:tblGrid>
      <w:tr w:rsidR="00A16DDB" w:rsidRPr="00D95127" w14:paraId="0BA344F8" w14:textId="77777777" w:rsidTr="005415F3">
        <w:trPr>
          <w:trHeight w:val="300"/>
        </w:trPr>
        <w:tc>
          <w:tcPr>
            <w:tcW w:w="658" w:type="pct"/>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3A5F4EC7"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 </w:t>
            </w:r>
          </w:p>
        </w:tc>
        <w:tc>
          <w:tcPr>
            <w:tcW w:w="380" w:type="pct"/>
            <w:tcBorders>
              <w:top w:val="single" w:sz="8" w:space="0" w:color="auto"/>
              <w:left w:val="nil"/>
              <w:bottom w:val="single" w:sz="4" w:space="0" w:color="auto"/>
              <w:right w:val="single" w:sz="4" w:space="0" w:color="auto"/>
            </w:tcBorders>
            <w:shd w:val="clear" w:color="auto" w:fill="auto"/>
            <w:noWrap/>
            <w:vAlign w:val="center"/>
            <w:hideMark/>
          </w:tcPr>
          <w:p w14:paraId="755DFADC" w14:textId="77777777" w:rsidR="00A16DDB" w:rsidRPr="00D95127" w:rsidRDefault="00A16DDB" w:rsidP="005415F3">
            <w:pPr>
              <w:jc w:val="center"/>
              <w:rPr>
                <w:rFonts w:eastAsia="Times New Roman" w:cs="Times New Roman"/>
                <w:b/>
                <w:color w:val="000000"/>
                <w:sz w:val="20"/>
                <w:szCs w:val="20"/>
                <w:lang w:val="cs-CZ" w:eastAsia="cs-CZ"/>
              </w:rPr>
            </w:pPr>
            <w:r w:rsidRPr="00D95127">
              <w:rPr>
                <w:rFonts w:eastAsia="Times New Roman" w:cs="Times New Roman"/>
                <w:b/>
                <w:color w:val="000000"/>
                <w:sz w:val="20"/>
                <w:szCs w:val="20"/>
                <w:lang w:val="cs-CZ" w:eastAsia="cs-CZ"/>
              </w:rPr>
              <w:t>MJ</w:t>
            </w:r>
          </w:p>
        </w:tc>
        <w:tc>
          <w:tcPr>
            <w:tcW w:w="396" w:type="pct"/>
            <w:tcBorders>
              <w:top w:val="single" w:sz="8" w:space="0" w:color="auto"/>
              <w:left w:val="nil"/>
              <w:bottom w:val="single" w:sz="4" w:space="0" w:color="auto"/>
              <w:right w:val="single" w:sz="4" w:space="0" w:color="auto"/>
            </w:tcBorders>
            <w:shd w:val="clear" w:color="auto" w:fill="auto"/>
            <w:noWrap/>
            <w:vAlign w:val="center"/>
            <w:hideMark/>
          </w:tcPr>
          <w:p w14:paraId="316DD092" w14:textId="77777777" w:rsidR="00A16DDB" w:rsidRPr="00D95127" w:rsidRDefault="00A16DDB" w:rsidP="005415F3">
            <w:pPr>
              <w:jc w:val="center"/>
              <w:rPr>
                <w:rFonts w:eastAsia="Times New Roman" w:cs="Times New Roman"/>
                <w:b/>
                <w:color w:val="000000"/>
                <w:sz w:val="20"/>
                <w:szCs w:val="20"/>
                <w:lang w:val="cs-CZ" w:eastAsia="cs-CZ"/>
              </w:rPr>
            </w:pPr>
            <w:r w:rsidRPr="00D95127">
              <w:rPr>
                <w:rFonts w:eastAsia="Times New Roman" w:cs="Times New Roman"/>
                <w:b/>
                <w:color w:val="000000"/>
                <w:sz w:val="20"/>
                <w:szCs w:val="20"/>
                <w:lang w:val="cs-CZ" w:eastAsia="cs-CZ"/>
              </w:rPr>
              <w:t>2011</w:t>
            </w:r>
          </w:p>
        </w:tc>
        <w:tc>
          <w:tcPr>
            <w:tcW w:w="396" w:type="pct"/>
            <w:tcBorders>
              <w:top w:val="single" w:sz="8" w:space="0" w:color="auto"/>
              <w:left w:val="nil"/>
              <w:bottom w:val="single" w:sz="4" w:space="0" w:color="auto"/>
              <w:right w:val="single" w:sz="4" w:space="0" w:color="auto"/>
            </w:tcBorders>
            <w:shd w:val="clear" w:color="auto" w:fill="auto"/>
            <w:noWrap/>
            <w:vAlign w:val="center"/>
            <w:hideMark/>
          </w:tcPr>
          <w:p w14:paraId="5CE73440" w14:textId="77777777" w:rsidR="00A16DDB" w:rsidRPr="00D95127" w:rsidRDefault="00A16DDB" w:rsidP="005415F3">
            <w:pPr>
              <w:jc w:val="center"/>
              <w:rPr>
                <w:rFonts w:eastAsia="Times New Roman" w:cs="Times New Roman"/>
                <w:b/>
                <w:color w:val="000000"/>
                <w:sz w:val="20"/>
                <w:szCs w:val="20"/>
                <w:lang w:val="cs-CZ" w:eastAsia="cs-CZ"/>
              </w:rPr>
            </w:pPr>
            <w:r w:rsidRPr="00D95127">
              <w:rPr>
                <w:rFonts w:eastAsia="Times New Roman" w:cs="Times New Roman"/>
                <w:b/>
                <w:color w:val="000000"/>
                <w:sz w:val="20"/>
                <w:szCs w:val="20"/>
                <w:lang w:val="cs-CZ" w:eastAsia="cs-CZ"/>
              </w:rPr>
              <w:t>2012</w:t>
            </w:r>
          </w:p>
        </w:tc>
        <w:tc>
          <w:tcPr>
            <w:tcW w:w="396" w:type="pct"/>
            <w:tcBorders>
              <w:top w:val="single" w:sz="8" w:space="0" w:color="auto"/>
              <w:left w:val="nil"/>
              <w:bottom w:val="single" w:sz="4" w:space="0" w:color="auto"/>
              <w:right w:val="single" w:sz="4" w:space="0" w:color="auto"/>
            </w:tcBorders>
            <w:shd w:val="clear" w:color="auto" w:fill="auto"/>
            <w:noWrap/>
            <w:vAlign w:val="center"/>
            <w:hideMark/>
          </w:tcPr>
          <w:p w14:paraId="2CCC5278" w14:textId="77777777" w:rsidR="00A16DDB" w:rsidRPr="00D95127" w:rsidRDefault="00A16DDB" w:rsidP="005415F3">
            <w:pPr>
              <w:jc w:val="center"/>
              <w:rPr>
                <w:rFonts w:eastAsia="Times New Roman" w:cs="Times New Roman"/>
                <w:b/>
                <w:color w:val="000000"/>
                <w:sz w:val="20"/>
                <w:szCs w:val="20"/>
                <w:lang w:val="cs-CZ" w:eastAsia="cs-CZ"/>
              </w:rPr>
            </w:pPr>
            <w:r w:rsidRPr="00D95127">
              <w:rPr>
                <w:rFonts w:eastAsia="Times New Roman" w:cs="Times New Roman"/>
                <w:b/>
                <w:color w:val="000000"/>
                <w:sz w:val="20"/>
                <w:szCs w:val="20"/>
                <w:lang w:val="cs-CZ" w:eastAsia="cs-CZ"/>
              </w:rPr>
              <w:t>2013</w:t>
            </w:r>
          </w:p>
        </w:tc>
        <w:tc>
          <w:tcPr>
            <w:tcW w:w="396" w:type="pct"/>
            <w:tcBorders>
              <w:top w:val="single" w:sz="8" w:space="0" w:color="auto"/>
              <w:left w:val="nil"/>
              <w:bottom w:val="single" w:sz="4" w:space="0" w:color="auto"/>
              <w:right w:val="single" w:sz="4" w:space="0" w:color="auto"/>
            </w:tcBorders>
            <w:shd w:val="clear" w:color="auto" w:fill="auto"/>
            <w:noWrap/>
            <w:vAlign w:val="center"/>
            <w:hideMark/>
          </w:tcPr>
          <w:p w14:paraId="3584898E" w14:textId="77777777" w:rsidR="00A16DDB" w:rsidRPr="00D95127" w:rsidRDefault="00A16DDB" w:rsidP="005415F3">
            <w:pPr>
              <w:jc w:val="center"/>
              <w:rPr>
                <w:rFonts w:eastAsia="Times New Roman" w:cs="Times New Roman"/>
                <w:b/>
                <w:color w:val="000000"/>
                <w:sz w:val="20"/>
                <w:szCs w:val="20"/>
                <w:lang w:val="cs-CZ" w:eastAsia="cs-CZ"/>
              </w:rPr>
            </w:pPr>
            <w:r w:rsidRPr="00D95127">
              <w:rPr>
                <w:rFonts w:eastAsia="Times New Roman" w:cs="Times New Roman"/>
                <w:b/>
                <w:color w:val="000000"/>
                <w:sz w:val="20"/>
                <w:szCs w:val="20"/>
                <w:lang w:val="cs-CZ" w:eastAsia="cs-CZ"/>
              </w:rPr>
              <w:t>2014</w:t>
            </w:r>
          </w:p>
        </w:tc>
        <w:tc>
          <w:tcPr>
            <w:tcW w:w="396" w:type="pct"/>
            <w:tcBorders>
              <w:top w:val="single" w:sz="8" w:space="0" w:color="auto"/>
              <w:left w:val="nil"/>
              <w:bottom w:val="single" w:sz="4" w:space="0" w:color="auto"/>
              <w:right w:val="single" w:sz="4" w:space="0" w:color="auto"/>
            </w:tcBorders>
            <w:shd w:val="clear" w:color="auto" w:fill="auto"/>
            <w:noWrap/>
            <w:vAlign w:val="center"/>
            <w:hideMark/>
          </w:tcPr>
          <w:p w14:paraId="389DDCC3" w14:textId="77777777" w:rsidR="00A16DDB" w:rsidRPr="00D95127" w:rsidRDefault="00A16DDB" w:rsidP="005415F3">
            <w:pPr>
              <w:jc w:val="center"/>
              <w:rPr>
                <w:rFonts w:eastAsia="Times New Roman" w:cs="Times New Roman"/>
                <w:b/>
                <w:color w:val="000000"/>
                <w:sz w:val="20"/>
                <w:szCs w:val="20"/>
                <w:lang w:val="cs-CZ" w:eastAsia="cs-CZ"/>
              </w:rPr>
            </w:pPr>
            <w:r w:rsidRPr="00D95127">
              <w:rPr>
                <w:rFonts w:eastAsia="Times New Roman" w:cs="Times New Roman"/>
                <w:b/>
                <w:color w:val="000000"/>
                <w:sz w:val="20"/>
                <w:szCs w:val="20"/>
                <w:lang w:val="cs-CZ" w:eastAsia="cs-CZ"/>
              </w:rPr>
              <w:t>2015</w:t>
            </w:r>
          </w:p>
        </w:tc>
        <w:tc>
          <w:tcPr>
            <w:tcW w:w="396" w:type="pct"/>
            <w:tcBorders>
              <w:top w:val="single" w:sz="8" w:space="0" w:color="auto"/>
              <w:left w:val="nil"/>
              <w:bottom w:val="single" w:sz="4" w:space="0" w:color="auto"/>
              <w:right w:val="single" w:sz="4" w:space="0" w:color="auto"/>
            </w:tcBorders>
            <w:shd w:val="clear" w:color="auto" w:fill="auto"/>
            <w:noWrap/>
            <w:vAlign w:val="center"/>
            <w:hideMark/>
          </w:tcPr>
          <w:p w14:paraId="1B2AE5F5" w14:textId="77777777" w:rsidR="00A16DDB" w:rsidRPr="00D95127" w:rsidRDefault="00A16DDB" w:rsidP="005415F3">
            <w:pPr>
              <w:jc w:val="center"/>
              <w:rPr>
                <w:rFonts w:eastAsia="Times New Roman" w:cs="Times New Roman"/>
                <w:b/>
                <w:color w:val="000000"/>
                <w:sz w:val="20"/>
                <w:szCs w:val="20"/>
                <w:lang w:val="cs-CZ" w:eastAsia="cs-CZ"/>
              </w:rPr>
            </w:pPr>
            <w:r w:rsidRPr="00D95127">
              <w:rPr>
                <w:rFonts w:eastAsia="Times New Roman" w:cs="Times New Roman"/>
                <w:b/>
                <w:color w:val="000000"/>
                <w:sz w:val="20"/>
                <w:szCs w:val="20"/>
                <w:lang w:val="cs-CZ" w:eastAsia="cs-CZ"/>
              </w:rPr>
              <w:t>2016</w:t>
            </w:r>
          </w:p>
        </w:tc>
        <w:tc>
          <w:tcPr>
            <w:tcW w:w="396" w:type="pct"/>
            <w:tcBorders>
              <w:top w:val="single" w:sz="8" w:space="0" w:color="auto"/>
              <w:left w:val="nil"/>
              <w:bottom w:val="single" w:sz="4" w:space="0" w:color="auto"/>
              <w:right w:val="single" w:sz="4" w:space="0" w:color="auto"/>
            </w:tcBorders>
            <w:shd w:val="clear" w:color="auto" w:fill="auto"/>
            <w:noWrap/>
            <w:vAlign w:val="center"/>
            <w:hideMark/>
          </w:tcPr>
          <w:p w14:paraId="57C4958F" w14:textId="77777777" w:rsidR="00A16DDB" w:rsidRPr="00D95127" w:rsidRDefault="00A16DDB" w:rsidP="005415F3">
            <w:pPr>
              <w:jc w:val="center"/>
              <w:rPr>
                <w:rFonts w:eastAsia="Times New Roman" w:cs="Times New Roman"/>
                <w:b/>
                <w:color w:val="000000"/>
                <w:sz w:val="20"/>
                <w:szCs w:val="20"/>
                <w:lang w:val="cs-CZ" w:eastAsia="cs-CZ"/>
              </w:rPr>
            </w:pPr>
            <w:r w:rsidRPr="00D95127">
              <w:rPr>
                <w:rFonts w:eastAsia="Times New Roman" w:cs="Times New Roman"/>
                <w:b/>
                <w:color w:val="000000"/>
                <w:sz w:val="20"/>
                <w:szCs w:val="20"/>
                <w:lang w:val="cs-CZ" w:eastAsia="cs-CZ"/>
              </w:rPr>
              <w:t>2017</w:t>
            </w:r>
          </w:p>
        </w:tc>
        <w:tc>
          <w:tcPr>
            <w:tcW w:w="396" w:type="pct"/>
            <w:tcBorders>
              <w:top w:val="single" w:sz="8" w:space="0" w:color="auto"/>
              <w:left w:val="nil"/>
              <w:bottom w:val="single" w:sz="4" w:space="0" w:color="auto"/>
              <w:right w:val="single" w:sz="4" w:space="0" w:color="auto"/>
            </w:tcBorders>
            <w:shd w:val="clear" w:color="auto" w:fill="auto"/>
            <w:noWrap/>
            <w:vAlign w:val="center"/>
            <w:hideMark/>
          </w:tcPr>
          <w:p w14:paraId="2BAA7993" w14:textId="77777777" w:rsidR="00A16DDB" w:rsidRPr="00D95127" w:rsidRDefault="00A16DDB" w:rsidP="005415F3">
            <w:pPr>
              <w:jc w:val="center"/>
              <w:rPr>
                <w:rFonts w:eastAsia="Times New Roman" w:cs="Times New Roman"/>
                <w:b/>
                <w:color w:val="000000"/>
                <w:sz w:val="20"/>
                <w:szCs w:val="20"/>
                <w:lang w:val="cs-CZ" w:eastAsia="cs-CZ"/>
              </w:rPr>
            </w:pPr>
            <w:r w:rsidRPr="00D95127">
              <w:rPr>
                <w:rFonts w:eastAsia="Times New Roman" w:cs="Times New Roman"/>
                <w:b/>
                <w:color w:val="000000"/>
                <w:sz w:val="20"/>
                <w:szCs w:val="20"/>
                <w:lang w:val="cs-CZ" w:eastAsia="cs-CZ"/>
              </w:rPr>
              <w:t>2018</w:t>
            </w:r>
          </w:p>
        </w:tc>
        <w:tc>
          <w:tcPr>
            <w:tcW w:w="396" w:type="pct"/>
            <w:tcBorders>
              <w:top w:val="single" w:sz="8" w:space="0" w:color="auto"/>
              <w:left w:val="nil"/>
              <w:bottom w:val="single" w:sz="4" w:space="0" w:color="auto"/>
              <w:right w:val="single" w:sz="8" w:space="0" w:color="auto"/>
            </w:tcBorders>
            <w:shd w:val="clear" w:color="auto" w:fill="auto"/>
            <w:noWrap/>
            <w:vAlign w:val="center"/>
            <w:hideMark/>
          </w:tcPr>
          <w:p w14:paraId="4606C216" w14:textId="77777777" w:rsidR="00A16DDB" w:rsidRPr="00D95127" w:rsidRDefault="00A16DDB" w:rsidP="005415F3">
            <w:pPr>
              <w:jc w:val="center"/>
              <w:rPr>
                <w:rFonts w:eastAsia="Times New Roman" w:cs="Times New Roman"/>
                <w:b/>
                <w:color w:val="000000"/>
                <w:sz w:val="20"/>
                <w:szCs w:val="20"/>
                <w:lang w:val="cs-CZ" w:eastAsia="cs-CZ"/>
              </w:rPr>
            </w:pPr>
            <w:r w:rsidRPr="00D95127">
              <w:rPr>
                <w:rFonts w:eastAsia="Times New Roman" w:cs="Times New Roman"/>
                <w:b/>
                <w:color w:val="000000"/>
                <w:sz w:val="20"/>
                <w:szCs w:val="20"/>
                <w:lang w:val="cs-CZ" w:eastAsia="cs-CZ"/>
              </w:rPr>
              <w:t>2019</w:t>
            </w:r>
          </w:p>
        </w:tc>
        <w:tc>
          <w:tcPr>
            <w:tcW w:w="396" w:type="pct"/>
            <w:tcBorders>
              <w:top w:val="single" w:sz="8" w:space="0" w:color="auto"/>
              <w:left w:val="nil"/>
              <w:bottom w:val="single" w:sz="4" w:space="0" w:color="auto"/>
              <w:right w:val="single" w:sz="8" w:space="0" w:color="auto"/>
            </w:tcBorders>
            <w:vAlign w:val="center"/>
          </w:tcPr>
          <w:p w14:paraId="0C509CFD" w14:textId="77777777" w:rsidR="00A16DDB" w:rsidRPr="00D95127" w:rsidRDefault="00A16DDB" w:rsidP="005415F3">
            <w:pPr>
              <w:jc w:val="center"/>
              <w:rPr>
                <w:rFonts w:eastAsia="Times New Roman" w:cs="Times New Roman"/>
                <w:b/>
                <w:color w:val="000000"/>
                <w:sz w:val="20"/>
                <w:szCs w:val="20"/>
                <w:lang w:val="cs-CZ" w:eastAsia="cs-CZ"/>
              </w:rPr>
            </w:pPr>
            <w:r w:rsidRPr="00D95127">
              <w:rPr>
                <w:rFonts w:eastAsia="Times New Roman" w:cs="Times New Roman"/>
                <w:b/>
                <w:color w:val="000000"/>
                <w:sz w:val="20"/>
                <w:szCs w:val="20"/>
                <w:lang w:val="cs-CZ" w:eastAsia="cs-CZ"/>
              </w:rPr>
              <w:t>2020</w:t>
            </w:r>
          </w:p>
        </w:tc>
      </w:tr>
      <w:tr w:rsidR="00A16DDB" w:rsidRPr="00D95127" w14:paraId="68447E96" w14:textId="77777777" w:rsidTr="005415F3">
        <w:trPr>
          <w:trHeight w:val="300"/>
        </w:trPr>
        <w:tc>
          <w:tcPr>
            <w:tcW w:w="658" w:type="pct"/>
            <w:tcBorders>
              <w:top w:val="nil"/>
              <w:left w:val="single" w:sz="8" w:space="0" w:color="auto"/>
              <w:bottom w:val="single" w:sz="4" w:space="0" w:color="auto"/>
              <w:right w:val="single" w:sz="4" w:space="0" w:color="auto"/>
            </w:tcBorders>
            <w:shd w:val="clear" w:color="auto" w:fill="auto"/>
            <w:noWrap/>
            <w:vAlign w:val="bottom"/>
            <w:hideMark/>
          </w:tcPr>
          <w:p w14:paraId="11999445"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Přijatých</w:t>
            </w:r>
          </w:p>
        </w:tc>
        <w:tc>
          <w:tcPr>
            <w:tcW w:w="380" w:type="pct"/>
            <w:tcBorders>
              <w:top w:val="nil"/>
              <w:left w:val="nil"/>
              <w:bottom w:val="single" w:sz="4" w:space="0" w:color="auto"/>
              <w:right w:val="single" w:sz="4" w:space="0" w:color="auto"/>
            </w:tcBorders>
            <w:shd w:val="clear" w:color="auto" w:fill="auto"/>
            <w:noWrap/>
            <w:vAlign w:val="center"/>
            <w:hideMark/>
          </w:tcPr>
          <w:p w14:paraId="4BD9DB0E"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ks</w:t>
            </w:r>
          </w:p>
        </w:tc>
        <w:tc>
          <w:tcPr>
            <w:tcW w:w="396" w:type="pct"/>
            <w:tcBorders>
              <w:top w:val="nil"/>
              <w:left w:val="nil"/>
              <w:bottom w:val="single" w:sz="4" w:space="0" w:color="auto"/>
              <w:right w:val="single" w:sz="4" w:space="0" w:color="auto"/>
            </w:tcBorders>
            <w:shd w:val="clear" w:color="auto" w:fill="auto"/>
            <w:noWrap/>
            <w:vAlign w:val="center"/>
            <w:hideMark/>
          </w:tcPr>
          <w:p w14:paraId="7FB58691"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63</w:t>
            </w:r>
          </w:p>
        </w:tc>
        <w:tc>
          <w:tcPr>
            <w:tcW w:w="396" w:type="pct"/>
            <w:tcBorders>
              <w:top w:val="nil"/>
              <w:left w:val="nil"/>
              <w:bottom w:val="single" w:sz="4" w:space="0" w:color="auto"/>
              <w:right w:val="single" w:sz="4" w:space="0" w:color="auto"/>
            </w:tcBorders>
            <w:shd w:val="clear" w:color="auto" w:fill="auto"/>
            <w:noWrap/>
            <w:vAlign w:val="center"/>
            <w:hideMark/>
          </w:tcPr>
          <w:p w14:paraId="71F86AC0"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63</w:t>
            </w:r>
          </w:p>
        </w:tc>
        <w:tc>
          <w:tcPr>
            <w:tcW w:w="396" w:type="pct"/>
            <w:tcBorders>
              <w:top w:val="nil"/>
              <w:left w:val="nil"/>
              <w:bottom w:val="single" w:sz="4" w:space="0" w:color="auto"/>
              <w:right w:val="single" w:sz="4" w:space="0" w:color="auto"/>
            </w:tcBorders>
            <w:shd w:val="clear" w:color="auto" w:fill="auto"/>
            <w:noWrap/>
            <w:vAlign w:val="center"/>
            <w:hideMark/>
          </w:tcPr>
          <w:p w14:paraId="62242E2D"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72</w:t>
            </w:r>
          </w:p>
        </w:tc>
        <w:tc>
          <w:tcPr>
            <w:tcW w:w="396" w:type="pct"/>
            <w:tcBorders>
              <w:top w:val="nil"/>
              <w:left w:val="nil"/>
              <w:bottom w:val="single" w:sz="4" w:space="0" w:color="auto"/>
              <w:right w:val="single" w:sz="4" w:space="0" w:color="auto"/>
            </w:tcBorders>
            <w:shd w:val="clear" w:color="auto" w:fill="auto"/>
            <w:noWrap/>
            <w:vAlign w:val="center"/>
            <w:hideMark/>
          </w:tcPr>
          <w:p w14:paraId="210C59E1"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67</w:t>
            </w:r>
          </w:p>
        </w:tc>
        <w:tc>
          <w:tcPr>
            <w:tcW w:w="396" w:type="pct"/>
            <w:tcBorders>
              <w:top w:val="nil"/>
              <w:left w:val="nil"/>
              <w:bottom w:val="single" w:sz="4" w:space="0" w:color="auto"/>
              <w:right w:val="single" w:sz="4" w:space="0" w:color="auto"/>
            </w:tcBorders>
            <w:shd w:val="clear" w:color="auto" w:fill="auto"/>
            <w:noWrap/>
            <w:vAlign w:val="center"/>
            <w:hideMark/>
          </w:tcPr>
          <w:p w14:paraId="71E0C4EF"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82</w:t>
            </w:r>
          </w:p>
        </w:tc>
        <w:tc>
          <w:tcPr>
            <w:tcW w:w="396" w:type="pct"/>
            <w:tcBorders>
              <w:top w:val="nil"/>
              <w:left w:val="nil"/>
              <w:bottom w:val="single" w:sz="4" w:space="0" w:color="auto"/>
              <w:right w:val="single" w:sz="4" w:space="0" w:color="auto"/>
            </w:tcBorders>
            <w:shd w:val="clear" w:color="auto" w:fill="auto"/>
            <w:noWrap/>
            <w:vAlign w:val="center"/>
            <w:hideMark/>
          </w:tcPr>
          <w:p w14:paraId="56EFE781"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86</w:t>
            </w:r>
          </w:p>
        </w:tc>
        <w:tc>
          <w:tcPr>
            <w:tcW w:w="396" w:type="pct"/>
            <w:tcBorders>
              <w:top w:val="nil"/>
              <w:left w:val="nil"/>
              <w:bottom w:val="single" w:sz="4" w:space="0" w:color="auto"/>
              <w:right w:val="single" w:sz="4" w:space="0" w:color="auto"/>
            </w:tcBorders>
            <w:shd w:val="clear" w:color="auto" w:fill="auto"/>
            <w:noWrap/>
            <w:vAlign w:val="center"/>
            <w:hideMark/>
          </w:tcPr>
          <w:p w14:paraId="4C91223E"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93</w:t>
            </w:r>
          </w:p>
        </w:tc>
        <w:tc>
          <w:tcPr>
            <w:tcW w:w="396" w:type="pct"/>
            <w:tcBorders>
              <w:top w:val="nil"/>
              <w:left w:val="nil"/>
              <w:bottom w:val="single" w:sz="4" w:space="0" w:color="auto"/>
              <w:right w:val="single" w:sz="4" w:space="0" w:color="auto"/>
            </w:tcBorders>
            <w:shd w:val="clear" w:color="auto" w:fill="auto"/>
            <w:noWrap/>
            <w:vAlign w:val="center"/>
            <w:hideMark/>
          </w:tcPr>
          <w:p w14:paraId="76DB9151"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68</w:t>
            </w:r>
          </w:p>
        </w:tc>
        <w:tc>
          <w:tcPr>
            <w:tcW w:w="396" w:type="pct"/>
            <w:tcBorders>
              <w:top w:val="nil"/>
              <w:left w:val="nil"/>
              <w:bottom w:val="single" w:sz="4" w:space="0" w:color="auto"/>
              <w:right w:val="single" w:sz="8" w:space="0" w:color="auto"/>
            </w:tcBorders>
            <w:shd w:val="clear" w:color="auto" w:fill="auto"/>
            <w:noWrap/>
            <w:vAlign w:val="center"/>
          </w:tcPr>
          <w:p w14:paraId="6062C6BC"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77</w:t>
            </w:r>
          </w:p>
        </w:tc>
        <w:tc>
          <w:tcPr>
            <w:tcW w:w="396" w:type="pct"/>
            <w:tcBorders>
              <w:top w:val="nil"/>
              <w:left w:val="nil"/>
              <w:bottom w:val="single" w:sz="4" w:space="0" w:color="auto"/>
              <w:right w:val="single" w:sz="8" w:space="0" w:color="auto"/>
            </w:tcBorders>
            <w:vAlign w:val="center"/>
          </w:tcPr>
          <w:p w14:paraId="486F134E"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46</w:t>
            </w:r>
          </w:p>
        </w:tc>
      </w:tr>
      <w:tr w:rsidR="00A16DDB" w:rsidRPr="00D95127" w14:paraId="403BD7FC" w14:textId="77777777" w:rsidTr="005415F3">
        <w:trPr>
          <w:trHeight w:val="300"/>
        </w:trPr>
        <w:tc>
          <w:tcPr>
            <w:tcW w:w="658" w:type="pct"/>
            <w:tcBorders>
              <w:top w:val="nil"/>
              <w:left w:val="single" w:sz="8" w:space="0" w:color="auto"/>
              <w:bottom w:val="single" w:sz="4" w:space="0" w:color="auto"/>
              <w:right w:val="single" w:sz="4" w:space="0" w:color="auto"/>
            </w:tcBorders>
            <w:shd w:val="clear" w:color="auto" w:fill="auto"/>
            <w:noWrap/>
            <w:vAlign w:val="bottom"/>
            <w:hideMark/>
          </w:tcPr>
          <w:p w14:paraId="26B925DF"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schválených</w:t>
            </w:r>
          </w:p>
        </w:tc>
        <w:tc>
          <w:tcPr>
            <w:tcW w:w="380" w:type="pct"/>
            <w:tcBorders>
              <w:top w:val="nil"/>
              <w:left w:val="nil"/>
              <w:bottom w:val="single" w:sz="4" w:space="0" w:color="auto"/>
              <w:right w:val="single" w:sz="4" w:space="0" w:color="auto"/>
            </w:tcBorders>
            <w:shd w:val="clear" w:color="auto" w:fill="auto"/>
            <w:noWrap/>
            <w:vAlign w:val="center"/>
            <w:hideMark/>
          </w:tcPr>
          <w:p w14:paraId="27EEACA3"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ks</w:t>
            </w:r>
          </w:p>
        </w:tc>
        <w:tc>
          <w:tcPr>
            <w:tcW w:w="396" w:type="pct"/>
            <w:tcBorders>
              <w:top w:val="nil"/>
              <w:left w:val="nil"/>
              <w:bottom w:val="single" w:sz="4" w:space="0" w:color="auto"/>
              <w:right w:val="single" w:sz="4" w:space="0" w:color="auto"/>
            </w:tcBorders>
            <w:shd w:val="clear" w:color="auto" w:fill="auto"/>
            <w:noWrap/>
            <w:vAlign w:val="center"/>
            <w:hideMark/>
          </w:tcPr>
          <w:p w14:paraId="0A61ADC7"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63</w:t>
            </w:r>
          </w:p>
        </w:tc>
        <w:tc>
          <w:tcPr>
            <w:tcW w:w="396" w:type="pct"/>
            <w:tcBorders>
              <w:top w:val="nil"/>
              <w:left w:val="nil"/>
              <w:bottom w:val="single" w:sz="4" w:space="0" w:color="auto"/>
              <w:right w:val="single" w:sz="4" w:space="0" w:color="auto"/>
            </w:tcBorders>
            <w:shd w:val="clear" w:color="auto" w:fill="auto"/>
            <w:noWrap/>
            <w:vAlign w:val="center"/>
            <w:hideMark/>
          </w:tcPr>
          <w:p w14:paraId="6054667C"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60</w:t>
            </w:r>
          </w:p>
        </w:tc>
        <w:tc>
          <w:tcPr>
            <w:tcW w:w="396" w:type="pct"/>
            <w:tcBorders>
              <w:top w:val="nil"/>
              <w:left w:val="nil"/>
              <w:bottom w:val="single" w:sz="4" w:space="0" w:color="auto"/>
              <w:right w:val="single" w:sz="4" w:space="0" w:color="auto"/>
            </w:tcBorders>
            <w:shd w:val="clear" w:color="auto" w:fill="auto"/>
            <w:noWrap/>
            <w:vAlign w:val="center"/>
            <w:hideMark/>
          </w:tcPr>
          <w:p w14:paraId="20EC8FEB"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70</w:t>
            </w:r>
          </w:p>
        </w:tc>
        <w:tc>
          <w:tcPr>
            <w:tcW w:w="396" w:type="pct"/>
            <w:tcBorders>
              <w:top w:val="nil"/>
              <w:left w:val="nil"/>
              <w:bottom w:val="single" w:sz="4" w:space="0" w:color="auto"/>
              <w:right w:val="single" w:sz="4" w:space="0" w:color="auto"/>
            </w:tcBorders>
            <w:shd w:val="clear" w:color="auto" w:fill="auto"/>
            <w:noWrap/>
            <w:vAlign w:val="center"/>
            <w:hideMark/>
          </w:tcPr>
          <w:p w14:paraId="2E5A014A"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65</w:t>
            </w:r>
          </w:p>
        </w:tc>
        <w:tc>
          <w:tcPr>
            <w:tcW w:w="396" w:type="pct"/>
            <w:tcBorders>
              <w:top w:val="nil"/>
              <w:left w:val="nil"/>
              <w:bottom w:val="single" w:sz="4" w:space="0" w:color="auto"/>
              <w:right w:val="single" w:sz="4" w:space="0" w:color="auto"/>
            </w:tcBorders>
            <w:shd w:val="clear" w:color="auto" w:fill="auto"/>
            <w:noWrap/>
            <w:vAlign w:val="center"/>
            <w:hideMark/>
          </w:tcPr>
          <w:p w14:paraId="4DF04255"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81</w:t>
            </w:r>
          </w:p>
        </w:tc>
        <w:tc>
          <w:tcPr>
            <w:tcW w:w="396" w:type="pct"/>
            <w:tcBorders>
              <w:top w:val="nil"/>
              <w:left w:val="nil"/>
              <w:bottom w:val="single" w:sz="4" w:space="0" w:color="auto"/>
              <w:right w:val="single" w:sz="4" w:space="0" w:color="auto"/>
            </w:tcBorders>
            <w:shd w:val="clear" w:color="auto" w:fill="auto"/>
            <w:noWrap/>
            <w:vAlign w:val="center"/>
            <w:hideMark/>
          </w:tcPr>
          <w:p w14:paraId="152D978A"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85</w:t>
            </w:r>
          </w:p>
        </w:tc>
        <w:tc>
          <w:tcPr>
            <w:tcW w:w="396" w:type="pct"/>
            <w:tcBorders>
              <w:top w:val="nil"/>
              <w:left w:val="nil"/>
              <w:bottom w:val="single" w:sz="4" w:space="0" w:color="auto"/>
              <w:right w:val="single" w:sz="4" w:space="0" w:color="auto"/>
            </w:tcBorders>
            <w:shd w:val="clear" w:color="auto" w:fill="auto"/>
            <w:noWrap/>
            <w:vAlign w:val="center"/>
            <w:hideMark/>
          </w:tcPr>
          <w:p w14:paraId="111B48C0"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92</w:t>
            </w:r>
          </w:p>
        </w:tc>
        <w:tc>
          <w:tcPr>
            <w:tcW w:w="396" w:type="pct"/>
            <w:tcBorders>
              <w:top w:val="nil"/>
              <w:left w:val="nil"/>
              <w:bottom w:val="single" w:sz="4" w:space="0" w:color="auto"/>
              <w:right w:val="single" w:sz="4" w:space="0" w:color="auto"/>
            </w:tcBorders>
            <w:shd w:val="clear" w:color="auto" w:fill="auto"/>
            <w:noWrap/>
            <w:vAlign w:val="center"/>
            <w:hideMark/>
          </w:tcPr>
          <w:p w14:paraId="5EC2A964"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63</w:t>
            </w:r>
          </w:p>
        </w:tc>
        <w:tc>
          <w:tcPr>
            <w:tcW w:w="396" w:type="pct"/>
            <w:tcBorders>
              <w:top w:val="nil"/>
              <w:left w:val="nil"/>
              <w:bottom w:val="single" w:sz="4" w:space="0" w:color="auto"/>
              <w:right w:val="single" w:sz="8" w:space="0" w:color="auto"/>
            </w:tcBorders>
            <w:shd w:val="clear" w:color="auto" w:fill="auto"/>
            <w:noWrap/>
            <w:vAlign w:val="center"/>
          </w:tcPr>
          <w:p w14:paraId="6CE951A5"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67</w:t>
            </w:r>
          </w:p>
        </w:tc>
        <w:tc>
          <w:tcPr>
            <w:tcW w:w="396" w:type="pct"/>
            <w:tcBorders>
              <w:top w:val="nil"/>
              <w:left w:val="nil"/>
              <w:bottom w:val="single" w:sz="4" w:space="0" w:color="auto"/>
              <w:right w:val="single" w:sz="8" w:space="0" w:color="auto"/>
            </w:tcBorders>
            <w:vAlign w:val="center"/>
          </w:tcPr>
          <w:p w14:paraId="4DEE0B7F"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35</w:t>
            </w:r>
          </w:p>
        </w:tc>
      </w:tr>
      <w:tr w:rsidR="00A16DDB" w:rsidRPr="00D95127" w14:paraId="3B285F55" w14:textId="77777777" w:rsidTr="005415F3">
        <w:trPr>
          <w:trHeight w:val="300"/>
        </w:trPr>
        <w:tc>
          <w:tcPr>
            <w:tcW w:w="658" w:type="pct"/>
            <w:tcBorders>
              <w:top w:val="nil"/>
              <w:left w:val="single" w:sz="8" w:space="0" w:color="auto"/>
              <w:bottom w:val="single" w:sz="4" w:space="0" w:color="auto"/>
              <w:right w:val="single" w:sz="4" w:space="0" w:color="auto"/>
            </w:tcBorders>
            <w:shd w:val="clear" w:color="auto" w:fill="auto"/>
            <w:noWrap/>
            <w:vAlign w:val="bottom"/>
            <w:hideMark/>
          </w:tcPr>
          <w:p w14:paraId="52D9B803"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podpořeno</w:t>
            </w:r>
          </w:p>
        </w:tc>
        <w:tc>
          <w:tcPr>
            <w:tcW w:w="380" w:type="pct"/>
            <w:tcBorders>
              <w:top w:val="nil"/>
              <w:left w:val="nil"/>
              <w:bottom w:val="single" w:sz="4" w:space="0" w:color="auto"/>
              <w:right w:val="single" w:sz="4" w:space="0" w:color="auto"/>
            </w:tcBorders>
            <w:shd w:val="clear" w:color="auto" w:fill="auto"/>
            <w:noWrap/>
            <w:vAlign w:val="center"/>
            <w:hideMark/>
          </w:tcPr>
          <w:p w14:paraId="0575204A"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ha</w:t>
            </w:r>
          </w:p>
        </w:tc>
        <w:tc>
          <w:tcPr>
            <w:tcW w:w="396" w:type="pct"/>
            <w:tcBorders>
              <w:top w:val="nil"/>
              <w:left w:val="nil"/>
              <w:bottom w:val="single" w:sz="4" w:space="0" w:color="auto"/>
              <w:right w:val="single" w:sz="4" w:space="0" w:color="auto"/>
            </w:tcBorders>
            <w:shd w:val="clear" w:color="auto" w:fill="auto"/>
            <w:noWrap/>
            <w:vAlign w:val="center"/>
            <w:hideMark/>
          </w:tcPr>
          <w:p w14:paraId="79645826"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364</w:t>
            </w:r>
          </w:p>
        </w:tc>
        <w:tc>
          <w:tcPr>
            <w:tcW w:w="396" w:type="pct"/>
            <w:tcBorders>
              <w:top w:val="nil"/>
              <w:left w:val="nil"/>
              <w:bottom w:val="single" w:sz="4" w:space="0" w:color="auto"/>
              <w:right w:val="single" w:sz="4" w:space="0" w:color="auto"/>
            </w:tcBorders>
            <w:shd w:val="clear" w:color="auto" w:fill="auto"/>
            <w:noWrap/>
            <w:vAlign w:val="center"/>
            <w:hideMark/>
          </w:tcPr>
          <w:p w14:paraId="19969C86"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292</w:t>
            </w:r>
          </w:p>
        </w:tc>
        <w:tc>
          <w:tcPr>
            <w:tcW w:w="396" w:type="pct"/>
            <w:tcBorders>
              <w:top w:val="nil"/>
              <w:left w:val="nil"/>
              <w:bottom w:val="single" w:sz="4" w:space="0" w:color="auto"/>
              <w:right w:val="single" w:sz="4" w:space="0" w:color="auto"/>
            </w:tcBorders>
            <w:shd w:val="clear" w:color="auto" w:fill="auto"/>
            <w:noWrap/>
            <w:vAlign w:val="center"/>
            <w:hideMark/>
          </w:tcPr>
          <w:p w14:paraId="41FF77C1"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321</w:t>
            </w:r>
          </w:p>
        </w:tc>
        <w:tc>
          <w:tcPr>
            <w:tcW w:w="396" w:type="pct"/>
            <w:tcBorders>
              <w:top w:val="nil"/>
              <w:left w:val="nil"/>
              <w:bottom w:val="single" w:sz="4" w:space="0" w:color="auto"/>
              <w:right w:val="single" w:sz="4" w:space="0" w:color="auto"/>
            </w:tcBorders>
            <w:shd w:val="clear" w:color="auto" w:fill="auto"/>
            <w:noWrap/>
            <w:vAlign w:val="center"/>
            <w:hideMark/>
          </w:tcPr>
          <w:p w14:paraId="00A1EE00"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333,9</w:t>
            </w:r>
          </w:p>
        </w:tc>
        <w:tc>
          <w:tcPr>
            <w:tcW w:w="396" w:type="pct"/>
            <w:tcBorders>
              <w:top w:val="nil"/>
              <w:left w:val="nil"/>
              <w:bottom w:val="single" w:sz="4" w:space="0" w:color="auto"/>
              <w:right w:val="single" w:sz="4" w:space="0" w:color="auto"/>
            </w:tcBorders>
            <w:shd w:val="clear" w:color="auto" w:fill="auto"/>
            <w:noWrap/>
            <w:vAlign w:val="center"/>
            <w:hideMark/>
          </w:tcPr>
          <w:p w14:paraId="5F342308"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360,7</w:t>
            </w:r>
          </w:p>
        </w:tc>
        <w:tc>
          <w:tcPr>
            <w:tcW w:w="396" w:type="pct"/>
            <w:tcBorders>
              <w:top w:val="nil"/>
              <w:left w:val="nil"/>
              <w:bottom w:val="single" w:sz="4" w:space="0" w:color="auto"/>
              <w:right w:val="single" w:sz="4" w:space="0" w:color="auto"/>
            </w:tcBorders>
            <w:shd w:val="clear" w:color="auto" w:fill="auto"/>
            <w:noWrap/>
            <w:vAlign w:val="center"/>
            <w:hideMark/>
          </w:tcPr>
          <w:p w14:paraId="6E30CA1D"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373,73</w:t>
            </w:r>
          </w:p>
        </w:tc>
        <w:tc>
          <w:tcPr>
            <w:tcW w:w="396" w:type="pct"/>
            <w:tcBorders>
              <w:top w:val="nil"/>
              <w:left w:val="nil"/>
              <w:bottom w:val="single" w:sz="4" w:space="0" w:color="auto"/>
              <w:right w:val="single" w:sz="4" w:space="0" w:color="auto"/>
            </w:tcBorders>
            <w:shd w:val="clear" w:color="auto" w:fill="auto"/>
            <w:noWrap/>
            <w:vAlign w:val="center"/>
            <w:hideMark/>
          </w:tcPr>
          <w:p w14:paraId="60C6A887"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399,66</w:t>
            </w:r>
          </w:p>
        </w:tc>
        <w:tc>
          <w:tcPr>
            <w:tcW w:w="396" w:type="pct"/>
            <w:tcBorders>
              <w:top w:val="nil"/>
              <w:left w:val="nil"/>
              <w:bottom w:val="single" w:sz="4" w:space="0" w:color="auto"/>
              <w:right w:val="single" w:sz="4" w:space="0" w:color="auto"/>
            </w:tcBorders>
            <w:shd w:val="clear" w:color="auto" w:fill="auto"/>
            <w:noWrap/>
            <w:vAlign w:val="center"/>
            <w:hideMark/>
          </w:tcPr>
          <w:p w14:paraId="403C35C2"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300,1</w:t>
            </w:r>
          </w:p>
        </w:tc>
        <w:tc>
          <w:tcPr>
            <w:tcW w:w="396" w:type="pct"/>
            <w:tcBorders>
              <w:top w:val="nil"/>
              <w:left w:val="nil"/>
              <w:bottom w:val="single" w:sz="4" w:space="0" w:color="auto"/>
              <w:right w:val="single" w:sz="8" w:space="0" w:color="auto"/>
            </w:tcBorders>
            <w:shd w:val="clear" w:color="auto" w:fill="auto"/>
            <w:noWrap/>
            <w:vAlign w:val="center"/>
          </w:tcPr>
          <w:p w14:paraId="60E730D6"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379,14</w:t>
            </w:r>
          </w:p>
        </w:tc>
        <w:tc>
          <w:tcPr>
            <w:tcW w:w="396" w:type="pct"/>
            <w:tcBorders>
              <w:top w:val="nil"/>
              <w:left w:val="nil"/>
              <w:bottom w:val="single" w:sz="4" w:space="0" w:color="auto"/>
              <w:right w:val="single" w:sz="8" w:space="0" w:color="auto"/>
            </w:tcBorders>
            <w:vAlign w:val="center"/>
          </w:tcPr>
          <w:p w14:paraId="20496806"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156,65</w:t>
            </w:r>
          </w:p>
        </w:tc>
      </w:tr>
      <w:tr w:rsidR="00A16DDB" w:rsidRPr="00D95127" w14:paraId="503E1A88" w14:textId="77777777" w:rsidTr="005415F3">
        <w:trPr>
          <w:trHeight w:val="315"/>
        </w:trPr>
        <w:tc>
          <w:tcPr>
            <w:tcW w:w="658" w:type="pct"/>
            <w:tcBorders>
              <w:top w:val="nil"/>
              <w:left w:val="single" w:sz="8" w:space="0" w:color="auto"/>
              <w:bottom w:val="single" w:sz="8" w:space="0" w:color="auto"/>
              <w:right w:val="single" w:sz="4" w:space="0" w:color="auto"/>
            </w:tcBorders>
            <w:shd w:val="clear" w:color="auto" w:fill="auto"/>
            <w:noWrap/>
            <w:vAlign w:val="bottom"/>
            <w:hideMark/>
          </w:tcPr>
          <w:p w14:paraId="16DE1FB7"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Celkem</w:t>
            </w:r>
          </w:p>
        </w:tc>
        <w:tc>
          <w:tcPr>
            <w:tcW w:w="380" w:type="pct"/>
            <w:tcBorders>
              <w:top w:val="nil"/>
              <w:left w:val="nil"/>
              <w:bottom w:val="single" w:sz="8" w:space="0" w:color="auto"/>
              <w:right w:val="single" w:sz="4" w:space="0" w:color="auto"/>
            </w:tcBorders>
            <w:shd w:val="clear" w:color="auto" w:fill="auto"/>
            <w:noWrap/>
            <w:vAlign w:val="center"/>
            <w:hideMark/>
          </w:tcPr>
          <w:p w14:paraId="62736F2B"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tis. Kč</w:t>
            </w:r>
          </w:p>
        </w:tc>
        <w:tc>
          <w:tcPr>
            <w:tcW w:w="396" w:type="pct"/>
            <w:tcBorders>
              <w:top w:val="nil"/>
              <w:left w:val="nil"/>
              <w:bottom w:val="single" w:sz="8" w:space="0" w:color="auto"/>
              <w:right w:val="single" w:sz="4" w:space="0" w:color="auto"/>
            </w:tcBorders>
            <w:shd w:val="clear" w:color="auto" w:fill="auto"/>
            <w:noWrap/>
            <w:vAlign w:val="center"/>
            <w:hideMark/>
          </w:tcPr>
          <w:p w14:paraId="017CAD9A"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49 998</w:t>
            </w:r>
          </w:p>
        </w:tc>
        <w:tc>
          <w:tcPr>
            <w:tcW w:w="396" w:type="pct"/>
            <w:tcBorders>
              <w:top w:val="nil"/>
              <w:left w:val="nil"/>
              <w:bottom w:val="single" w:sz="8" w:space="0" w:color="auto"/>
              <w:right w:val="single" w:sz="4" w:space="0" w:color="auto"/>
            </w:tcBorders>
            <w:shd w:val="clear" w:color="auto" w:fill="auto"/>
            <w:noWrap/>
            <w:vAlign w:val="center"/>
            <w:hideMark/>
          </w:tcPr>
          <w:p w14:paraId="271C8C6B"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49 901</w:t>
            </w:r>
          </w:p>
        </w:tc>
        <w:tc>
          <w:tcPr>
            <w:tcW w:w="396" w:type="pct"/>
            <w:tcBorders>
              <w:top w:val="nil"/>
              <w:left w:val="nil"/>
              <w:bottom w:val="single" w:sz="8" w:space="0" w:color="auto"/>
              <w:right w:val="single" w:sz="4" w:space="0" w:color="auto"/>
            </w:tcBorders>
            <w:shd w:val="clear" w:color="auto" w:fill="auto"/>
            <w:noWrap/>
            <w:vAlign w:val="center"/>
            <w:hideMark/>
          </w:tcPr>
          <w:p w14:paraId="0D43A371"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54 109</w:t>
            </w:r>
          </w:p>
        </w:tc>
        <w:tc>
          <w:tcPr>
            <w:tcW w:w="396" w:type="pct"/>
            <w:tcBorders>
              <w:top w:val="nil"/>
              <w:left w:val="nil"/>
              <w:bottom w:val="single" w:sz="8" w:space="0" w:color="auto"/>
              <w:right w:val="single" w:sz="4" w:space="0" w:color="auto"/>
            </w:tcBorders>
            <w:shd w:val="clear" w:color="auto" w:fill="auto"/>
            <w:noWrap/>
            <w:vAlign w:val="center"/>
            <w:hideMark/>
          </w:tcPr>
          <w:p w14:paraId="76E1D85D"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58 657</w:t>
            </w:r>
          </w:p>
        </w:tc>
        <w:tc>
          <w:tcPr>
            <w:tcW w:w="396" w:type="pct"/>
            <w:tcBorders>
              <w:top w:val="nil"/>
              <w:left w:val="nil"/>
              <w:bottom w:val="single" w:sz="8" w:space="0" w:color="auto"/>
              <w:right w:val="single" w:sz="4" w:space="0" w:color="auto"/>
            </w:tcBorders>
            <w:shd w:val="clear" w:color="auto" w:fill="auto"/>
            <w:noWrap/>
            <w:vAlign w:val="center"/>
            <w:hideMark/>
          </w:tcPr>
          <w:p w14:paraId="513653B8"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62 443</w:t>
            </w:r>
          </w:p>
        </w:tc>
        <w:tc>
          <w:tcPr>
            <w:tcW w:w="396" w:type="pct"/>
            <w:tcBorders>
              <w:top w:val="nil"/>
              <w:left w:val="nil"/>
              <w:bottom w:val="single" w:sz="8" w:space="0" w:color="auto"/>
              <w:right w:val="single" w:sz="4" w:space="0" w:color="auto"/>
            </w:tcBorders>
            <w:shd w:val="clear" w:color="auto" w:fill="auto"/>
            <w:noWrap/>
            <w:vAlign w:val="center"/>
            <w:hideMark/>
          </w:tcPr>
          <w:p w14:paraId="2C3699AE"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68 308</w:t>
            </w:r>
          </w:p>
        </w:tc>
        <w:tc>
          <w:tcPr>
            <w:tcW w:w="396" w:type="pct"/>
            <w:tcBorders>
              <w:top w:val="nil"/>
              <w:left w:val="nil"/>
              <w:bottom w:val="single" w:sz="8" w:space="0" w:color="auto"/>
              <w:right w:val="single" w:sz="4" w:space="0" w:color="auto"/>
            </w:tcBorders>
            <w:shd w:val="clear" w:color="auto" w:fill="auto"/>
            <w:noWrap/>
            <w:vAlign w:val="center"/>
            <w:hideMark/>
          </w:tcPr>
          <w:p w14:paraId="45B267E6"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86 852</w:t>
            </w:r>
          </w:p>
        </w:tc>
        <w:tc>
          <w:tcPr>
            <w:tcW w:w="396" w:type="pct"/>
            <w:tcBorders>
              <w:top w:val="nil"/>
              <w:left w:val="nil"/>
              <w:bottom w:val="single" w:sz="8" w:space="0" w:color="auto"/>
              <w:right w:val="single" w:sz="4" w:space="0" w:color="auto"/>
            </w:tcBorders>
            <w:shd w:val="clear" w:color="auto" w:fill="auto"/>
            <w:noWrap/>
            <w:vAlign w:val="center"/>
            <w:hideMark/>
          </w:tcPr>
          <w:p w14:paraId="6848CB87"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61 736</w:t>
            </w:r>
          </w:p>
        </w:tc>
        <w:tc>
          <w:tcPr>
            <w:tcW w:w="396" w:type="pct"/>
            <w:tcBorders>
              <w:top w:val="nil"/>
              <w:left w:val="nil"/>
              <w:bottom w:val="single" w:sz="8" w:space="0" w:color="auto"/>
              <w:right w:val="single" w:sz="8" w:space="0" w:color="auto"/>
            </w:tcBorders>
            <w:shd w:val="clear" w:color="auto" w:fill="auto"/>
            <w:noWrap/>
            <w:vAlign w:val="center"/>
          </w:tcPr>
          <w:p w14:paraId="4BB4E63D"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82 898</w:t>
            </w:r>
          </w:p>
        </w:tc>
        <w:tc>
          <w:tcPr>
            <w:tcW w:w="396" w:type="pct"/>
            <w:tcBorders>
              <w:top w:val="nil"/>
              <w:left w:val="nil"/>
              <w:bottom w:val="single" w:sz="8" w:space="0" w:color="auto"/>
              <w:right w:val="single" w:sz="8" w:space="0" w:color="auto"/>
            </w:tcBorders>
            <w:vAlign w:val="center"/>
          </w:tcPr>
          <w:p w14:paraId="75F19716" w14:textId="77777777" w:rsidR="00A16DDB" w:rsidRPr="00D95127" w:rsidRDefault="00A16DDB" w:rsidP="005415F3">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34 243</w:t>
            </w:r>
          </w:p>
        </w:tc>
      </w:tr>
    </w:tbl>
    <w:p w14:paraId="798CB0D7" w14:textId="77777777" w:rsidR="00A16DDB" w:rsidRPr="00D95127" w:rsidRDefault="00A16DDB" w:rsidP="005415F3">
      <w:pPr>
        <w:pStyle w:val="UZEIZdroj"/>
      </w:pPr>
      <w:r w:rsidRPr="00D95127">
        <w:t>Pramen: MZe</w:t>
      </w:r>
    </w:p>
    <w:p w14:paraId="2569155A" w14:textId="215F29E2" w:rsidR="00A16DDB" w:rsidRPr="00D95127" w:rsidRDefault="00A16DDB" w:rsidP="005415F3">
      <w:pPr>
        <w:pStyle w:val="UZEINormaln"/>
        <w:rPr>
          <w:rFonts w:cs="Times New Roman"/>
        </w:rPr>
      </w:pPr>
      <w:r w:rsidRPr="00D95127">
        <w:rPr>
          <w:rFonts w:cs="Times New Roman"/>
        </w:rPr>
        <w:t>Dlouhodobým negativním trendem je snižování výměry ovocných sadů, navíc s vysokým podílem přestárlých sadů (v roce 2019 bylo 42,9 % sadů přestárlých). Výsadbou nových ovocných sadů dochází k podpoře vhodné odrůdové skladby v sadech. Dalším důvodem je produkce zdravého ovoce v systému integrované produkce. Pokud by restrukturalizace sadů nebyla podpořena přímou dotací, výsadba nových sadů by se realizovala v mnohem menší míře, a to především vzhledem k vysokým investičním nákladům na založení sadu a dlouhé době návratnosti investice. Proto je nutné v této podpoře pokračovat i nadále.</w:t>
      </w:r>
    </w:p>
    <w:p w14:paraId="4B64F13D" w14:textId="77777777" w:rsidR="00A16DDB" w:rsidRPr="00D95127" w:rsidRDefault="00A16DDB" w:rsidP="005415F3">
      <w:pPr>
        <w:pStyle w:val="UZEINormaln"/>
        <w:rPr>
          <w:rFonts w:cs="Times New Roman"/>
        </w:rPr>
      </w:pPr>
      <w:r w:rsidRPr="00D95127">
        <w:rPr>
          <w:rFonts w:cs="Times New Roman"/>
        </w:rPr>
        <w:t>Vodní hospodářství v sektoru zeleniny řeší Program 129 310 „Podpora konkurenceschopnosti agropotravinářského komplexu – závlahy – II. Etapa. Program funguje od roku 2017 a je prozatím plánován do roku 2022. V roce 2017 byla dotace poskytnuta celkem na 6 projektů ve výši 4,4 mil. Kč (nelze však rozlišit, kolik čerpali zelináři). V roce 2018 bylo financováno 63 dotačních akcí, z toho byla na 61 akcích proplacena částka 77,5 mil. Kč, z toho zelináři čerpali dotace ve výši 72 461 810 Kč. V roce 2019 to pak bylo 34,1 mil. Kč, které využilo 31 zelinářů.</w:t>
      </w:r>
    </w:p>
    <w:p w14:paraId="7A879F4D" w14:textId="385169F4" w:rsidR="00A16DDB" w:rsidRPr="00D95127" w:rsidRDefault="00A16DDB" w:rsidP="005415F3">
      <w:pPr>
        <w:pStyle w:val="UZEINormaln"/>
        <w:rPr>
          <w:rFonts w:cs="Times New Roman"/>
        </w:rPr>
      </w:pPr>
      <w:r w:rsidRPr="00D95127">
        <w:rPr>
          <w:rFonts w:cs="Times New Roman"/>
        </w:rPr>
        <w:t>Zelináři dále čerpají v rámci národních dotací, dotace viz tabulka níže. Dotační programy naplňují účel a je vhodné v nich pokračovat.</w:t>
      </w:r>
    </w:p>
    <w:p w14:paraId="265A769B" w14:textId="7784DE4A" w:rsidR="005415F3" w:rsidRPr="00D95127" w:rsidRDefault="005415F3" w:rsidP="005415F3">
      <w:pPr>
        <w:pStyle w:val="UZEINormaln"/>
        <w:rPr>
          <w:rFonts w:cs="Times New Roman"/>
        </w:rPr>
      </w:pPr>
    </w:p>
    <w:p w14:paraId="3F50AFC0" w14:textId="77777777" w:rsidR="005415F3" w:rsidRPr="00D95127" w:rsidRDefault="005415F3" w:rsidP="005415F3">
      <w:pPr>
        <w:pStyle w:val="UZEINormaln"/>
        <w:rPr>
          <w:rFonts w:cs="Times New Roman"/>
        </w:rPr>
      </w:pPr>
    </w:p>
    <w:p w14:paraId="3FF74DA0" w14:textId="7ED123A5" w:rsidR="00A16DDB" w:rsidRPr="00D95127" w:rsidRDefault="005415F3" w:rsidP="005415F3">
      <w:pPr>
        <w:pStyle w:val="UZEITaB"/>
        <w:rPr>
          <w:rFonts w:cs="Times New Roman"/>
        </w:rPr>
      </w:pPr>
      <w:r w:rsidRPr="00D95127">
        <w:rPr>
          <w:rFonts w:cs="Times New Roman"/>
        </w:rPr>
        <w:lastRenderedPageBreak/>
        <w:t xml:space="preserve"> </w:t>
      </w:r>
      <w:bookmarkStart w:id="78" w:name="_Toc81738438"/>
      <w:r w:rsidR="00A16DDB" w:rsidRPr="00D95127">
        <w:rPr>
          <w:rFonts w:cs="Times New Roman"/>
        </w:rPr>
        <w:t>Národní podpory pro zelináře (mil. Kč)</w:t>
      </w:r>
      <w:bookmarkEnd w:id="78"/>
    </w:p>
    <w:tbl>
      <w:tblPr>
        <w:tblW w:w="9426" w:type="dxa"/>
        <w:tblLayout w:type="fixed"/>
        <w:tblCellMar>
          <w:left w:w="70" w:type="dxa"/>
          <w:right w:w="70" w:type="dxa"/>
        </w:tblCellMar>
        <w:tblLook w:val="04A0" w:firstRow="1" w:lastRow="0" w:firstColumn="1" w:lastColumn="0" w:noHBand="0" w:noVBand="1"/>
      </w:tblPr>
      <w:tblGrid>
        <w:gridCol w:w="3047"/>
        <w:gridCol w:w="709"/>
        <w:gridCol w:w="708"/>
        <w:gridCol w:w="709"/>
        <w:gridCol w:w="709"/>
        <w:gridCol w:w="709"/>
        <w:gridCol w:w="708"/>
        <w:gridCol w:w="709"/>
        <w:gridCol w:w="709"/>
        <w:gridCol w:w="709"/>
      </w:tblGrid>
      <w:tr w:rsidR="00A16DDB" w:rsidRPr="00D95127" w14:paraId="467BEF90" w14:textId="77777777" w:rsidTr="007A627A">
        <w:trPr>
          <w:trHeight w:val="315"/>
        </w:trPr>
        <w:tc>
          <w:tcPr>
            <w:tcW w:w="3047" w:type="dxa"/>
            <w:tcBorders>
              <w:top w:val="double" w:sz="6" w:space="0" w:color="auto"/>
              <w:left w:val="double" w:sz="6" w:space="0" w:color="auto"/>
              <w:bottom w:val="single" w:sz="4" w:space="0" w:color="auto"/>
              <w:right w:val="single" w:sz="4" w:space="0" w:color="auto"/>
            </w:tcBorders>
            <w:shd w:val="clear" w:color="auto" w:fill="auto"/>
            <w:noWrap/>
            <w:vAlign w:val="bottom"/>
            <w:hideMark/>
          </w:tcPr>
          <w:p w14:paraId="0D69C852" w14:textId="77777777" w:rsidR="00A16DDB" w:rsidRPr="00D95127" w:rsidRDefault="00A16DDB" w:rsidP="007A627A">
            <w:pPr>
              <w:rPr>
                <w:rFonts w:eastAsia="Times New Roman" w:cs="Times New Roman"/>
                <w:b/>
                <w:sz w:val="20"/>
                <w:szCs w:val="20"/>
                <w:lang w:val="cs-CZ" w:eastAsia="cs-CZ"/>
              </w:rPr>
            </w:pPr>
            <w:r w:rsidRPr="00D95127">
              <w:rPr>
                <w:rFonts w:eastAsia="Times New Roman" w:cs="Times New Roman"/>
                <w:b/>
                <w:sz w:val="20"/>
                <w:szCs w:val="20"/>
                <w:lang w:val="cs-CZ" w:eastAsia="cs-CZ"/>
              </w:rPr>
              <w:t> </w:t>
            </w:r>
          </w:p>
        </w:tc>
        <w:tc>
          <w:tcPr>
            <w:tcW w:w="709" w:type="dxa"/>
            <w:tcBorders>
              <w:top w:val="double" w:sz="6" w:space="0" w:color="auto"/>
              <w:left w:val="nil"/>
              <w:bottom w:val="single" w:sz="4" w:space="0" w:color="auto"/>
              <w:right w:val="single" w:sz="4" w:space="0" w:color="auto"/>
            </w:tcBorders>
            <w:shd w:val="clear" w:color="auto" w:fill="auto"/>
            <w:noWrap/>
            <w:vAlign w:val="bottom"/>
            <w:hideMark/>
          </w:tcPr>
          <w:p w14:paraId="2E36B96C" w14:textId="77777777" w:rsidR="00A16DDB" w:rsidRPr="00D95127" w:rsidRDefault="00A16DDB" w:rsidP="007A627A">
            <w:pPr>
              <w:jc w:val="center"/>
              <w:rPr>
                <w:rFonts w:eastAsia="Times New Roman" w:cs="Times New Roman"/>
                <w:b/>
                <w:sz w:val="20"/>
                <w:szCs w:val="20"/>
                <w:lang w:val="cs-CZ" w:eastAsia="cs-CZ"/>
              </w:rPr>
            </w:pPr>
            <w:r w:rsidRPr="00D95127">
              <w:rPr>
                <w:rFonts w:eastAsia="Times New Roman" w:cs="Times New Roman"/>
                <w:b/>
                <w:sz w:val="20"/>
                <w:szCs w:val="20"/>
                <w:lang w:val="cs-CZ" w:eastAsia="cs-CZ"/>
              </w:rPr>
              <w:t>2011</w:t>
            </w:r>
          </w:p>
        </w:tc>
        <w:tc>
          <w:tcPr>
            <w:tcW w:w="708" w:type="dxa"/>
            <w:tcBorders>
              <w:top w:val="double" w:sz="6" w:space="0" w:color="auto"/>
              <w:left w:val="nil"/>
              <w:bottom w:val="single" w:sz="4" w:space="0" w:color="auto"/>
              <w:right w:val="single" w:sz="4" w:space="0" w:color="auto"/>
            </w:tcBorders>
            <w:shd w:val="clear" w:color="auto" w:fill="auto"/>
            <w:noWrap/>
            <w:vAlign w:val="bottom"/>
            <w:hideMark/>
          </w:tcPr>
          <w:p w14:paraId="04743097" w14:textId="77777777" w:rsidR="00A16DDB" w:rsidRPr="00D95127" w:rsidRDefault="00A16DDB" w:rsidP="007A627A">
            <w:pPr>
              <w:jc w:val="center"/>
              <w:rPr>
                <w:rFonts w:eastAsia="Times New Roman" w:cs="Times New Roman"/>
                <w:b/>
                <w:sz w:val="20"/>
                <w:szCs w:val="20"/>
                <w:lang w:val="cs-CZ" w:eastAsia="cs-CZ"/>
              </w:rPr>
            </w:pPr>
            <w:r w:rsidRPr="00D95127">
              <w:rPr>
                <w:rFonts w:eastAsia="Times New Roman" w:cs="Times New Roman"/>
                <w:b/>
                <w:sz w:val="20"/>
                <w:szCs w:val="20"/>
                <w:lang w:val="cs-CZ" w:eastAsia="cs-CZ"/>
              </w:rPr>
              <w:t>2012</w:t>
            </w:r>
          </w:p>
        </w:tc>
        <w:tc>
          <w:tcPr>
            <w:tcW w:w="709" w:type="dxa"/>
            <w:tcBorders>
              <w:top w:val="double" w:sz="6" w:space="0" w:color="auto"/>
              <w:left w:val="nil"/>
              <w:bottom w:val="single" w:sz="4" w:space="0" w:color="auto"/>
              <w:right w:val="single" w:sz="4" w:space="0" w:color="auto"/>
            </w:tcBorders>
            <w:shd w:val="clear" w:color="auto" w:fill="auto"/>
            <w:noWrap/>
            <w:vAlign w:val="bottom"/>
            <w:hideMark/>
          </w:tcPr>
          <w:p w14:paraId="7878C7DA" w14:textId="77777777" w:rsidR="00A16DDB" w:rsidRPr="00D95127" w:rsidRDefault="00A16DDB" w:rsidP="007A627A">
            <w:pPr>
              <w:jc w:val="center"/>
              <w:rPr>
                <w:rFonts w:eastAsia="Times New Roman" w:cs="Times New Roman"/>
                <w:b/>
                <w:sz w:val="20"/>
                <w:szCs w:val="20"/>
                <w:lang w:val="cs-CZ" w:eastAsia="cs-CZ"/>
              </w:rPr>
            </w:pPr>
            <w:r w:rsidRPr="00D95127">
              <w:rPr>
                <w:rFonts w:eastAsia="Times New Roman" w:cs="Times New Roman"/>
                <w:b/>
                <w:sz w:val="20"/>
                <w:szCs w:val="20"/>
                <w:lang w:val="cs-CZ" w:eastAsia="cs-CZ"/>
              </w:rPr>
              <w:t>2013</w:t>
            </w:r>
          </w:p>
        </w:tc>
        <w:tc>
          <w:tcPr>
            <w:tcW w:w="709" w:type="dxa"/>
            <w:tcBorders>
              <w:top w:val="double" w:sz="6" w:space="0" w:color="auto"/>
              <w:left w:val="nil"/>
              <w:bottom w:val="single" w:sz="4" w:space="0" w:color="auto"/>
              <w:right w:val="single" w:sz="4" w:space="0" w:color="auto"/>
            </w:tcBorders>
            <w:shd w:val="clear" w:color="auto" w:fill="auto"/>
            <w:noWrap/>
            <w:vAlign w:val="bottom"/>
            <w:hideMark/>
          </w:tcPr>
          <w:p w14:paraId="4C97DC79" w14:textId="77777777" w:rsidR="00A16DDB" w:rsidRPr="00D95127" w:rsidRDefault="00A16DDB" w:rsidP="007A627A">
            <w:pPr>
              <w:jc w:val="center"/>
              <w:rPr>
                <w:rFonts w:eastAsia="Times New Roman" w:cs="Times New Roman"/>
                <w:b/>
                <w:sz w:val="20"/>
                <w:szCs w:val="20"/>
                <w:lang w:val="cs-CZ" w:eastAsia="cs-CZ"/>
              </w:rPr>
            </w:pPr>
            <w:r w:rsidRPr="00D95127">
              <w:rPr>
                <w:rFonts w:eastAsia="Times New Roman" w:cs="Times New Roman"/>
                <w:b/>
                <w:sz w:val="20"/>
                <w:szCs w:val="20"/>
                <w:lang w:val="cs-CZ" w:eastAsia="cs-CZ"/>
              </w:rPr>
              <w:t>2014</w:t>
            </w:r>
          </w:p>
        </w:tc>
        <w:tc>
          <w:tcPr>
            <w:tcW w:w="709" w:type="dxa"/>
            <w:tcBorders>
              <w:top w:val="double" w:sz="6" w:space="0" w:color="auto"/>
              <w:left w:val="nil"/>
              <w:bottom w:val="single" w:sz="4" w:space="0" w:color="auto"/>
              <w:right w:val="single" w:sz="4" w:space="0" w:color="auto"/>
            </w:tcBorders>
            <w:shd w:val="clear" w:color="auto" w:fill="auto"/>
            <w:noWrap/>
            <w:vAlign w:val="bottom"/>
            <w:hideMark/>
          </w:tcPr>
          <w:p w14:paraId="78F1E58C" w14:textId="77777777" w:rsidR="00A16DDB" w:rsidRPr="00D95127" w:rsidRDefault="00A16DDB" w:rsidP="007A627A">
            <w:pPr>
              <w:jc w:val="center"/>
              <w:rPr>
                <w:rFonts w:eastAsia="Times New Roman" w:cs="Times New Roman"/>
                <w:b/>
                <w:sz w:val="20"/>
                <w:szCs w:val="20"/>
                <w:lang w:val="cs-CZ" w:eastAsia="cs-CZ"/>
              </w:rPr>
            </w:pPr>
            <w:r w:rsidRPr="00D95127">
              <w:rPr>
                <w:rFonts w:eastAsia="Times New Roman" w:cs="Times New Roman"/>
                <w:b/>
                <w:sz w:val="20"/>
                <w:szCs w:val="20"/>
                <w:lang w:val="cs-CZ" w:eastAsia="cs-CZ"/>
              </w:rPr>
              <w:t>2015</w:t>
            </w:r>
          </w:p>
        </w:tc>
        <w:tc>
          <w:tcPr>
            <w:tcW w:w="708" w:type="dxa"/>
            <w:tcBorders>
              <w:top w:val="double" w:sz="6" w:space="0" w:color="auto"/>
              <w:left w:val="nil"/>
              <w:bottom w:val="single" w:sz="4" w:space="0" w:color="auto"/>
              <w:right w:val="single" w:sz="4" w:space="0" w:color="auto"/>
            </w:tcBorders>
            <w:shd w:val="clear" w:color="auto" w:fill="auto"/>
            <w:noWrap/>
            <w:vAlign w:val="bottom"/>
            <w:hideMark/>
          </w:tcPr>
          <w:p w14:paraId="730012A8" w14:textId="77777777" w:rsidR="00A16DDB" w:rsidRPr="00D95127" w:rsidRDefault="00A16DDB" w:rsidP="007A627A">
            <w:pPr>
              <w:jc w:val="center"/>
              <w:rPr>
                <w:rFonts w:eastAsia="Times New Roman" w:cs="Times New Roman"/>
                <w:b/>
                <w:sz w:val="20"/>
                <w:szCs w:val="20"/>
                <w:lang w:val="cs-CZ" w:eastAsia="cs-CZ"/>
              </w:rPr>
            </w:pPr>
            <w:r w:rsidRPr="00D95127">
              <w:rPr>
                <w:rFonts w:eastAsia="Times New Roman" w:cs="Times New Roman"/>
                <w:b/>
                <w:sz w:val="20"/>
                <w:szCs w:val="20"/>
                <w:lang w:val="cs-CZ" w:eastAsia="cs-CZ"/>
              </w:rPr>
              <w:t>2016</w:t>
            </w:r>
          </w:p>
        </w:tc>
        <w:tc>
          <w:tcPr>
            <w:tcW w:w="709" w:type="dxa"/>
            <w:tcBorders>
              <w:top w:val="double" w:sz="6" w:space="0" w:color="auto"/>
              <w:left w:val="nil"/>
              <w:bottom w:val="single" w:sz="4" w:space="0" w:color="auto"/>
              <w:right w:val="single" w:sz="4" w:space="0" w:color="auto"/>
            </w:tcBorders>
            <w:shd w:val="clear" w:color="auto" w:fill="auto"/>
            <w:noWrap/>
            <w:vAlign w:val="bottom"/>
            <w:hideMark/>
          </w:tcPr>
          <w:p w14:paraId="64D8BF53" w14:textId="77777777" w:rsidR="00A16DDB" w:rsidRPr="00D95127" w:rsidRDefault="00A16DDB" w:rsidP="007A627A">
            <w:pPr>
              <w:jc w:val="center"/>
              <w:rPr>
                <w:rFonts w:eastAsia="Times New Roman" w:cs="Times New Roman"/>
                <w:b/>
                <w:sz w:val="20"/>
                <w:szCs w:val="20"/>
                <w:lang w:val="cs-CZ" w:eastAsia="cs-CZ"/>
              </w:rPr>
            </w:pPr>
            <w:r w:rsidRPr="00D95127">
              <w:rPr>
                <w:rFonts w:eastAsia="Times New Roman" w:cs="Times New Roman"/>
                <w:b/>
                <w:sz w:val="20"/>
                <w:szCs w:val="20"/>
                <w:lang w:val="cs-CZ" w:eastAsia="cs-CZ"/>
              </w:rPr>
              <w:t>2017</w:t>
            </w:r>
          </w:p>
        </w:tc>
        <w:tc>
          <w:tcPr>
            <w:tcW w:w="709" w:type="dxa"/>
            <w:tcBorders>
              <w:top w:val="double" w:sz="6" w:space="0" w:color="auto"/>
              <w:left w:val="nil"/>
              <w:bottom w:val="single" w:sz="4" w:space="0" w:color="auto"/>
              <w:right w:val="single" w:sz="4" w:space="0" w:color="auto"/>
            </w:tcBorders>
            <w:shd w:val="clear" w:color="auto" w:fill="auto"/>
            <w:noWrap/>
            <w:vAlign w:val="bottom"/>
            <w:hideMark/>
          </w:tcPr>
          <w:p w14:paraId="6A30BC93" w14:textId="77777777" w:rsidR="00A16DDB" w:rsidRPr="00D95127" w:rsidRDefault="00A16DDB" w:rsidP="007A627A">
            <w:pPr>
              <w:jc w:val="center"/>
              <w:rPr>
                <w:rFonts w:eastAsia="Times New Roman" w:cs="Times New Roman"/>
                <w:b/>
                <w:sz w:val="20"/>
                <w:szCs w:val="20"/>
                <w:lang w:val="cs-CZ" w:eastAsia="cs-CZ"/>
              </w:rPr>
            </w:pPr>
            <w:r w:rsidRPr="00D95127">
              <w:rPr>
                <w:rFonts w:eastAsia="Times New Roman" w:cs="Times New Roman"/>
                <w:b/>
                <w:sz w:val="20"/>
                <w:szCs w:val="20"/>
                <w:lang w:val="cs-CZ" w:eastAsia="cs-CZ"/>
              </w:rPr>
              <w:t>2018</w:t>
            </w:r>
          </w:p>
        </w:tc>
        <w:tc>
          <w:tcPr>
            <w:tcW w:w="709" w:type="dxa"/>
            <w:tcBorders>
              <w:top w:val="double" w:sz="6" w:space="0" w:color="auto"/>
              <w:left w:val="single" w:sz="4" w:space="0" w:color="auto"/>
              <w:bottom w:val="single" w:sz="4" w:space="0" w:color="auto"/>
              <w:right w:val="double" w:sz="6" w:space="0" w:color="auto"/>
            </w:tcBorders>
            <w:vAlign w:val="bottom"/>
          </w:tcPr>
          <w:p w14:paraId="6ABF430B" w14:textId="77777777" w:rsidR="00A16DDB" w:rsidRPr="00D95127" w:rsidRDefault="00A16DDB" w:rsidP="007A627A">
            <w:pPr>
              <w:jc w:val="center"/>
              <w:rPr>
                <w:rFonts w:eastAsia="Times New Roman" w:cs="Times New Roman"/>
                <w:b/>
                <w:sz w:val="20"/>
                <w:szCs w:val="20"/>
                <w:highlight w:val="yellow"/>
                <w:lang w:val="cs-CZ" w:eastAsia="cs-CZ"/>
              </w:rPr>
            </w:pPr>
            <w:r w:rsidRPr="00D95127">
              <w:rPr>
                <w:rFonts w:eastAsia="Times New Roman" w:cs="Times New Roman"/>
                <w:b/>
                <w:sz w:val="20"/>
                <w:szCs w:val="20"/>
                <w:highlight w:val="yellow"/>
                <w:lang w:val="cs-CZ" w:eastAsia="cs-CZ"/>
              </w:rPr>
              <w:t>2019</w:t>
            </w:r>
          </w:p>
        </w:tc>
      </w:tr>
      <w:tr w:rsidR="00A16DDB" w:rsidRPr="00D95127" w14:paraId="03E75563" w14:textId="77777777" w:rsidTr="007A627A">
        <w:trPr>
          <w:trHeight w:val="600"/>
        </w:trPr>
        <w:tc>
          <w:tcPr>
            <w:tcW w:w="3047" w:type="dxa"/>
            <w:tcBorders>
              <w:top w:val="single" w:sz="4" w:space="0" w:color="auto"/>
              <w:left w:val="double" w:sz="6" w:space="0" w:color="auto"/>
              <w:bottom w:val="single" w:sz="4" w:space="0" w:color="auto"/>
              <w:right w:val="single" w:sz="4" w:space="0" w:color="auto"/>
            </w:tcBorders>
            <w:shd w:val="clear" w:color="auto" w:fill="auto"/>
            <w:vAlign w:val="bottom"/>
            <w:hideMark/>
          </w:tcPr>
          <w:p w14:paraId="1BA236BD" w14:textId="77777777" w:rsidR="00A16DDB" w:rsidRPr="00D95127" w:rsidRDefault="00A16DDB" w:rsidP="007A627A">
            <w:pPr>
              <w:rPr>
                <w:rFonts w:eastAsia="Times New Roman" w:cs="Times New Roman"/>
                <w:sz w:val="20"/>
                <w:szCs w:val="20"/>
                <w:lang w:val="cs-CZ" w:eastAsia="cs-CZ"/>
              </w:rPr>
            </w:pPr>
            <w:r w:rsidRPr="00D95127">
              <w:rPr>
                <w:rFonts w:eastAsia="Times New Roman" w:cs="Times New Roman"/>
                <w:sz w:val="20"/>
                <w:szCs w:val="20"/>
                <w:lang w:val="cs-CZ" w:eastAsia="cs-CZ"/>
              </w:rPr>
              <w:t>3. a) Biologická a fyzikální ochrana jako náhrada chemické ochrany</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391AB8D1"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0,32</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14:paraId="513100B1"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0,40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5FF46D2D"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0,50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3F0D403F"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0,40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7A66961D"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0,50</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14:paraId="4C99BF96"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0,60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4157AA72"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0,60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5B329FCB"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0,95</w:t>
            </w:r>
          </w:p>
        </w:tc>
        <w:tc>
          <w:tcPr>
            <w:tcW w:w="709" w:type="dxa"/>
            <w:tcBorders>
              <w:top w:val="single" w:sz="4" w:space="0" w:color="auto"/>
              <w:left w:val="single" w:sz="4" w:space="0" w:color="auto"/>
              <w:bottom w:val="single" w:sz="4" w:space="0" w:color="auto"/>
              <w:right w:val="double" w:sz="6" w:space="0" w:color="auto"/>
            </w:tcBorders>
            <w:vAlign w:val="bottom"/>
          </w:tcPr>
          <w:p w14:paraId="40291A6B" w14:textId="77777777" w:rsidR="00A16DDB" w:rsidRPr="00D95127" w:rsidRDefault="00A16DDB" w:rsidP="007A627A">
            <w:pPr>
              <w:jc w:val="center"/>
              <w:rPr>
                <w:rFonts w:eastAsia="Times New Roman" w:cs="Times New Roman"/>
                <w:sz w:val="20"/>
                <w:szCs w:val="20"/>
                <w:highlight w:val="yellow"/>
                <w:lang w:val="cs-CZ" w:eastAsia="cs-CZ"/>
              </w:rPr>
            </w:pPr>
            <w:r w:rsidRPr="00D95127">
              <w:rPr>
                <w:rFonts w:eastAsia="Times New Roman" w:cs="Times New Roman"/>
                <w:sz w:val="20"/>
                <w:szCs w:val="20"/>
                <w:highlight w:val="yellow"/>
                <w:lang w:val="cs-CZ" w:eastAsia="cs-CZ"/>
              </w:rPr>
              <w:t>3,13</w:t>
            </w:r>
          </w:p>
        </w:tc>
      </w:tr>
      <w:tr w:rsidR="00A16DDB" w:rsidRPr="00D95127" w14:paraId="743E4F82" w14:textId="77777777" w:rsidTr="007A627A">
        <w:trPr>
          <w:trHeight w:val="600"/>
        </w:trPr>
        <w:tc>
          <w:tcPr>
            <w:tcW w:w="3047" w:type="dxa"/>
            <w:tcBorders>
              <w:top w:val="nil"/>
              <w:left w:val="double" w:sz="6" w:space="0" w:color="auto"/>
              <w:bottom w:val="single" w:sz="4" w:space="0" w:color="auto"/>
              <w:right w:val="single" w:sz="4" w:space="0" w:color="auto"/>
            </w:tcBorders>
            <w:shd w:val="clear" w:color="auto" w:fill="auto"/>
            <w:vAlign w:val="bottom"/>
            <w:hideMark/>
          </w:tcPr>
          <w:p w14:paraId="5CC37AA0" w14:textId="77777777" w:rsidR="00A16DDB" w:rsidRPr="00D95127" w:rsidRDefault="00A16DDB" w:rsidP="007A627A">
            <w:pPr>
              <w:rPr>
                <w:rFonts w:eastAsia="Times New Roman" w:cs="Times New Roman"/>
                <w:sz w:val="20"/>
                <w:szCs w:val="20"/>
                <w:lang w:val="cs-CZ" w:eastAsia="cs-CZ"/>
              </w:rPr>
            </w:pPr>
            <w:r w:rsidRPr="00D95127">
              <w:rPr>
                <w:rFonts w:eastAsia="Times New Roman" w:cs="Times New Roman"/>
                <w:sz w:val="20"/>
                <w:szCs w:val="20"/>
                <w:lang w:val="cs-CZ" w:eastAsia="cs-CZ"/>
              </w:rPr>
              <w:t>3. c) Podpora na testování množitelského materiálu</w:t>
            </w:r>
          </w:p>
        </w:tc>
        <w:tc>
          <w:tcPr>
            <w:tcW w:w="709" w:type="dxa"/>
            <w:tcBorders>
              <w:top w:val="nil"/>
              <w:left w:val="nil"/>
              <w:bottom w:val="single" w:sz="4" w:space="0" w:color="auto"/>
              <w:right w:val="single" w:sz="4" w:space="0" w:color="auto"/>
            </w:tcBorders>
            <w:shd w:val="clear" w:color="auto" w:fill="auto"/>
            <w:noWrap/>
            <w:vAlign w:val="bottom"/>
            <w:hideMark/>
          </w:tcPr>
          <w:p w14:paraId="524426CA"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0,05</w:t>
            </w:r>
          </w:p>
        </w:tc>
        <w:tc>
          <w:tcPr>
            <w:tcW w:w="708" w:type="dxa"/>
            <w:tcBorders>
              <w:top w:val="nil"/>
              <w:left w:val="nil"/>
              <w:bottom w:val="single" w:sz="4" w:space="0" w:color="auto"/>
              <w:right w:val="single" w:sz="4" w:space="0" w:color="auto"/>
            </w:tcBorders>
            <w:shd w:val="clear" w:color="auto" w:fill="auto"/>
            <w:noWrap/>
            <w:vAlign w:val="bottom"/>
            <w:hideMark/>
          </w:tcPr>
          <w:p w14:paraId="1B90E4FB"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0,30</w:t>
            </w:r>
          </w:p>
        </w:tc>
        <w:tc>
          <w:tcPr>
            <w:tcW w:w="709" w:type="dxa"/>
            <w:tcBorders>
              <w:top w:val="nil"/>
              <w:left w:val="nil"/>
              <w:bottom w:val="single" w:sz="4" w:space="0" w:color="auto"/>
              <w:right w:val="single" w:sz="4" w:space="0" w:color="auto"/>
            </w:tcBorders>
            <w:shd w:val="clear" w:color="auto" w:fill="auto"/>
            <w:noWrap/>
            <w:vAlign w:val="bottom"/>
            <w:hideMark/>
          </w:tcPr>
          <w:p w14:paraId="20AD439B"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0,00</w:t>
            </w:r>
          </w:p>
        </w:tc>
        <w:tc>
          <w:tcPr>
            <w:tcW w:w="709" w:type="dxa"/>
            <w:tcBorders>
              <w:top w:val="nil"/>
              <w:left w:val="nil"/>
              <w:bottom w:val="single" w:sz="4" w:space="0" w:color="auto"/>
              <w:right w:val="single" w:sz="4" w:space="0" w:color="auto"/>
            </w:tcBorders>
            <w:shd w:val="clear" w:color="auto" w:fill="auto"/>
            <w:noWrap/>
            <w:vAlign w:val="bottom"/>
            <w:hideMark/>
          </w:tcPr>
          <w:p w14:paraId="320763A8"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0,05</w:t>
            </w:r>
          </w:p>
        </w:tc>
        <w:tc>
          <w:tcPr>
            <w:tcW w:w="709" w:type="dxa"/>
            <w:tcBorders>
              <w:top w:val="nil"/>
              <w:left w:val="nil"/>
              <w:bottom w:val="single" w:sz="4" w:space="0" w:color="auto"/>
              <w:right w:val="single" w:sz="4" w:space="0" w:color="auto"/>
            </w:tcBorders>
            <w:shd w:val="clear" w:color="auto" w:fill="auto"/>
            <w:noWrap/>
            <w:vAlign w:val="bottom"/>
            <w:hideMark/>
          </w:tcPr>
          <w:p w14:paraId="6086EF68"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0,00</w:t>
            </w:r>
          </w:p>
        </w:tc>
        <w:tc>
          <w:tcPr>
            <w:tcW w:w="708" w:type="dxa"/>
            <w:tcBorders>
              <w:top w:val="nil"/>
              <w:left w:val="nil"/>
              <w:bottom w:val="single" w:sz="4" w:space="0" w:color="auto"/>
              <w:right w:val="single" w:sz="4" w:space="0" w:color="auto"/>
            </w:tcBorders>
            <w:shd w:val="clear" w:color="auto" w:fill="auto"/>
            <w:noWrap/>
            <w:vAlign w:val="bottom"/>
            <w:hideMark/>
          </w:tcPr>
          <w:p w14:paraId="339B5EA5"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0,30</w:t>
            </w:r>
          </w:p>
        </w:tc>
        <w:tc>
          <w:tcPr>
            <w:tcW w:w="709" w:type="dxa"/>
            <w:tcBorders>
              <w:top w:val="nil"/>
              <w:left w:val="nil"/>
              <w:bottom w:val="single" w:sz="4" w:space="0" w:color="auto"/>
              <w:right w:val="single" w:sz="4" w:space="0" w:color="auto"/>
            </w:tcBorders>
            <w:shd w:val="clear" w:color="auto" w:fill="auto"/>
            <w:noWrap/>
            <w:vAlign w:val="bottom"/>
            <w:hideMark/>
          </w:tcPr>
          <w:p w14:paraId="6A8AAF10"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0,04</w:t>
            </w:r>
          </w:p>
        </w:tc>
        <w:tc>
          <w:tcPr>
            <w:tcW w:w="709" w:type="dxa"/>
            <w:tcBorders>
              <w:top w:val="nil"/>
              <w:left w:val="nil"/>
              <w:bottom w:val="single" w:sz="4" w:space="0" w:color="auto"/>
              <w:right w:val="single" w:sz="4" w:space="0" w:color="auto"/>
            </w:tcBorders>
            <w:shd w:val="clear" w:color="auto" w:fill="auto"/>
            <w:noWrap/>
            <w:vAlign w:val="bottom"/>
            <w:hideMark/>
          </w:tcPr>
          <w:p w14:paraId="656AF1D2"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0,00</w:t>
            </w:r>
          </w:p>
        </w:tc>
        <w:tc>
          <w:tcPr>
            <w:tcW w:w="709" w:type="dxa"/>
            <w:tcBorders>
              <w:top w:val="nil"/>
              <w:left w:val="single" w:sz="4" w:space="0" w:color="auto"/>
              <w:bottom w:val="single" w:sz="4" w:space="0" w:color="auto"/>
              <w:right w:val="double" w:sz="6" w:space="0" w:color="auto"/>
            </w:tcBorders>
            <w:vAlign w:val="bottom"/>
          </w:tcPr>
          <w:p w14:paraId="52CBEC8A" w14:textId="77777777" w:rsidR="00A16DDB" w:rsidRPr="00D95127" w:rsidRDefault="00A16DDB" w:rsidP="007A627A">
            <w:pPr>
              <w:jc w:val="center"/>
              <w:rPr>
                <w:rFonts w:eastAsia="Times New Roman" w:cs="Times New Roman"/>
                <w:sz w:val="20"/>
                <w:szCs w:val="20"/>
                <w:highlight w:val="yellow"/>
                <w:lang w:val="cs-CZ" w:eastAsia="cs-CZ"/>
              </w:rPr>
            </w:pPr>
            <w:r w:rsidRPr="00D95127">
              <w:rPr>
                <w:rFonts w:eastAsia="Times New Roman" w:cs="Times New Roman"/>
                <w:sz w:val="20"/>
                <w:szCs w:val="20"/>
                <w:highlight w:val="yellow"/>
                <w:lang w:val="cs-CZ" w:eastAsia="cs-CZ"/>
              </w:rPr>
              <w:t>0,04</w:t>
            </w:r>
          </w:p>
        </w:tc>
      </w:tr>
      <w:tr w:rsidR="00A16DDB" w:rsidRPr="00D95127" w14:paraId="6EE61632" w14:textId="77777777" w:rsidTr="007A627A">
        <w:trPr>
          <w:trHeight w:val="300"/>
        </w:trPr>
        <w:tc>
          <w:tcPr>
            <w:tcW w:w="3047" w:type="dxa"/>
            <w:tcBorders>
              <w:top w:val="nil"/>
              <w:left w:val="double" w:sz="6" w:space="0" w:color="auto"/>
              <w:bottom w:val="single" w:sz="4" w:space="0" w:color="auto"/>
              <w:right w:val="single" w:sz="4" w:space="0" w:color="auto"/>
            </w:tcBorders>
            <w:shd w:val="clear" w:color="auto" w:fill="auto"/>
            <w:noWrap/>
            <w:vAlign w:val="bottom"/>
            <w:hideMark/>
          </w:tcPr>
          <w:p w14:paraId="157D2537" w14:textId="77777777" w:rsidR="00A16DDB" w:rsidRPr="00D95127" w:rsidRDefault="00A16DDB" w:rsidP="007A627A">
            <w:pPr>
              <w:rPr>
                <w:rFonts w:eastAsia="Times New Roman" w:cs="Times New Roman"/>
                <w:sz w:val="20"/>
                <w:szCs w:val="20"/>
                <w:lang w:val="cs-CZ" w:eastAsia="cs-CZ"/>
              </w:rPr>
            </w:pPr>
            <w:r w:rsidRPr="00D95127">
              <w:rPr>
                <w:rFonts w:eastAsia="Times New Roman" w:cs="Times New Roman"/>
                <w:sz w:val="20"/>
                <w:szCs w:val="20"/>
                <w:lang w:val="cs-CZ" w:eastAsia="cs-CZ"/>
              </w:rPr>
              <w:t>3. d) Podpora tvorby rostlinných genotypů</w:t>
            </w:r>
          </w:p>
        </w:tc>
        <w:tc>
          <w:tcPr>
            <w:tcW w:w="709" w:type="dxa"/>
            <w:tcBorders>
              <w:top w:val="nil"/>
              <w:left w:val="nil"/>
              <w:bottom w:val="single" w:sz="4" w:space="0" w:color="auto"/>
              <w:right w:val="single" w:sz="4" w:space="0" w:color="auto"/>
            </w:tcBorders>
            <w:shd w:val="clear" w:color="auto" w:fill="auto"/>
            <w:noWrap/>
            <w:vAlign w:val="bottom"/>
            <w:hideMark/>
          </w:tcPr>
          <w:p w14:paraId="7D097389"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7,40</w:t>
            </w:r>
          </w:p>
        </w:tc>
        <w:tc>
          <w:tcPr>
            <w:tcW w:w="708" w:type="dxa"/>
            <w:tcBorders>
              <w:top w:val="nil"/>
              <w:left w:val="nil"/>
              <w:bottom w:val="single" w:sz="4" w:space="0" w:color="auto"/>
              <w:right w:val="single" w:sz="4" w:space="0" w:color="auto"/>
            </w:tcBorders>
            <w:shd w:val="clear" w:color="auto" w:fill="auto"/>
            <w:noWrap/>
            <w:vAlign w:val="bottom"/>
            <w:hideMark/>
          </w:tcPr>
          <w:p w14:paraId="6EA256B0"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7,10</w:t>
            </w:r>
          </w:p>
        </w:tc>
        <w:tc>
          <w:tcPr>
            <w:tcW w:w="709" w:type="dxa"/>
            <w:tcBorders>
              <w:top w:val="nil"/>
              <w:left w:val="nil"/>
              <w:bottom w:val="single" w:sz="4" w:space="0" w:color="auto"/>
              <w:right w:val="single" w:sz="4" w:space="0" w:color="auto"/>
            </w:tcBorders>
            <w:shd w:val="clear" w:color="auto" w:fill="auto"/>
            <w:noWrap/>
            <w:vAlign w:val="bottom"/>
            <w:hideMark/>
          </w:tcPr>
          <w:p w14:paraId="64E48AF5"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9,30</w:t>
            </w:r>
          </w:p>
        </w:tc>
        <w:tc>
          <w:tcPr>
            <w:tcW w:w="709" w:type="dxa"/>
            <w:tcBorders>
              <w:top w:val="nil"/>
              <w:left w:val="nil"/>
              <w:bottom w:val="single" w:sz="4" w:space="0" w:color="auto"/>
              <w:right w:val="single" w:sz="4" w:space="0" w:color="auto"/>
            </w:tcBorders>
            <w:shd w:val="clear" w:color="auto" w:fill="auto"/>
            <w:noWrap/>
            <w:vAlign w:val="bottom"/>
            <w:hideMark/>
          </w:tcPr>
          <w:p w14:paraId="2EB3BDEF"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11,00</w:t>
            </w:r>
          </w:p>
        </w:tc>
        <w:tc>
          <w:tcPr>
            <w:tcW w:w="709" w:type="dxa"/>
            <w:tcBorders>
              <w:top w:val="nil"/>
              <w:left w:val="nil"/>
              <w:bottom w:val="single" w:sz="4" w:space="0" w:color="auto"/>
              <w:right w:val="single" w:sz="4" w:space="0" w:color="auto"/>
            </w:tcBorders>
            <w:shd w:val="clear" w:color="auto" w:fill="auto"/>
            <w:noWrap/>
            <w:vAlign w:val="bottom"/>
            <w:hideMark/>
          </w:tcPr>
          <w:p w14:paraId="408A4700"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13,30</w:t>
            </w:r>
          </w:p>
        </w:tc>
        <w:tc>
          <w:tcPr>
            <w:tcW w:w="708" w:type="dxa"/>
            <w:tcBorders>
              <w:top w:val="nil"/>
              <w:left w:val="nil"/>
              <w:bottom w:val="single" w:sz="4" w:space="0" w:color="auto"/>
              <w:right w:val="single" w:sz="4" w:space="0" w:color="auto"/>
            </w:tcBorders>
            <w:shd w:val="clear" w:color="auto" w:fill="auto"/>
            <w:noWrap/>
            <w:vAlign w:val="bottom"/>
            <w:hideMark/>
          </w:tcPr>
          <w:p w14:paraId="13D2A84A"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13,30</w:t>
            </w:r>
          </w:p>
        </w:tc>
        <w:tc>
          <w:tcPr>
            <w:tcW w:w="709" w:type="dxa"/>
            <w:tcBorders>
              <w:top w:val="nil"/>
              <w:left w:val="nil"/>
              <w:bottom w:val="single" w:sz="4" w:space="0" w:color="auto"/>
              <w:right w:val="single" w:sz="4" w:space="0" w:color="auto"/>
            </w:tcBorders>
            <w:shd w:val="clear" w:color="auto" w:fill="auto"/>
            <w:noWrap/>
            <w:vAlign w:val="bottom"/>
            <w:hideMark/>
          </w:tcPr>
          <w:p w14:paraId="138ED7D5"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15,00</w:t>
            </w:r>
          </w:p>
        </w:tc>
        <w:tc>
          <w:tcPr>
            <w:tcW w:w="709" w:type="dxa"/>
            <w:tcBorders>
              <w:top w:val="nil"/>
              <w:left w:val="nil"/>
              <w:bottom w:val="single" w:sz="4" w:space="0" w:color="auto"/>
              <w:right w:val="single" w:sz="4" w:space="0" w:color="auto"/>
            </w:tcBorders>
            <w:shd w:val="clear" w:color="auto" w:fill="auto"/>
            <w:noWrap/>
            <w:vAlign w:val="bottom"/>
            <w:hideMark/>
          </w:tcPr>
          <w:p w14:paraId="69FABBA7"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16,10</w:t>
            </w:r>
          </w:p>
        </w:tc>
        <w:tc>
          <w:tcPr>
            <w:tcW w:w="709" w:type="dxa"/>
            <w:tcBorders>
              <w:top w:val="nil"/>
              <w:left w:val="single" w:sz="4" w:space="0" w:color="auto"/>
              <w:bottom w:val="single" w:sz="4" w:space="0" w:color="auto"/>
              <w:right w:val="double" w:sz="6" w:space="0" w:color="auto"/>
            </w:tcBorders>
            <w:vAlign w:val="bottom"/>
          </w:tcPr>
          <w:p w14:paraId="52FDD520" w14:textId="77777777" w:rsidR="00A16DDB" w:rsidRPr="00D95127" w:rsidRDefault="00A16DDB" w:rsidP="007A627A">
            <w:pPr>
              <w:jc w:val="center"/>
              <w:rPr>
                <w:rFonts w:eastAsia="Times New Roman" w:cs="Times New Roman"/>
                <w:sz w:val="20"/>
                <w:szCs w:val="20"/>
                <w:highlight w:val="yellow"/>
                <w:lang w:val="cs-CZ" w:eastAsia="cs-CZ"/>
              </w:rPr>
            </w:pPr>
            <w:r w:rsidRPr="00D95127">
              <w:rPr>
                <w:rFonts w:eastAsia="Times New Roman" w:cs="Times New Roman"/>
                <w:sz w:val="20"/>
                <w:szCs w:val="20"/>
                <w:highlight w:val="yellow"/>
                <w:lang w:val="cs-CZ" w:eastAsia="cs-CZ"/>
              </w:rPr>
              <w:t>17,28</w:t>
            </w:r>
          </w:p>
        </w:tc>
      </w:tr>
      <w:tr w:rsidR="00A16DDB" w:rsidRPr="00D95127" w14:paraId="55ED338B" w14:textId="77777777" w:rsidTr="007A627A">
        <w:trPr>
          <w:trHeight w:val="300"/>
        </w:trPr>
        <w:tc>
          <w:tcPr>
            <w:tcW w:w="3047" w:type="dxa"/>
            <w:tcBorders>
              <w:top w:val="nil"/>
              <w:left w:val="double" w:sz="6" w:space="0" w:color="auto"/>
              <w:bottom w:val="single" w:sz="4" w:space="0" w:color="auto"/>
              <w:right w:val="single" w:sz="4" w:space="0" w:color="auto"/>
            </w:tcBorders>
            <w:shd w:val="clear" w:color="auto" w:fill="auto"/>
            <w:noWrap/>
            <w:vAlign w:val="bottom"/>
            <w:hideMark/>
          </w:tcPr>
          <w:p w14:paraId="0BEE79BF" w14:textId="77777777" w:rsidR="00A16DDB" w:rsidRPr="00D95127" w:rsidRDefault="00A16DDB" w:rsidP="007A627A">
            <w:pPr>
              <w:rPr>
                <w:rFonts w:eastAsia="Times New Roman" w:cs="Times New Roman"/>
                <w:sz w:val="20"/>
                <w:szCs w:val="20"/>
                <w:lang w:val="cs-CZ" w:eastAsia="cs-CZ"/>
              </w:rPr>
            </w:pPr>
            <w:r w:rsidRPr="00D95127">
              <w:rPr>
                <w:rFonts w:eastAsia="Times New Roman" w:cs="Times New Roman"/>
                <w:sz w:val="20"/>
                <w:szCs w:val="20"/>
                <w:lang w:val="cs-CZ" w:eastAsia="cs-CZ"/>
              </w:rPr>
              <w:t>9. A. b. 3) Podpora pořádání seminářů, školení</w:t>
            </w:r>
          </w:p>
        </w:tc>
        <w:tc>
          <w:tcPr>
            <w:tcW w:w="709" w:type="dxa"/>
            <w:tcBorders>
              <w:top w:val="nil"/>
              <w:left w:val="nil"/>
              <w:bottom w:val="single" w:sz="4" w:space="0" w:color="auto"/>
              <w:right w:val="single" w:sz="4" w:space="0" w:color="auto"/>
            </w:tcBorders>
            <w:shd w:val="clear" w:color="auto" w:fill="auto"/>
            <w:noWrap/>
            <w:vAlign w:val="bottom"/>
            <w:hideMark/>
          </w:tcPr>
          <w:p w14:paraId="56C15858" w14:textId="77777777" w:rsidR="00A16DDB" w:rsidRPr="00D95127" w:rsidRDefault="00A16DDB" w:rsidP="007A627A">
            <w:pPr>
              <w:rPr>
                <w:rFonts w:eastAsia="Times New Roman" w:cs="Times New Roman"/>
                <w:sz w:val="20"/>
                <w:szCs w:val="20"/>
                <w:lang w:val="cs-CZ" w:eastAsia="cs-CZ"/>
              </w:rPr>
            </w:pPr>
            <w:r w:rsidRPr="00D95127">
              <w:rPr>
                <w:rFonts w:eastAsia="Times New Roman" w:cs="Times New Roman"/>
                <w:sz w:val="20"/>
                <w:szCs w:val="20"/>
                <w:lang w:val="cs-CZ" w:eastAsia="cs-CZ"/>
              </w:rPr>
              <w:t> </w:t>
            </w:r>
          </w:p>
        </w:tc>
        <w:tc>
          <w:tcPr>
            <w:tcW w:w="708" w:type="dxa"/>
            <w:tcBorders>
              <w:top w:val="nil"/>
              <w:left w:val="nil"/>
              <w:bottom w:val="single" w:sz="4" w:space="0" w:color="auto"/>
              <w:right w:val="single" w:sz="4" w:space="0" w:color="auto"/>
            </w:tcBorders>
            <w:shd w:val="clear" w:color="auto" w:fill="auto"/>
            <w:noWrap/>
            <w:vAlign w:val="bottom"/>
            <w:hideMark/>
          </w:tcPr>
          <w:p w14:paraId="52671E81" w14:textId="77777777" w:rsidR="00A16DDB" w:rsidRPr="00D95127" w:rsidRDefault="00A16DDB" w:rsidP="007A627A">
            <w:pPr>
              <w:rPr>
                <w:rFonts w:eastAsia="Times New Roman" w:cs="Times New Roman"/>
                <w:sz w:val="20"/>
                <w:szCs w:val="20"/>
                <w:lang w:val="cs-CZ" w:eastAsia="cs-CZ"/>
              </w:rPr>
            </w:pPr>
            <w:r w:rsidRPr="00D95127">
              <w:rPr>
                <w:rFonts w:eastAsia="Times New Roman" w:cs="Times New Roman"/>
                <w:sz w:val="20"/>
                <w:szCs w:val="20"/>
                <w:lang w:val="cs-CZ" w:eastAsia="cs-CZ"/>
              </w:rPr>
              <w:t> </w:t>
            </w:r>
          </w:p>
        </w:tc>
        <w:tc>
          <w:tcPr>
            <w:tcW w:w="709" w:type="dxa"/>
            <w:tcBorders>
              <w:top w:val="nil"/>
              <w:left w:val="nil"/>
              <w:bottom w:val="single" w:sz="4" w:space="0" w:color="auto"/>
              <w:right w:val="single" w:sz="4" w:space="0" w:color="auto"/>
            </w:tcBorders>
            <w:shd w:val="clear" w:color="auto" w:fill="auto"/>
            <w:noWrap/>
            <w:vAlign w:val="bottom"/>
            <w:hideMark/>
          </w:tcPr>
          <w:p w14:paraId="590A2257" w14:textId="77777777" w:rsidR="00A16DDB" w:rsidRPr="00D95127" w:rsidRDefault="00A16DDB" w:rsidP="007A627A">
            <w:pPr>
              <w:rPr>
                <w:rFonts w:eastAsia="Times New Roman" w:cs="Times New Roman"/>
                <w:sz w:val="20"/>
                <w:szCs w:val="20"/>
                <w:lang w:val="cs-CZ" w:eastAsia="cs-CZ"/>
              </w:rPr>
            </w:pPr>
            <w:r w:rsidRPr="00D95127">
              <w:rPr>
                <w:rFonts w:eastAsia="Times New Roman" w:cs="Times New Roman"/>
                <w:sz w:val="20"/>
                <w:szCs w:val="20"/>
                <w:lang w:val="cs-CZ" w:eastAsia="cs-CZ"/>
              </w:rPr>
              <w:t> </w:t>
            </w:r>
          </w:p>
        </w:tc>
        <w:tc>
          <w:tcPr>
            <w:tcW w:w="709" w:type="dxa"/>
            <w:tcBorders>
              <w:top w:val="nil"/>
              <w:left w:val="nil"/>
              <w:bottom w:val="single" w:sz="4" w:space="0" w:color="auto"/>
              <w:right w:val="single" w:sz="4" w:space="0" w:color="auto"/>
            </w:tcBorders>
            <w:shd w:val="clear" w:color="auto" w:fill="auto"/>
            <w:noWrap/>
            <w:vAlign w:val="bottom"/>
            <w:hideMark/>
          </w:tcPr>
          <w:p w14:paraId="74D43786" w14:textId="77777777" w:rsidR="00A16DDB" w:rsidRPr="00D95127" w:rsidRDefault="00A16DDB" w:rsidP="007A627A">
            <w:pPr>
              <w:rPr>
                <w:rFonts w:eastAsia="Times New Roman" w:cs="Times New Roman"/>
                <w:sz w:val="20"/>
                <w:szCs w:val="20"/>
                <w:lang w:val="cs-CZ" w:eastAsia="cs-CZ"/>
              </w:rPr>
            </w:pPr>
            <w:r w:rsidRPr="00D95127">
              <w:rPr>
                <w:rFonts w:eastAsia="Times New Roman" w:cs="Times New Roman"/>
                <w:sz w:val="20"/>
                <w:szCs w:val="20"/>
                <w:lang w:val="cs-CZ" w:eastAsia="cs-CZ"/>
              </w:rPr>
              <w:t> </w:t>
            </w:r>
          </w:p>
        </w:tc>
        <w:tc>
          <w:tcPr>
            <w:tcW w:w="709" w:type="dxa"/>
            <w:tcBorders>
              <w:top w:val="nil"/>
              <w:left w:val="nil"/>
              <w:bottom w:val="single" w:sz="4" w:space="0" w:color="auto"/>
              <w:right w:val="single" w:sz="4" w:space="0" w:color="auto"/>
            </w:tcBorders>
            <w:shd w:val="clear" w:color="auto" w:fill="auto"/>
            <w:noWrap/>
            <w:vAlign w:val="bottom"/>
            <w:hideMark/>
          </w:tcPr>
          <w:p w14:paraId="0C62FA4E" w14:textId="77777777" w:rsidR="00A16DDB" w:rsidRPr="00D95127" w:rsidRDefault="00A16DDB" w:rsidP="007A627A">
            <w:pPr>
              <w:rPr>
                <w:rFonts w:eastAsia="Times New Roman" w:cs="Times New Roman"/>
                <w:sz w:val="20"/>
                <w:szCs w:val="20"/>
                <w:lang w:val="cs-CZ" w:eastAsia="cs-CZ"/>
              </w:rPr>
            </w:pPr>
            <w:r w:rsidRPr="00D95127">
              <w:rPr>
                <w:rFonts w:eastAsia="Times New Roman" w:cs="Times New Roman"/>
                <w:sz w:val="20"/>
                <w:szCs w:val="20"/>
                <w:lang w:val="cs-CZ" w:eastAsia="cs-CZ"/>
              </w:rPr>
              <w:t> </w:t>
            </w:r>
          </w:p>
        </w:tc>
        <w:tc>
          <w:tcPr>
            <w:tcW w:w="708" w:type="dxa"/>
            <w:tcBorders>
              <w:top w:val="nil"/>
              <w:left w:val="nil"/>
              <w:bottom w:val="single" w:sz="4" w:space="0" w:color="auto"/>
              <w:right w:val="single" w:sz="4" w:space="0" w:color="auto"/>
            </w:tcBorders>
            <w:shd w:val="clear" w:color="auto" w:fill="auto"/>
            <w:noWrap/>
            <w:vAlign w:val="bottom"/>
            <w:hideMark/>
          </w:tcPr>
          <w:p w14:paraId="4C294818" w14:textId="77777777" w:rsidR="00A16DDB" w:rsidRPr="00D95127" w:rsidRDefault="00A16DDB" w:rsidP="007A627A">
            <w:pPr>
              <w:rPr>
                <w:rFonts w:eastAsia="Times New Roman" w:cs="Times New Roman"/>
                <w:sz w:val="20"/>
                <w:szCs w:val="20"/>
                <w:lang w:val="cs-CZ" w:eastAsia="cs-CZ"/>
              </w:rPr>
            </w:pPr>
            <w:r w:rsidRPr="00D95127">
              <w:rPr>
                <w:rFonts w:eastAsia="Times New Roman" w:cs="Times New Roman"/>
                <w:sz w:val="20"/>
                <w:szCs w:val="20"/>
                <w:lang w:val="cs-CZ" w:eastAsia="cs-CZ"/>
              </w:rPr>
              <w:t> </w:t>
            </w:r>
          </w:p>
        </w:tc>
        <w:tc>
          <w:tcPr>
            <w:tcW w:w="709" w:type="dxa"/>
            <w:tcBorders>
              <w:top w:val="nil"/>
              <w:left w:val="nil"/>
              <w:bottom w:val="single" w:sz="4" w:space="0" w:color="auto"/>
              <w:right w:val="single" w:sz="4" w:space="0" w:color="auto"/>
            </w:tcBorders>
            <w:shd w:val="clear" w:color="auto" w:fill="auto"/>
            <w:noWrap/>
            <w:vAlign w:val="bottom"/>
            <w:hideMark/>
          </w:tcPr>
          <w:p w14:paraId="66BF9EAD" w14:textId="77777777" w:rsidR="00A16DDB" w:rsidRPr="00D95127" w:rsidRDefault="00A16DDB" w:rsidP="007A627A">
            <w:pPr>
              <w:jc w:val="right"/>
              <w:rPr>
                <w:rFonts w:eastAsia="Times New Roman" w:cs="Times New Roman"/>
                <w:sz w:val="20"/>
                <w:szCs w:val="20"/>
                <w:lang w:val="cs-CZ" w:eastAsia="cs-CZ"/>
              </w:rPr>
            </w:pPr>
            <w:r w:rsidRPr="00D95127">
              <w:rPr>
                <w:rFonts w:eastAsia="Times New Roman" w:cs="Times New Roman"/>
                <w:sz w:val="20"/>
                <w:szCs w:val="20"/>
                <w:lang w:val="cs-CZ" w:eastAsia="cs-CZ"/>
              </w:rPr>
              <w:t>0,05</w:t>
            </w:r>
          </w:p>
        </w:tc>
        <w:tc>
          <w:tcPr>
            <w:tcW w:w="709" w:type="dxa"/>
            <w:tcBorders>
              <w:top w:val="nil"/>
              <w:left w:val="nil"/>
              <w:bottom w:val="single" w:sz="4" w:space="0" w:color="auto"/>
              <w:right w:val="single" w:sz="4" w:space="0" w:color="auto"/>
            </w:tcBorders>
            <w:shd w:val="clear" w:color="auto" w:fill="auto"/>
            <w:noWrap/>
            <w:vAlign w:val="bottom"/>
            <w:hideMark/>
          </w:tcPr>
          <w:p w14:paraId="60374A82"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0,05</w:t>
            </w:r>
          </w:p>
        </w:tc>
        <w:tc>
          <w:tcPr>
            <w:tcW w:w="709" w:type="dxa"/>
            <w:tcBorders>
              <w:top w:val="nil"/>
              <w:left w:val="single" w:sz="4" w:space="0" w:color="auto"/>
              <w:bottom w:val="single" w:sz="4" w:space="0" w:color="auto"/>
              <w:right w:val="double" w:sz="6" w:space="0" w:color="auto"/>
            </w:tcBorders>
            <w:vAlign w:val="bottom"/>
          </w:tcPr>
          <w:p w14:paraId="44323A23" w14:textId="77777777" w:rsidR="00A16DDB" w:rsidRPr="00D95127" w:rsidRDefault="00A16DDB" w:rsidP="007A627A">
            <w:pPr>
              <w:jc w:val="center"/>
              <w:rPr>
                <w:rFonts w:eastAsia="Times New Roman" w:cs="Times New Roman"/>
                <w:sz w:val="20"/>
                <w:szCs w:val="20"/>
                <w:highlight w:val="yellow"/>
                <w:lang w:val="cs-CZ" w:eastAsia="cs-CZ"/>
              </w:rPr>
            </w:pPr>
            <w:r w:rsidRPr="00D95127">
              <w:rPr>
                <w:rFonts w:eastAsia="Times New Roman" w:cs="Times New Roman"/>
                <w:sz w:val="20"/>
                <w:szCs w:val="20"/>
                <w:highlight w:val="yellow"/>
                <w:lang w:val="cs-CZ" w:eastAsia="cs-CZ"/>
              </w:rPr>
              <w:t>0,05</w:t>
            </w:r>
          </w:p>
        </w:tc>
      </w:tr>
      <w:tr w:rsidR="00A16DDB" w:rsidRPr="00D95127" w14:paraId="6B7D792F" w14:textId="77777777" w:rsidTr="007A627A">
        <w:trPr>
          <w:trHeight w:val="300"/>
        </w:trPr>
        <w:tc>
          <w:tcPr>
            <w:tcW w:w="3047" w:type="dxa"/>
            <w:tcBorders>
              <w:top w:val="nil"/>
              <w:left w:val="double" w:sz="6" w:space="0" w:color="auto"/>
              <w:bottom w:val="single" w:sz="4" w:space="0" w:color="auto"/>
              <w:right w:val="single" w:sz="4" w:space="0" w:color="auto"/>
            </w:tcBorders>
            <w:shd w:val="clear" w:color="auto" w:fill="auto"/>
            <w:noWrap/>
            <w:vAlign w:val="bottom"/>
            <w:hideMark/>
          </w:tcPr>
          <w:p w14:paraId="07DF4BBE" w14:textId="77777777" w:rsidR="00A16DDB" w:rsidRPr="00D95127" w:rsidRDefault="00A16DDB" w:rsidP="007A627A">
            <w:pPr>
              <w:rPr>
                <w:rFonts w:eastAsia="Times New Roman" w:cs="Times New Roman"/>
                <w:sz w:val="20"/>
                <w:szCs w:val="20"/>
                <w:lang w:val="cs-CZ" w:eastAsia="cs-CZ"/>
              </w:rPr>
            </w:pPr>
            <w:r w:rsidRPr="00D95127">
              <w:rPr>
                <w:rFonts w:eastAsia="Times New Roman" w:cs="Times New Roman"/>
                <w:sz w:val="20"/>
                <w:szCs w:val="20"/>
                <w:lang w:val="cs-CZ" w:eastAsia="cs-CZ"/>
              </w:rPr>
              <w:t>9. A. b. 2) Podpora pořádání výstav</w:t>
            </w:r>
          </w:p>
        </w:tc>
        <w:tc>
          <w:tcPr>
            <w:tcW w:w="709" w:type="dxa"/>
            <w:tcBorders>
              <w:top w:val="nil"/>
              <w:left w:val="nil"/>
              <w:bottom w:val="single" w:sz="4" w:space="0" w:color="auto"/>
              <w:right w:val="single" w:sz="4" w:space="0" w:color="auto"/>
            </w:tcBorders>
            <w:shd w:val="clear" w:color="auto" w:fill="auto"/>
            <w:noWrap/>
            <w:vAlign w:val="bottom"/>
            <w:hideMark/>
          </w:tcPr>
          <w:p w14:paraId="1C696F40" w14:textId="77777777" w:rsidR="00A16DDB" w:rsidRPr="00D95127" w:rsidRDefault="00A16DDB" w:rsidP="007A627A">
            <w:pPr>
              <w:rPr>
                <w:rFonts w:eastAsia="Times New Roman" w:cs="Times New Roman"/>
                <w:sz w:val="20"/>
                <w:szCs w:val="20"/>
                <w:lang w:val="cs-CZ" w:eastAsia="cs-CZ"/>
              </w:rPr>
            </w:pPr>
            <w:r w:rsidRPr="00D95127">
              <w:rPr>
                <w:rFonts w:eastAsia="Times New Roman" w:cs="Times New Roman"/>
                <w:sz w:val="20"/>
                <w:szCs w:val="20"/>
                <w:lang w:val="cs-CZ" w:eastAsia="cs-CZ"/>
              </w:rPr>
              <w:t> </w:t>
            </w:r>
          </w:p>
        </w:tc>
        <w:tc>
          <w:tcPr>
            <w:tcW w:w="708" w:type="dxa"/>
            <w:tcBorders>
              <w:top w:val="nil"/>
              <w:left w:val="nil"/>
              <w:bottom w:val="single" w:sz="4" w:space="0" w:color="auto"/>
              <w:right w:val="single" w:sz="4" w:space="0" w:color="auto"/>
            </w:tcBorders>
            <w:shd w:val="clear" w:color="auto" w:fill="auto"/>
            <w:noWrap/>
            <w:vAlign w:val="bottom"/>
            <w:hideMark/>
          </w:tcPr>
          <w:p w14:paraId="13DD98B5" w14:textId="77777777" w:rsidR="00A16DDB" w:rsidRPr="00D95127" w:rsidRDefault="00A16DDB" w:rsidP="007A627A">
            <w:pPr>
              <w:rPr>
                <w:rFonts w:eastAsia="Times New Roman" w:cs="Times New Roman"/>
                <w:sz w:val="20"/>
                <w:szCs w:val="20"/>
                <w:lang w:val="cs-CZ" w:eastAsia="cs-CZ"/>
              </w:rPr>
            </w:pPr>
            <w:r w:rsidRPr="00D95127">
              <w:rPr>
                <w:rFonts w:eastAsia="Times New Roman" w:cs="Times New Roman"/>
                <w:sz w:val="20"/>
                <w:szCs w:val="20"/>
                <w:lang w:val="cs-CZ" w:eastAsia="cs-CZ"/>
              </w:rPr>
              <w:t> </w:t>
            </w:r>
          </w:p>
        </w:tc>
        <w:tc>
          <w:tcPr>
            <w:tcW w:w="709" w:type="dxa"/>
            <w:tcBorders>
              <w:top w:val="nil"/>
              <w:left w:val="nil"/>
              <w:bottom w:val="single" w:sz="4" w:space="0" w:color="auto"/>
              <w:right w:val="single" w:sz="4" w:space="0" w:color="auto"/>
            </w:tcBorders>
            <w:shd w:val="clear" w:color="auto" w:fill="auto"/>
            <w:noWrap/>
            <w:vAlign w:val="bottom"/>
            <w:hideMark/>
          </w:tcPr>
          <w:p w14:paraId="373822E8" w14:textId="77777777" w:rsidR="00A16DDB" w:rsidRPr="00D95127" w:rsidRDefault="00A16DDB" w:rsidP="007A627A">
            <w:pPr>
              <w:rPr>
                <w:rFonts w:eastAsia="Times New Roman" w:cs="Times New Roman"/>
                <w:sz w:val="20"/>
                <w:szCs w:val="20"/>
                <w:lang w:val="cs-CZ" w:eastAsia="cs-CZ"/>
              </w:rPr>
            </w:pPr>
            <w:r w:rsidRPr="00D95127">
              <w:rPr>
                <w:rFonts w:eastAsia="Times New Roman" w:cs="Times New Roman"/>
                <w:sz w:val="20"/>
                <w:szCs w:val="20"/>
                <w:lang w:val="cs-CZ" w:eastAsia="cs-CZ"/>
              </w:rPr>
              <w:t> </w:t>
            </w:r>
          </w:p>
        </w:tc>
        <w:tc>
          <w:tcPr>
            <w:tcW w:w="709" w:type="dxa"/>
            <w:tcBorders>
              <w:top w:val="nil"/>
              <w:left w:val="nil"/>
              <w:bottom w:val="single" w:sz="4" w:space="0" w:color="auto"/>
              <w:right w:val="single" w:sz="4" w:space="0" w:color="auto"/>
            </w:tcBorders>
            <w:shd w:val="clear" w:color="auto" w:fill="auto"/>
            <w:noWrap/>
            <w:vAlign w:val="bottom"/>
            <w:hideMark/>
          </w:tcPr>
          <w:p w14:paraId="7F9FFF3C" w14:textId="77777777" w:rsidR="00A16DDB" w:rsidRPr="00D95127" w:rsidRDefault="00A16DDB" w:rsidP="007A627A">
            <w:pPr>
              <w:rPr>
                <w:rFonts w:eastAsia="Times New Roman" w:cs="Times New Roman"/>
                <w:sz w:val="20"/>
                <w:szCs w:val="20"/>
                <w:lang w:val="cs-CZ" w:eastAsia="cs-CZ"/>
              </w:rPr>
            </w:pPr>
            <w:r w:rsidRPr="00D95127">
              <w:rPr>
                <w:rFonts w:eastAsia="Times New Roman" w:cs="Times New Roman"/>
                <w:sz w:val="20"/>
                <w:szCs w:val="20"/>
                <w:lang w:val="cs-CZ" w:eastAsia="cs-CZ"/>
              </w:rPr>
              <w:t> </w:t>
            </w:r>
          </w:p>
        </w:tc>
        <w:tc>
          <w:tcPr>
            <w:tcW w:w="709" w:type="dxa"/>
            <w:tcBorders>
              <w:top w:val="nil"/>
              <w:left w:val="nil"/>
              <w:bottom w:val="single" w:sz="4" w:space="0" w:color="auto"/>
              <w:right w:val="single" w:sz="4" w:space="0" w:color="auto"/>
            </w:tcBorders>
            <w:shd w:val="clear" w:color="auto" w:fill="auto"/>
            <w:noWrap/>
            <w:vAlign w:val="bottom"/>
            <w:hideMark/>
          </w:tcPr>
          <w:p w14:paraId="380FA2A6" w14:textId="77777777" w:rsidR="00A16DDB" w:rsidRPr="00D95127" w:rsidRDefault="00A16DDB" w:rsidP="007A627A">
            <w:pPr>
              <w:rPr>
                <w:rFonts w:eastAsia="Times New Roman" w:cs="Times New Roman"/>
                <w:sz w:val="20"/>
                <w:szCs w:val="20"/>
                <w:lang w:val="cs-CZ" w:eastAsia="cs-CZ"/>
              </w:rPr>
            </w:pPr>
            <w:r w:rsidRPr="00D95127">
              <w:rPr>
                <w:rFonts w:eastAsia="Times New Roman" w:cs="Times New Roman"/>
                <w:sz w:val="20"/>
                <w:szCs w:val="20"/>
                <w:lang w:val="cs-CZ" w:eastAsia="cs-CZ"/>
              </w:rPr>
              <w:t> </w:t>
            </w:r>
          </w:p>
        </w:tc>
        <w:tc>
          <w:tcPr>
            <w:tcW w:w="708" w:type="dxa"/>
            <w:tcBorders>
              <w:top w:val="nil"/>
              <w:left w:val="nil"/>
              <w:bottom w:val="single" w:sz="4" w:space="0" w:color="auto"/>
              <w:right w:val="single" w:sz="4" w:space="0" w:color="auto"/>
            </w:tcBorders>
            <w:shd w:val="clear" w:color="auto" w:fill="auto"/>
            <w:noWrap/>
            <w:vAlign w:val="bottom"/>
            <w:hideMark/>
          </w:tcPr>
          <w:p w14:paraId="4ADF8BE7" w14:textId="77777777" w:rsidR="00A16DDB" w:rsidRPr="00D95127" w:rsidRDefault="00A16DDB" w:rsidP="007A627A">
            <w:pPr>
              <w:rPr>
                <w:rFonts w:eastAsia="Times New Roman" w:cs="Times New Roman"/>
                <w:sz w:val="20"/>
                <w:szCs w:val="20"/>
                <w:lang w:val="cs-CZ" w:eastAsia="cs-CZ"/>
              </w:rPr>
            </w:pPr>
            <w:r w:rsidRPr="00D95127">
              <w:rPr>
                <w:rFonts w:eastAsia="Times New Roman" w:cs="Times New Roman"/>
                <w:sz w:val="20"/>
                <w:szCs w:val="20"/>
                <w:lang w:val="cs-CZ" w:eastAsia="cs-CZ"/>
              </w:rPr>
              <w:t> </w:t>
            </w:r>
          </w:p>
        </w:tc>
        <w:tc>
          <w:tcPr>
            <w:tcW w:w="709" w:type="dxa"/>
            <w:tcBorders>
              <w:top w:val="nil"/>
              <w:left w:val="nil"/>
              <w:bottom w:val="single" w:sz="4" w:space="0" w:color="auto"/>
              <w:right w:val="single" w:sz="4" w:space="0" w:color="auto"/>
            </w:tcBorders>
            <w:shd w:val="clear" w:color="auto" w:fill="auto"/>
            <w:noWrap/>
            <w:vAlign w:val="bottom"/>
            <w:hideMark/>
          </w:tcPr>
          <w:p w14:paraId="7D06EF56" w14:textId="77777777" w:rsidR="00A16DDB" w:rsidRPr="00D95127" w:rsidRDefault="00A16DDB" w:rsidP="007A627A">
            <w:pPr>
              <w:jc w:val="right"/>
              <w:rPr>
                <w:rFonts w:eastAsia="Times New Roman" w:cs="Times New Roman"/>
                <w:sz w:val="20"/>
                <w:szCs w:val="20"/>
                <w:lang w:val="cs-CZ" w:eastAsia="cs-CZ"/>
              </w:rPr>
            </w:pPr>
            <w:r w:rsidRPr="00D95127">
              <w:rPr>
                <w:rFonts w:eastAsia="Times New Roman" w:cs="Times New Roman"/>
                <w:sz w:val="20"/>
                <w:szCs w:val="20"/>
                <w:lang w:val="cs-CZ" w:eastAsia="cs-CZ"/>
              </w:rPr>
              <w:t>1,16</w:t>
            </w:r>
          </w:p>
        </w:tc>
        <w:tc>
          <w:tcPr>
            <w:tcW w:w="709" w:type="dxa"/>
            <w:tcBorders>
              <w:top w:val="nil"/>
              <w:left w:val="nil"/>
              <w:bottom w:val="single" w:sz="4" w:space="0" w:color="auto"/>
              <w:right w:val="single" w:sz="4" w:space="0" w:color="auto"/>
            </w:tcBorders>
            <w:shd w:val="clear" w:color="auto" w:fill="auto"/>
            <w:noWrap/>
            <w:vAlign w:val="bottom"/>
            <w:hideMark/>
          </w:tcPr>
          <w:p w14:paraId="0E18AEF4"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0,88</w:t>
            </w:r>
          </w:p>
        </w:tc>
        <w:tc>
          <w:tcPr>
            <w:tcW w:w="709" w:type="dxa"/>
            <w:tcBorders>
              <w:top w:val="nil"/>
              <w:left w:val="single" w:sz="4" w:space="0" w:color="auto"/>
              <w:bottom w:val="single" w:sz="4" w:space="0" w:color="auto"/>
              <w:right w:val="double" w:sz="6" w:space="0" w:color="auto"/>
            </w:tcBorders>
            <w:vAlign w:val="bottom"/>
          </w:tcPr>
          <w:p w14:paraId="63FC9217" w14:textId="77777777" w:rsidR="00A16DDB" w:rsidRPr="00D95127" w:rsidRDefault="00A16DDB" w:rsidP="007A627A">
            <w:pPr>
              <w:jc w:val="center"/>
              <w:rPr>
                <w:rFonts w:eastAsia="Times New Roman" w:cs="Times New Roman"/>
                <w:sz w:val="20"/>
                <w:szCs w:val="20"/>
                <w:highlight w:val="yellow"/>
                <w:lang w:val="cs-CZ" w:eastAsia="cs-CZ"/>
              </w:rPr>
            </w:pPr>
            <w:r w:rsidRPr="00D95127">
              <w:rPr>
                <w:rFonts w:eastAsia="Times New Roman" w:cs="Times New Roman"/>
                <w:sz w:val="20"/>
                <w:szCs w:val="20"/>
                <w:highlight w:val="yellow"/>
                <w:lang w:val="cs-CZ" w:eastAsia="cs-CZ"/>
              </w:rPr>
              <w:t>0,79</w:t>
            </w:r>
          </w:p>
        </w:tc>
      </w:tr>
      <w:tr w:rsidR="00A16DDB" w:rsidRPr="00D95127" w14:paraId="676AC237" w14:textId="77777777" w:rsidTr="007A627A">
        <w:trPr>
          <w:trHeight w:val="300"/>
        </w:trPr>
        <w:tc>
          <w:tcPr>
            <w:tcW w:w="3047" w:type="dxa"/>
            <w:tcBorders>
              <w:top w:val="nil"/>
              <w:left w:val="double" w:sz="6" w:space="0" w:color="auto"/>
              <w:bottom w:val="single" w:sz="4" w:space="0" w:color="auto"/>
              <w:right w:val="single" w:sz="4" w:space="0" w:color="auto"/>
            </w:tcBorders>
            <w:shd w:val="clear" w:color="auto" w:fill="auto"/>
            <w:noWrap/>
            <w:vAlign w:val="bottom"/>
            <w:hideMark/>
          </w:tcPr>
          <w:p w14:paraId="479EF171" w14:textId="77777777" w:rsidR="00A16DDB" w:rsidRPr="00D95127" w:rsidRDefault="00A16DDB" w:rsidP="007A627A">
            <w:pPr>
              <w:rPr>
                <w:rFonts w:eastAsia="Times New Roman" w:cs="Times New Roman"/>
                <w:sz w:val="20"/>
                <w:szCs w:val="20"/>
                <w:lang w:val="cs-CZ" w:eastAsia="cs-CZ"/>
              </w:rPr>
            </w:pPr>
            <w:r w:rsidRPr="00D95127">
              <w:rPr>
                <w:rFonts w:eastAsia="Times New Roman" w:cs="Times New Roman"/>
                <w:sz w:val="20"/>
                <w:szCs w:val="20"/>
                <w:lang w:val="cs-CZ" w:eastAsia="cs-CZ"/>
              </w:rPr>
              <w:t xml:space="preserve"> Celkem Školení, semináře, výstavy</w:t>
            </w:r>
          </w:p>
        </w:tc>
        <w:tc>
          <w:tcPr>
            <w:tcW w:w="709" w:type="dxa"/>
            <w:tcBorders>
              <w:top w:val="nil"/>
              <w:left w:val="nil"/>
              <w:bottom w:val="single" w:sz="4" w:space="0" w:color="auto"/>
              <w:right w:val="single" w:sz="4" w:space="0" w:color="auto"/>
            </w:tcBorders>
            <w:shd w:val="clear" w:color="auto" w:fill="auto"/>
            <w:noWrap/>
            <w:vAlign w:val="bottom"/>
            <w:hideMark/>
          </w:tcPr>
          <w:p w14:paraId="37A14F26"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0,38</w:t>
            </w:r>
          </w:p>
        </w:tc>
        <w:tc>
          <w:tcPr>
            <w:tcW w:w="708" w:type="dxa"/>
            <w:tcBorders>
              <w:top w:val="nil"/>
              <w:left w:val="nil"/>
              <w:bottom w:val="single" w:sz="4" w:space="0" w:color="auto"/>
              <w:right w:val="single" w:sz="4" w:space="0" w:color="auto"/>
            </w:tcBorders>
            <w:shd w:val="clear" w:color="auto" w:fill="auto"/>
            <w:noWrap/>
            <w:vAlign w:val="bottom"/>
            <w:hideMark/>
          </w:tcPr>
          <w:p w14:paraId="42662924"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0,30</w:t>
            </w:r>
          </w:p>
        </w:tc>
        <w:tc>
          <w:tcPr>
            <w:tcW w:w="709" w:type="dxa"/>
            <w:tcBorders>
              <w:top w:val="nil"/>
              <w:left w:val="nil"/>
              <w:bottom w:val="single" w:sz="4" w:space="0" w:color="auto"/>
              <w:right w:val="single" w:sz="4" w:space="0" w:color="auto"/>
            </w:tcBorders>
            <w:shd w:val="clear" w:color="auto" w:fill="auto"/>
            <w:noWrap/>
            <w:vAlign w:val="bottom"/>
            <w:hideMark/>
          </w:tcPr>
          <w:p w14:paraId="644516BA"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0,90</w:t>
            </w:r>
          </w:p>
        </w:tc>
        <w:tc>
          <w:tcPr>
            <w:tcW w:w="709" w:type="dxa"/>
            <w:tcBorders>
              <w:top w:val="nil"/>
              <w:left w:val="nil"/>
              <w:bottom w:val="single" w:sz="4" w:space="0" w:color="auto"/>
              <w:right w:val="single" w:sz="4" w:space="0" w:color="auto"/>
            </w:tcBorders>
            <w:shd w:val="clear" w:color="auto" w:fill="auto"/>
            <w:noWrap/>
            <w:vAlign w:val="bottom"/>
            <w:hideMark/>
          </w:tcPr>
          <w:p w14:paraId="4985D6CE"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0,90</w:t>
            </w:r>
          </w:p>
        </w:tc>
        <w:tc>
          <w:tcPr>
            <w:tcW w:w="709" w:type="dxa"/>
            <w:tcBorders>
              <w:top w:val="nil"/>
              <w:left w:val="nil"/>
              <w:bottom w:val="single" w:sz="4" w:space="0" w:color="auto"/>
              <w:right w:val="single" w:sz="4" w:space="0" w:color="auto"/>
            </w:tcBorders>
            <w:shd w:val="clear" w:color="auto" w:fill="auto"/>
            <w:noWrap/>
            <w:vAlign w:val="bottom"/>
            <w:hideMark/>
          </w:tcPr>
          <w:p w14:paraId="2E8E72A1"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1,20</w:t>
            </w:r>
          </w:p>
        </w:tc>
        <w:tc>
          <w:tcPr>
            <w:tcW w:w="708" w:type="dxa"/>
            <w:tcBorders>
              <w:top w:val="nil"/>
              <w:left w:val="nil"/>
              <w:bottom w:val="single" w:sz="4" w:space="0" w:color="auto"/>
              <w:right w:val="single" w:sz="4" w:space="0" w:color="auto"/>
            </w:tcBorders>
            <w:shd w:val="clear" w:color="auto" w:fill="auto"/>
            <w:noWrap/>
            <w:vAlign w:val="bottom"/>
            <w:hideMark/>
          </w:tcPr>
          <w:p w14:paraId="29D06381"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1,10</w:t>
            </w:r>
          </w:p>
        </w:tc>
        <w:tc>
          <w:tcPr>
            <w:tcW w:w="709" w:type="dxa"/>
            <w:tcBorders>
              <w:top w:val="nil"/>
              <w:left w:val="nil"/>
              <w:bottom w:val="single" w:sz="4" w:space="0" w:color="auto"/>
              <w:right w:val="single" w:sz="4" w:space="0" w:color="auto"/>
            </w:tcBorders>
            <w:shd w:val="clear" w:color="auto" w:fill="auto"/>
            <w:noWrap/>
            <w:vAlign w:val="bottom"/>
            <w:hideMark/>
          </w:tcPr>
          <w:p w14:paraId="3A861D9C"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1,21</w:t>
            </w:r>
          </w:p>
        </w:tc>
        <w:tc>
          <w:tcPr>
            <w:tcW w:w="709" w:type="dxa"/>
            <w:tcBorders>
              <w:top w:val="nil"/>
              <w:left w:val="nil"/>
              <w:bottom w:val="single" w:sz="4" w:space="0" w:color="auto"/>
              <w:right w:val="single" w:sz="4" w:space="0" w:color="auto"/>
            </w:tcBorders>
            <w:shd w:val="clear" w:color="auto" w:fill="auto"/>
            <w:noWrap/>
            <w:vAlign w:val="bottom"/>
            <w:hideMark/>
          </w:tcPr>
          <w:p w14:paraId="462ACA08" w14:textId="77777777" w:rsidR="00A16DDB" w:rsidRPr="00D95127" w:rsidRDefault="00A16DDB" w:rsidP="007A627A">
            <w:pPr>
              <w:jc w:val="center"/>
              <w:rPr>
                <w:rFonts w:eastAsia="Times New Roman" w:cs="Times New Roman"/>
                <w:sz w:val="20"/>
                <w:szCs w:val="20"/>
                <w:lang w:val="cs-CZ" w:eastAsia="cs-CZ"/>
              </w:rPr>
            </w:pPr>
            <w:r w:rsidRPr="00D95127">
              <w:rPr>
                <w:rFonts w:eastAsia="Times New Roman" w:cs="Times New Roman"/>
                <w:sz w:val="20"/>
                <w:szCs w:val="20"/>
                <w:lang w:val="cs-CZ" w:eastAsia="cs-CZ"/>
              </w:rPr>
              <w:t>0,93</w:t>
            </w:r>
          </w:p>
        </w:tc>
        <w:tc>
          <w:tcPr>
            <w:tcW w:w="709" w:type="dxa"/>
            <w:tcBorders>
              <w:top w:val="nil"/>
              <w:left w:val="single" w:sz="4" w:space="0" w:color="auto"/>
              <w:bottom w:val="single" w:sz="4" w:space="0" w:color="auto"/>
              <w:right w:val="double" w:sz="6" w:space="0" w:color="auto"/>
            </w:tcBorders>
            <w:vAlign w:val="bottom"/>
          </w:tcPr>
          <w:p w14:paraId="72955F02" w14:textId="77777777" w:rsidR="00A16DDB" w:rsidRPr="00D95127" w:rsidRDefault="00A16DDB" w:rsidP="007A627A">
            <w:pPr>
              <w:jc w:val="center"/>
              <w:rPr>
                <w:rFonts w:eastAsia="Times New Roman" w:cs="Times New Roman"/>
                <w:sz w:val="20"/>
                <w:szCs w:val="20"/>
                <w:highlight w:val="yellow"/>
                <w:lang w:val="cs-CZ" w:eastAsia="cs-CZ"/>
              </w:rPr>
            </w:pPr>
            <w:r w:rsidRPr="00D95127">
              <w:rPr>
                <w:rFonts w:eastAsia="Times New Roman" w:cs="Times New Roman"/>
                <w:sz w:val="20"/>
                <w:szCs w:val="20"/>
                <w:highlight w:val="yellow"/>
                <w:lang w:val="cs-CZ" w:eastAsia="cs-CZ"/>
              </w:rPr>
              <w:t>0,84</w:t>
            </w:r>
          </w:p>
        </w:tc>
      </w:tr>
      <w:tr w:rsidR="00A16DDB" w:rsidRPr="00D95127" w14:paraId="3773C9B1" w14:textId="77777777" w:rsidTr="007A627A">
        <w:trPr>
          <w:trHeight w:val="315"/>
        </w:trPr>
        <w:tc>
          <w:tcPr>
            <w:tcW w:w="3047" w:type="dxa"/>
            <w:tcBorders>
              <w:top w:val="nil"/>
              <w:left w:val="double" w:sz="6" w:space="0" w:color="auto"/>
              <w:bottom w:val="double" w:sz="6" w:space="0" w:color="auto"/>
              <w:right w:val="single" w:sz="4" w:space="0" w:color="auto"/>
            </w:tcBorders>
            <w:shd w:val="clear" w:color="auto" w:fill="auto"/>
            <w:noWrap/>
            <w:vAlign w:val="bottom"/>
            <w:hideMark/>
          </w:tcPr>
          <w:p w14:paraId="05A9A6CE" w14:textId="77777777" w:rsidR="00A16DDB" w:rsidRPr="00D95127" w:rsidRDefault="00A16DDB" w:rsidP="007A627A">
            <w:pPr>
              <w:rPr>
                <w:rFonts w:eastAsia="Times New Roman" w:cs="Times New Roman"/>
                <w:b/>
                <w:sz w:val="20"/>
                <w:szCs w:val="20"/>
                <w:lang w:val="cs-CZ" w:eastAsia="cs-CZ"/>
              </w:rPr>
            </w:pPr>
            <w:r w:rsidRPr="00D95127">
              <w:rPr>
                <w:rFonts w:eastAsia="Times New Roman" w:cs="Times New Roman"/>
                <w:b/>
                <w:sz w:val="20"/>
                <w:szCs w:val="20"/>
                <w:lang w:val="cs-CZ" w:eastAsia="cs-CZ"/>
              </w:rPr>
              <w:t>CELKEM</w:t>
            </w:r>
          </w:p>
        </w:tc>
        <w:tc>
          <w:tcPr>
            <w:tcW w:w="709" w:type="dxa"/>
            <w:tcBorders>
              <w:top w:val="nil"/>
              <w:left w:val="nil"/>
              <w:bottom w:val="double" w:sz="6" w:space="0" w:color="auto"/>
              <w:right w:val="single" w:sz="4" w:space="0" w:color="auto"/>
            </w:tcBorders>
            <w:shd w:val="clear" w:color="auto" w:fill="auto"/>
            <w:noWrap/>
            <w:vAlign w:val="bottom"/>
            <w:hideMark/>
          </w:tcPr>
          <w:p w14:paraId="5870D2C0" w14:textId="77777777" w:rsidR="00A16DDB" w:rsidRPr="00D95127" w:rsidRDefault="00A16DDB" w:rsidP="007A627A">
            <w:pPr>
              <w:jc w:val="center"/>
              <w:rPr>
                <w:rFonts w:eastAsia="Times New Roman" w:cs="Times New Roman"/>
                <w:b/>
                <w:sz w:val="20"/>
                <w:szCs w:val="20"/>
                <w:lang w:val="cs-CZ" w:eastAsia="cs-CZ"/>
              </w:rPr>
            </w:pPr>
            <w:r w:rsidRPr="00D95127">
              <w:rPr>
                <w:rFonts w:eastAsia="Times New Roman" w:cs="Times New Roman"/>
                <w:b/>
                <w:sz w:val="20"/>
                <w:szCs w:val="20"/>
                <w:lang w:val="cs-CZ" w:eastAsia="cs-CZ"/>
              </w:rPr>
              <w:t>8,15</w:t>
            </w:r>
          </w:p>
        </w:tc>
        <w:tc>
          <w:tcPr>
            <w:tcW w:w="708" w:type="dxa"/>
            <w:tcBorders>
              <w:top w:val="nil"/>
              <w:left w:val="nil"/>
              <w:bottom w:val="double" w:sz="6" w:space="0" w:color="auto"/>
              <w:right w:val="single" w:sz="4" w:space="0" w:color="auto"/>
            </w:tcBorders>
            <w:shd w:val="clear" w:color="auto" w:fill="auto"/>
            <w:noWrap/>
            <w:vAlign w:val="bottom"/>
            <w:hideMark/>
          </w:tcPr>
          <w:p w14:paraId="7B51E624" w14:textId="77777777" w:rsidR="00A16DDB" w:rsidRPr="00D95127" w:rsidRDefault="00A16DDB" w:rsidP="007A627A">
            <w:pPr>
              <w:jc w:val="center"/>
              <w:rPr>
                <w:rFonts w:eastAsia="Times New Roman" w:cs="Times New Roman"/>
                <w:b/>
                <w:sz w:val="20"/>
                <w:szCs w:val="20"/>
                <w:lang w:val="cs-CZ" w:eastAsia="cs-CZ"/>
              </w:rPr>
            </w:pPr>
            <w:r w:rsidRPr="00D95127">
              <w:rPr>
                <w:rFonts w:eastAsia="Times New Roman" w:cs="Times New Roman"/>
                <w:b/>
                <w:sz w:val="20"/>
                <w:szCs w:val="20"/>
                <w:lang w:val="cs-CZ" w:eastAsia="cs-CZ"/>
              </w:rPr>
              <w:t>8,10</w:t>
            </w:r>
          </w:p>
        </w:tc>
        <w:tc>
          <w:tcPr>
            <w:tcW w:w="709" w:type="dxa"/>
            <w:tcBorders>
              <w:top w:val="nil"/>
              <w:left w:val="nil"/>
              <w:bottom w:val="double" w:sz="6" w:space="0" w:color="auto"/>
              <w:right w:val="single" w:sz="4" w:space="0" w:color="auto"/>
            </w:tcBorders>
            <w:shd w:val="clear" w:color="auto" w:fill="auto"/>
            <w:noWrap/>
            <w:vAlign w:val="bottom"/>
            <w:hideMark/>
          </w:tcPr>
          <w:p w14:paraId="0FF6DD7B" w14:textId="77777777" w:rsidR="00A16DDB" w:rsidRPr="00D95127" w:rsidRDefault="00A16DDB" w:rsidP="007A627A">
            <w:pPr>
              <w:jc w:val="center"/>
              <w:rPr>
                <w:rFonts w:eastAsia="Times New Roman" w:cs="Times New Roman"/>
                <w:b/>
                <w:sz w:val="20"/>
                <w:szCs w:val="20"/>
                <w:lang w:val="cs-CZ" w:eastAsia="cs-CZ"/>
              </w:rPr>
            </w:pPr>
            <w:r w:rsidRPr="00D95127">
              <w:rPr>
                <w:rFonts w:eastAsia="Times New Roman" w:cs="Times New Roman"/>
                <w:b/>
                <w:sz w:val="20"/>
                <w:szCs w:val="20"/>
                <w:lang w:val="cs-CZ" w:eastAsia="cs-CZ"/>
              </w:rPr>
              <w:t>10,70</w:t>
            </w:r>
          </w:p>
        </w:tc>
        <w:tc>
          <w:tcPr>
            <w:tcW w:w="709" w:type="dxa"/>
            <w:tcBorders>
              <w:top w:val="nil"/>
              <w:left w:val="nil"/>
              <w:bottom w:val="double" w:sz="6" w:space="0" w:color="auto"/>
              <w:right w:val="single" w:sz="4" w:space="0" w:color="auto"/>
            </w:tcBorders>
            <w:shd w:val="clear" w:color="auto" w:fill="auto"/>
            <w:noWrap/>
            <w:vAlign w:val="bottom"/>
            <w:hideMark/>
          </w:tcPr>
          <w:p w14:paraId="0C9B6877" w14:textId="77777777" w:rsidR="00A16DDB" w:rsidRPr="00D95127" w:rsidRDefault="00A16DDB" w:rsidP="007A627A">
            <w:pPr>
              <w:jc w:val="center"/>
              <w:rPr>
                <w:rFonts w:eastAsia="Times New Roman" w:cs="Times New Roman"/>
                <w:b/>
                <w:sz w:val="20"/>
                <w:szCs w:val="20"/>
                <w:lang w:val="cs-CZ" w:eastAsia="cs-CZ"/>
              </w:rPr>
            </w:pPr>
            <w:r w:rsidRPr="00D95127">
              <w:rPr>
                <w:rFonts w:eastAsia="Times New Roman" w:cs="Times New Roman"/>
                <w:b/>
                <w:sz w:val="20"/>
                <w:szCs w:val="20"/>
                <w:lang w:val="cs-CZ" w:eastAsia="cs-CZ"/>
              </w:rPr>
              <w:t>12,35</w:t>
            </w:r>
          </w:p>
        </w:tc>
        <w:tc>
          <w:tcPr>
            <w:tcW w:w="709" w:type="dxa"/>
            <w:tcBorders>
              <w:top w:val="nil"/>
              <w:left w:val="nil"/>
              <w:bottom w:val="double" w:sz="6" w:space="0" w:color="auto"/>
              <w:right w:val="single" w:sz="4" w:space="0" w:color="auto"/>
            </w:tcBorders>
            <w:shd w:val="clear" w:color="auto" w:fill="auto"/>
            <w:noWrap/>
            <w:vAlign w:val="bottom"/>
            <w:hideMark/>
          </w:tcPr>
          <w:p w14:paraId="41035A39" w14:textId="77777777" w:rsidR="00A16DDB" w:rsidRPr="00D95127" w:rsidRDefault="00A16DDB" w:rsidP="007A627A">
            <w:pPr>
              <w:jc w:val="center"/>
              <w:rPr>
                <w:rFonts w:eastAsia="Times New Roman" w:cs="Times New Roman"/>
                <w:b/>
                <w:sz w:val="20"/>
                <w:szCs w:val="20"/>
                <w:lang w:val="cs-CZ" w:eastAsia="cs-CZ"/>
              </w:rPr>
            </w:pPr>
            <w:r w:rsidRPr="00D95127">
              <w:rPr>
                <w:rFonts w:eastAsia="Times New Roman" w:cs="Times New Roman"/>
                <w:b/>
                <w:sz w:val="20"/>
                <w:szCs w:val="20"/>
                <w:lang w:val="cs-CZ" w:eastAsia="cs-CZ"/>
              </w:rPr>
              <w:t>15,00</w:t>
            </w:r>
          </w:p>
        </w:tc>
        <w:tc>
          <w:tcPr>
            <w:tcW w:w="708" w:type="dxa"/>
            <w:tcBorders>
              <w:top w:val="nil"/>
              <w:left w:val="nil"/>
              <w:bottom w:val="double" w:sz="6" w:space="0" w:color="auto"/>
              <w:right w:val="single" w:sz="4" w:space="0" w:color="auto"/>
            </w:tcBorders>
            <w:shd w:val="clear" w:color="auto" w:fill="auto"/>
            <w:noWrap/>
            <w:vAlign w:val="bottom"/>
            <w:hideMark/>
          </w:tcPr>
          <w:p w14:paraId="38A91101" w14:textId="77777777" w:rsidR="00A16DDB" w:rsidRPr="00D95127" w:rsidRDefault="00A16DDB" w:rsidP="007A627A">
            <w:pPr>
              <w:jc w:val="center"/>
              <w:rPr>
                <w:rFonts w:eastAsia="Times New Roman" w:cs="Times New Roman"/>
                <w:b/>
                <w:sz w:val="20"/>
                <w:szCs w:val="20"/>
                <w:lang w:val="cs-CZ" w:eastAsia="cs-CZ"/>
              </w:rPr>
            </w:pPr>
            <w:r w:rsidRPr="00D95127">
              <w:rPr>
                <w:rFonts w:eastAsia="Times New Roman" w:cs="Times New Roman"/>
                <w:b/>
                <w:sz w:val="20"/>
                <w:szCs w:val="20"/>
                <w:lang w:val="cs-CZ" w:eastAsia="cs-CZ"/>
              </w:rPr>
              <w:t>15,30</w:t>
            </w:r>
          </w:p>
        </w:tc>
        <w:tc>
          <w:tcPr>
            <w:tcW w:w="709" w:type="dxa"/>
            <w:tcBorders>
              <w:top w:val="nil"/>
              <w:left w:val="nil"/>
              <w:bottom w:val="double" w:sz="6" w:space="0" w:color="auto"/>
              <w:right w:val="single" w:sz="4" w:space="0" w:color="auto"/>
            </w:tcBorders>
            <w:shd w:val="clear" w:color="auto" w:fill="auto"/>
            <w:noWrap/>
            <w:vAlign w:val="bottom"/>
            <w:hideMark/>
          </w:tcPr>
          <w:p w14:paraId="48FE141A" w14:textId="77777777" w:rsidR="00A16DDB" w:rsidRPr="00D95127" w:rsidRDefault="00A16DDB" w:rsidP="007A627A">
            <w:pPr>
              <w:jc w:val="center"/>
              <w:rPr>
                <w:rFonts w:eastAsia="Times New Roman" w:cs="Times New Roman"/>
                <w:b/>
                <w:sz w:val="20"/>
                <w:szCs w:val="20"/>
                <w:lang w:val="cs-CZ" w:eastAsia="cs-CZ"/>
              </w:rPr>
            </w:pPr>
            <w:r w:rsidRPr="00D95127">
              <w:rPr>
                <w:rFonts w:eastAsia="Times New Roman" w:cs="Times New Roman"/>
                <w:b/>
                <w:sz w:val="20"/>
                <w:szCs w:val="20"/>
                <w:lang w:val="cs-CZ" w:eastAsia="cs-CZ"/>
              </w:rPr>
              <w:t>16,84</w:t>
            </w:r>
          </w:p>
        </w:tc>
        <w:tc>
          <w:tcPr>
            <w:tcW w:w="709" w:type="dxa"/>
            <w:tcBorders>
              <w:top w:val="nil"/>
              <w:left w:val="nil"/>
              <w:bottom w:val="double" w:sz="6" w:space="0" w:color="auto"/>
              <w:right w:val="single" w:sz="4" w:space="0" w:color="auto"/>
            </w:tcBorders>
            <w:shd w:val="clear" w:color="auto" w:fill="auto"/>
            <w:noWrap/>
            <w:vAlign w:val="bottom"/>
            <w:hideMark/>
          </w:tcPr>
          <w:p w14:paraId="565600E3" w14:textId="77777777" w:rsidR="00A16DDB" w:rsidRPr="00D95127" w:rsidRDefault="00A16DDB" w:rsidP="007A627A">
            <w:pPr>
              <w:jc w:val="center"/>
              <w:rPr>
                <w:rFonts w:eastAsia="Times New Roman" w:cs="Times New Roman"/>
                <w:b/>
                <w:sz w:val="20"/>
                <w:szCs w:val="20"/>
                <w:lang w:val="cs-CZ" w:eastAsia="cs-CZ"/>
              </w:rPr>
            </w:pPr>
            <w:r w:rsidRPr="00D95127">
              <w:rPr>
                <w:rFonts w:eastAsia="Times New Roman" w:cs="Times New Roman"/>
                <w:b/>
                <w:sz w:val="20"/>
                <w:szCs w:val="20"/>
                <w:lang w:val="cs-CZ" w:eastAsia="cs-CZ"/>
              </w:rPr>
              <w:t>17,98</w:t>
            </w:r>
          </w:p>
        </w:tc>
        <w:tc>
          <w:tcPr>
            <w:tcW w:w="709" w:type="dxa"/>
            <w:tcBorders>
              <w:top w:val="nil"/>
              <w:left w:val="single" w:sz="4" w:space="0" w:color="auto"/>
              <w:bottom w:val="double" w:sz="6" w:space="0" w:color="auto"/>
              <w:right w:val="double" w:sz="6" w:space="0" w:color="auto"/>
            </w:tcBorders>
            <w:vAlign w:val="bottom"/>
          </w:tcPr>
          <w:p w14:paraId="3C6CDD55" w14:textId="77777777" w:rsidR="00A16DDB" w:rsidRPr="00D95127" w:rsidRDefault="00A16DDB" w:rsidP="007A627A">
            <w:pPr>
              <w:jc w:val="center"/>
              <w:rPr>
                <w:rFonts w:eastAsia="Times New Roman" w:cs="Times New Roman"/>
                <w:b/>
                <w:sz w:val="20"/>
                <w:szCs w:val="20"/>
                <w:highlight w:val="yellow"/>
                <w:lang w:val="cs-CZ" w:eastAsia="cs-CZ"/>
              </w:rPr>
            </w:pPr>
            <w:r w:rsidRPr="00D95127">
              <w:rPr>
                <w:rFonts w:eastAsia="Times New Roman" w:cs="Times New Roman"/>
                <w:b/>
                <w:sz w:val="20"/>
                <w:szCs w:val="20"/>
                <w:highlight w:val="yellow"/>
                <w:lang w:val="cs-CZ" w:eastAsia="cs-CZ"/>
              </w:rPr>
              <w:t xml:space="preserve"> 21,29</w:t>
            </w:r>
          </w:p>
        </w:tc>
      </w:tr>
    </w:tbl>
    <w:p w14:paraId="700D4D89" w14:textId="5FA8DC38" w:rsidR="005415F3" w:rsidRPr="00D95127" w:rsidRDefault="00A16DDB" w:rsidP="005415F3">
      <w:pPr>
        <w:pStyle w:val="UZEIZdroj"/>
      </w:pPr>
      <w:r w:rsidRPr="00D95127">
        <w:t>Pramen: MZe, rok 2020 není k</w:t>
      </w:r>
      <w:r w:rsidR="005415F3" w:rsidRPr="00D95127">
        <w:t> </w:t>
      </w:r>
      <w:r w:rsidRPr="00D95127">
        <w:t>dispozici</w:t>
      </w:r>
      <w:bookmarkStart w:id="79" w:name="_Toc533108267"/>
    </w:p>
    <w:p w14:paraId="61CB1322" w14:textId="5E08704E" w:rsidR="00A16DDB" w:rsidRPr="00D95127" w:rsidRDefault="005415F3" w:rsidP="005415F3">
      <w:pPr>
        <w:spacing w:after="160" w:line="259" w:lineRule="auto"/>
        <w:jc w:val="left"/>
        <w:rPr>
          <w:rFonts w:eastAsia="Calibri" w:cs="Times New Roman"/>
          <w:i/>
          <w:iCs/>
          <w:sz w:val="20"/>
          <w:szCs w:val="24"/>
          <w:lang w:val="cs-CZ"/>
        </w:rPr>
      </w:pPr>
      <w:r w:rsidRPr="00D95127">
        <w:rPr>
          <w:rFonts w:cs="Times New Roman"/>
        </w:rPr>
        <w:br w:type="page"/>
      </w:r>
    </w:p>
    <w:p w14:paraId="4964707D" w14:textId="77777777" w:rsidR="00A16DDB" w:rsidRPr="00D95127" w:rsidRDefault="00A16DDB" w:rsidP="005415F3">
      <w:pPr>
        <w:pStyle w:val="Nadpis1"/>
      </w:pPr>
      <w:bookmarkStart w:id="80" w:name="_Toc15304033"/>
      <w:bookmarkStart w:id="81" w:name="_Toc23509827"/>
      <w:bookmarkStart w:id="82" w:name="_Toc76137346"/>
      <w:bookmarkStart w:id="83" w:name="_Toc76637545"/>
      <w:bookmarkStart w:id="84" w:name="_Toc80953224"/>
      <w:bookmarkStart w:id="85" w:name="_Toc81739180"/>
      <w:bookmarkEnd w:id="79"/>
      <w:r w:rsidRPr="00D95127">
        <w:lastRenderedPageBreak/>
        <w:t>Existence/neexistence možnosti efektivního řešení v rámci nástrojů SZP, které lze uvažovat v nových návrzích SZP</w:t>
      </w:r>
      <w:bookmarkEnd w:id="80"/>
      <w:bookmarkEnd w:id="81"/>
      <w:bookmarkEnd w:id="82"/>
      <w:bookmarkEnd w:id="83"/>
      <w:bookmarkEnd w:id="84"/>
      <w:bookmarkEnd w:id="85"/>
    </w:p>
    <w:p w14:paraId="2D3C3EA8" w14:textId="77777777" w:rsidR="00A16DDB" w:rsidRPr="00D95127" w:rsidRDefault="00A16DDB" w:rsidP="005415F3">
      <w:pPr>
        <w:pStyle w:val="UZEINormaln"/>
        <w:rPr>
          <w:rFonts w:cs="Times New Roman"/>
        </w:rPr>
      </w:pPr>
      <w:r w:rsidRPr="00D95127">
        <w:rPr>
          <w:rFonts w:cs="Times New Roman"/>
        </w:rPr>
        <w:t>Níže uvedené potřeby lze řešit financováním, a to jak v rámci SZP (podpora citlivých komodit, investice do zemědělských podniků, podpora mladých zemědělců, SOT), tak i v rámci Národních podpor (podpora budování kapkových závlah, obnovy sadů a další).</w:t>
      </w:r>
    </w:p>
    <w:p w14:paraId="7B3C854D" w14:textId="5FF4647F" w:rsidR="00A16DDB" w:rsidRPr="00D95127" w:rsidRDefault="00A16DDB" w:rsidP="005415F3">
      <w:pPr>
        <w:pStyle w:val="UZEITaB"/>
        <w:rPr>
          <w:rFonts w:cs="Times New Roman"/>
        </w:rPr>
      </w:pPr>
      <w:bookmarkStart w:id="86" w:name="_Toc81738439"/>
      <w:r w:rsidRPr="00D95127">
        <w:rPr>
          <w:rFonts w:cs="Times New Roman"/>
        </w:rPr>
        <w:t>Ekonomika pěstování ovoce s velmi vysokou pracností v 2018 až 2020 s výhledem do 2030</w:t>
      </w:r>
      <w:bookmarkEnd w:id="86"/>
    </w:p>
    <w:p w14:paraId="5BD2C5BE" w14:textId="77777777" w:rsidR="00A16DDB" w:rsidRPr="00D95127" w:rsidRDefault="00A16DDB" w:rsidP="00A16DDB">
      <w:pPr>
        <w:rPr>
          <w:rFonts w:cs="Times New Roman"/>
          <w:lang w:val="cs-CZ" w:eastAsia="cs-CZ"/>
        </w:rPr>
      </w:pPr>
      <w:r w:rsidRPr="00D95127">
        <w:rPr>
          <w:rFonts w:cs="Times New Roman"/>
          <w:noProof/>
          <w:lang w:val="cs-CZ"/>
        </w:rPr>
        <w:drawing>
          <wp:inline distT="0" distB="0" distL="0" distR="0" wp14:anchorId="2DDEC3ED" wp14:editId="560F208E">
            <wp:extent cx="5760720" cy="969010"/>
            <wp:effectExtent l="0" t="0" r="0" b="2540"/>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720" cy="969010"/>
                    </a:xfrm>
                    <a:prstGeom prst="rect">
                      <a:avLst/>
                    </a:prstGeom>
                    <a:noFill/>
                    <a:ln>
                      <a:noFill/>
                    </a:ln>
                  </pic:spPr>
                </pic:pic>
              </a:graphicData>
            </a:graphic>
          </wp:inline>
        </w:drawing>
      </w:r>
    </w:p>
    <w:p w14:paraId="3FF90415" w14:textId="77777777" w:rsidR="00A16DDB" w:rsidRPr="00D95127" w:rsidRDefault="00A16DDB" w:rsidP="00A16DDB">
      <w:pPr>
        <w:keepNext/>
        <w:rPr>
          <w:rFonts w:cs="Times New Roman"/>
          <w:i/>
          <w:sz w:val="20"/>
          <w:szCs w:val="20"/>
          <w:lang w:val="cs-CZ"/>
        </w:rPr>
      </w:pPr>
      <w:bookmarkStart w:id="87" w:name="_Hlk77338434"/>
      <w:r w:rsidRPr="00D95127">
        <w:rPr>
          <w:rFonts w:cs="Times New Roman"/>
          <w:i/>
          <w:sz w:val="20"/>
          <w:szCs w:val="20"/>
          <w:lang w:val="cs-CZ"/>
        </w:rPr>
        <w:t>Pramen: Výběrové šetření nákladů a výnosů vybraných zemědělských komodit ÚZEI, vlastní výpočty</w:t>
      </w:r>
    </w:p>
    <w:p w14:paraId="4F1E6F59" w14:textId="77777777" w:rsidR="00A16DDB" w:rsidRPr="00D95127" w:rsidRDefault="00A16DDB" w:rsidP="00A16DDB">
      <w:pPr>
        <w:rPr>
          <w:rFonts w:cs="Times New Roman"/>
          <w:i/>
          <w:sz w:val="20"/>
          <w:szCs w:val="20"/>
          <w:lang w:val="cs-CZ"/>
        </w:rPr>
      </w:pPr>
      <w:r w:rsidRPr="00D95127">
        <w:rPr>
          <w:rFonts w:cs="Times New Roman"/>
          <w:i/>
          <w:sz w:val="20"/>
          <w:szCs w:val="20"/>
          <w:lang w:val="cs-CZ"/>
        </w:rPr>
        <w:t>Pozn.: Způsob provedení projekce je uveden v příloze I.</w:t>
      </w:r>
      <w:bookmarkEnd w:id="87"/>
    </w:p>
    <w:p w14:paraId="5DA27B61" w14:textId="71C9288A" w:rsidR="00A16DDB" w:rsidRPr="00D95127" w:rsidRDefault="005415F3" w:rsidP="005415F3">
      <w:pPr>
        <w:pStyle w:val="UZEITaB"/>
        <w:rPr>
          <w:rFonts w:cs="Times New Roman"/>
        </w:rPr>
      </w:pPr>
      <w:r w:rsidRPr="00D95127">
        <w:rPr>
          <w:rFonts w:cs="Times New Roman"/>
        </w:rPr>
        <w:t xml:space="preserve"> </w:t>
      </w:r>
      <w:bookmarkStart w:id="88" w:name="_Toc81738440"/>
      <w:r w:rsidR="00A16DDB" w:rsidRPr="00D95127">
        <w:rPr>
          <w:rFonts w:cs="Times New Roman"/>
        </w:rPr>
        <w:t>Ekonomika pěstování ovoce s vysokou pracností v 2018 až 2020 s výhledem do 2030</w:t>
      </w:r>
      <w:bookmarkEnd w:id="88"/>
    </w:p>
    <w:p w14:paraId="3D640E1B" w14:textId="77777777" w:rsidR="00A16DDB" w:rsidRPr="00D95127" w:rsidRDefault="00A16DDB" w:rsidP="00A16DDB">
      <w:pPr>
        <w:rPr>
          <w:rFonts w:cs="Times New Roman"/>
          <w:lang w:val="cs-CZ"/>
        </w:rPr>
      </w:pPr>
      <w:r w:rsidRPr="00D95127">
        <w:rPr>
          <w:rFonts w:cs="Times New Roman"/>
          <w:noProof/>
          <w:lang w:val="cs-CZ"/>
        </w:rPr>
        <w:drawing>
          <wp:inline distT="0" distB="0" distL="0" distR="0" wp14:anchorId="1D60D00A" wp14:editId="2619CB0E">
            <wp:extent cx="5760720" cy="969010"/>
            <wp:effectExtent l="0" t="0" r="0" b="2540"/>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720" cy="969010"/>
                    </a:xfrm>
                    <a:prstGeom prst="rect">
                      <a:avLst/>
                    </a:prstGeom>
                    <a:noFill/>
                    <a:ln>
                      <a:noFill/>
                    </a:ln>
                  </pic:spPr>
                </pic:pic>
              </a:graphicData>
            </a:graphic>
          </wp:inline>
        </w:drawing>
      </w:r>
    </w:p>
    <w:p w14:paraId="427E01CB" w14:textId="77777777" w:rsidR="00A16DDB" w:rsidRPr="00D95127" w:rsidRDefault="00A16DDB" w:rsidP="00A16DDB">
      <w:pPr>
        <w:keepNext/>
        <w:rPr>
          <w:rFonts w:cs="Times New Roman"/>
          <w:i/>
          <w:sz w:val="20"/>
          <w:szCs w:val="20"/>
          <w:lang w:val="cs-CZ"/>
        </w:rPr>
      </w:pPr>
      <w:r w:rsidRPr="00D95127">
        <w:rPr>
          <w:rFonts w:cs="Times New Roman"/>
          <w:i/>
          <w:sz w:val="20"/>
          <w:szCs w:val="20"/>
          <w:lang w:val="cs-CZ"/>
        </w:rPr>
        <w:t>Pramen: Výběrové šetření nákladů a výnosů vybraných zemědělských komodit ÚZEI, vlastní výpočty</w:t>
      </w:r>
    </w:p>
    <w:p w14:paraId="5EF09B3E" w14:textId="27FAC24D" w:rsidR="00A16DDB" w:rsidRPr="00D95127" w:rsidRDefault="00A16DDB" w:rsidP="005415F3">
      <w:pPr>
        <w:rPr>
          <w:rFonts w:cs="Times New Roman"/>
          <w:i/>
          <w:sz w:val="20"/>
          <w:szCs w:val="20"/>
          <w:lang w:val="cs-CZ"/>
        </w:rPr>
      </w:pPr>
      <w:r w:rsidRPr="00D95127">
        <w:rPr>
          <w:rFonts w:cs="Times New Roman"/>
          <w:i/>
          <w:sz w:val="20"/>
          <w:szCs w:val="20"/>
          <w:lang w:val="cs-CZ"/>
        </w:rPr>
        <w:t>Pozn.: Způsob provedení projekce je uveden v příloze I.</w:t>
      </w:r>
    </w:p>
    <w:p w14:paraId="4F80868B" w14:textId="77777777" w:rsidR="00A16DDB" w:rsidRPr="00D95127" w:rsidRDefault="00A16DDB" w:rsidP="005415F3">
      <w:pPr>
        <w:pStyle w:val="UZEINormaln"/>
        <w:rPr>
          <w:rFonts w:cs="Times New Roman"/>
        </w:rPr>
      </w:pPr>
      <w:r w:rsidRPr="00D95127">
        <w:rPr>
          <w:rFonts w:cs="Times New Roman"/>
        </w:rPr>
        <w:t>Z výše uvedených tabulek je zřejmé, že v České republice se sektor ovoce bez dotací nachází ve značné ztrátě. Dotační podpora je tedy z pohledu zachování a případného zvětšování pěstebních ploch nezbytnou nutností. Pokud by dotace do tohoto sektoru byly výrazněji omezeny, bude pěstování ovoce v České republice značně nedostatečné.</w:t>
      </w:r>
    </w:p>
    <w:p w14:paraId="10B6675A" w14:textId="4AE72BA3" w:rsidR="00A16DDB" w:rsidRPr="00D95127" w:rsidRDefault="005415F3" w:rsidP="005415F3">
      <w:pPr>
        <w:pStyle w:val="UZEITaB"/>
        <w:rPr>
          <w:rFonts w:cs="Times New Roman"/>
        </w:rPr>
      </w:pPr>
      <w:r w:rsidRPr="00D95127">
        <w:rPr>
          <w:rFonts w:cs="Times New Roman"/>
        </w:rPr>
        <w:t xml:space="preserve"> </w:t>
      </w:r>
      <w:bookmarkStart w:id="89" w:name="_Toc81738441"/>
      <w:r w:rsidR="00A16DDB" w:rsidRPr="00D95127">
        <w:rPr>
          <w:rFonts w:cs="Times New Roman"/>
        </w:rPr>
        <w:t>Ekonomika pěstování zeleniny s velmi vysokou pracností v 2018 až 2020 s výhledem do 2030</w:t>
      </w:r>
      <w:bookmarkEnd w:id="89"/>
    </w:p>
    <w:p w14:paraId="40A7ADE7" w14:textId="77777777" w:rsidR="00A16DDB" w:rsidRPr="00D95127" w:rsidRDefault="00A16DDB" w:rsidP="00A16DDB">
      <w:pPr>
        <w:rPr>
          <w:rFonts w:cs="Times New Roman"/>
          <w:lang w:val="cs-CZ"/>
        </w:rPr>
      </w:pPr>
      <w:r w:rsidRPr="00D95127">
        <w:rPr>
          <w:rFonts w:cs="Times New Roman"/>
          <w:noProof/>
          <w:lang w:val="cs-CZ"/>
        </w:rPr>
        <w:drawing>
          <wp:inline distT="0" distB="0" distL="0" distR="0" wp14:anchorId="468F8D23" wp14:editId="0C264246">
            <wp:extent cx="5760720" cy="1059180"/>
            <wp:effectExtent l="0" t="0" r="0" b="762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720" cy="1059180"/>
                    </a:xfrm>
                    <a:prstGeom prst="rect">
                      <a:avLst/>
                    </a:prstGeom>
                    <a:noFill/>
                    <a:ln>
                      <a:noFill/>
                    </a:ln>
                  </pic:spPr>
                </pic:pic>
              </a:graphicData>
            </a:graphic>
          </wp:inline>
        </w:drawing>
      </w:r>
    </w:p>
    <w:p w14:paraId="7BC75852" w14:textId="77777777" w:rsidR="00A16DDB" w:rsidRPr="00D95127" w:rsidRDefault="00A16DDB" w:rsidP="00A16DDB">
      <w:pPr>
        <w:keepNext/>
        <w:rPr>
          <w:rFonts w:cs="Times New Roman"/>
          <w:i/>
          <w:sz w:val="20"/>
          <w:szCs w:val="20"/>
          <w:lang w:val="cs-CZ"/>
        </w:rPr>
      </w:pPr>
      <w:r w:rsidRPr="00D95127">
        <w:rPr>
          <w:rFonts w:cs="Times New Roman"/>
          <w:i/>
          <w:sz w:val="20"/>
          <w:szCs w:val="20"/>
          <w:lang w:val="cs-CZ"/>
        </w:rPr>
        <w:t>Pramen: Výběrové šetření nákladů a výnosů vybraných zemědělských komodit ÚZEI, vlastní výpočty</w:t>
      </w:r>
    </w:p>
    <w:p w14:paraId="3877F63A" w14:textId="70131DB6" w:rsidR="00A16DDB" w:rsidRPr="00D95127" w:rsidRDefault="00A16DDB" w:rsidP="00A16DDB">
      <w:pPr>
        <w:rPr>
          <w:rFonts w:cs="Times New Roman"/>
          <w:i/>
          <w:sz w:val="20"/>
          <w:szCs w:val="20"/>
          <w:lang w:val="cs-CZ"/>
        </w:rPr>
      </w:pPr>
      <w:r w:rsidRPr="00D95127">
        <w:rPr>
          <w:rFonts w:cs="Times New Roman"/>
          <w:i/>
          <w:sz w:val="20"/>
          <w:szCs w:val="20"/>
          <w:lang w:val="cs-CZ"/>
        </w:rPr>
        <w:t>Pozn.: Způsob provedení projekce je uveden v příloze I.</w:t>
      </w:r>
    </w:p>
    <w:p w14:paraId="6D2DE3BD" w14:textId="4E2DBECC" w:rsidR="00A16DDB" w:rsidRPr="00D95127" w:rsidRDefault="005415F3" w:rsidP="005415F3">
      <w:pPr>
        <w:pStyle w:val="UZEITaB"/>
        <w:rPr>
          <w:rFonts w:cs="Times New Roman"/>
        </w:rPr>
      </w:pPr>
      <w:r w:rsidRPr="00D95127">
        <w:rPr>
          <w:rFonts w:cs="Times New Roman"/>
        </w:rPr>
        <w:t xml:space="preserve"> </w:t>
      </w:r>
      <w:bookmarkStart w:id="90" w:name="_Toc81738442"/>
      <w:r w:rsidR="00A16DDB" w:rsidRPr="00D95127">
        <w:rPr>
          <w:rFonts w:cs="Times New Roman"/>
        </w:rPr>
        <w:t>Ekonomika pěstování zeleniny s vysokou pracností v 2018 až 2020 s výhledem do 2030</w:t>
      </w:r>
      <w:bookmarkEnd w:id="90"/>
    </w:p>
    <w:p w14:paraId="1486AD3E" w14:textId="77777777" w:rsidR="00A16DDB" w:rsidRPr="00D95127" w:rsidRDefault="00A16DDB" w:rsidP="00A16DDB">
      <w:pPr>
        <w:rPr>
          <w:rFonts w:cs="Times New Roman"/>
          <w:lang w:val="cs-CZ"/>
        </w:rPr>
      </w:pPr>
      <w:r w:rsidRPr="00D95127">
        <w:rPr>
          <w:rFonts w:cs="Times New Roman"/>
          <w:noProof/>
          <w:lang w:val="cs-CZ"/>
        </w:rPr>
        <w:drawing>
          <wp:inline distT="0" distB="0" distL="0" distR="0" wp14:anchorId="32C920A4" wp14:editId="68F609AB">
            <wp:extent cx="5760720" cy="1062990"/>
            <wp:effectExtent l="0" t="0" r="0" b="3810"/>
            <wp:docPr id="65" name="Obráze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720" cy="1062990"/>
                    </a:xfrm>
                    <a:prstGeom prst="rect">
                      <a:avLst/>
                    </a:prstGeom>
                    <a:noFill/>
                    <a:ln>
                      <a:noFill/>
                    </a:ln>
                  </pic:spPr>
                </pic:pic>
              </a:graphicData>
            </a:graphic>
          </wp:inline>
        </w:drawing>
      </w:r>
    </w:p>
    <w:p w14:paraId="0DB0E670" w14:textId="77777777" w:rsidR="00A16DDB" w:rsidRPr="00D95127" w:rsidRDefault="00A16DDB" w:rsidP="00A16DDB">
      <w:pPr>
        <w:keepNext/>
        <w:rPr>
          <w:rFonts w:cs="Times New Roman"/>
          <w:i/>
          <w:sz w:val="20"/>
          <w:szCs w:val="20"/>
          <w:lang w:val="cs-CZ"/>
        </w:rPr>
      </w:pPr>
      <w:r w:rsidRPr="00D95127">
        <w:rPr>
          <w:rFonts w:cs="Times New Roman"/>
          <w:i/>
          <w:sz w:val="20"/>
          <w:szCs w:val="20"/>
          <w:lang w:val="cs-CZ"/>
        </w:rPr>
        <w:t>Pramen: Výběrové šetření nákladů a výnosů vybraných zemědělských komodit ÚZEI, vlastní výpočty</w:t>
      </w:r>
    </w:p>
    <w:p w14:paraId="56851208" w14:textId="77777777" w:rsidR="00A16DDB" w:rsidRPr="00D95127" w:rsidRDefault="00A16DDB" w:rsidP="00A16DDB">
      <w:pPr>
        <w:rPr>
          <w:rFonts w:cs="Times New Roman"/>
          <w:i/>
          <w:sz w:val="20"/>
          <w:szCs w:val="20"/>
          <w:lang w:val="cs-CZ"/>
        </w:rPr>
      </w:pPr>
      <w:r w:rsidRPr="00D95127">
        <w:rPr>
          <w:rFonts w:cs="Times New Roman"/>
          <w:i/>
          <w:sz w:val="20"/>
          <w:szCs w:val="20"/>
          <w:lang w:val="cs-CZ"/>
        </w:rPr>
        <w:t>Pozn.: Způsob provedení projekce je uveden v příloze I.</w:t>
      </w:r>
    </w:p>
    <w:p w14:paraId="4A11915A" w14:textId="77777777" w:rsidR="00A16DDB" w:rsidRPr="00D95127" w:rsidRDefault="00A16DDB" w:rsidP="00A16DDB">
      <w:pPr>
        <w:pStyle w:val="Odstavecseseznamem"/>
        <w:ind w:left="0" w:firstLine="709"/>
      </w:pPr>
    </w:p>
    <w:p w14:paraId="29A223B6" w14:textId="06121B4E" w:rsidR="00A16DDB" w:rsidRPr="00D95127" w:rsidRDefault="00A16DDB" w:rsidP="005415F3">
      <w:pPr>
        <w:pStyle w:val="UZEINormaln"/>
        <w:rPr>
          <w:rFonts w:cs="Times New Roman"/>
        </w:rPr>
      </w:pPr>
      <w:r w:rsidRPr="00D95127">
        <w:rPr>
          <w:rFonts w:cs="Times New Roman"/>
        </w:rPr>
        <w:t xml:space="preserve">V sektoru zeleniny je rentabilita bez dotací rovněž záporná, nicméně s dotacemi se pěstitelé již dostávají do kladných hodnot. V tomto případě je tedy vhodné minimálně zachovat současný </w:t>
      </w:r>
      <w:r w:rsidRPr="00D95127">
        <w:rPr>
          <w:rFonts w:cs="Times New Roman"/>
        </w:rPr>
        <w:lastRenderedPageBreak/>
        <w:t>dotační systém pro zachování stávající míry pěstebních ploch. Žádoucí by však bylo, vzhledem k potřebě navýšení pěstebních ploch, tento sektor více podpořit.</w:t>
      </w:r>
    </w:p>
    <w:p w14:paraId="4C40D6BB" w14:textId="77777777" w:rsidR="00A16DDB" w:rsidRPr="00D95127" w:rsidRDefault="00A16DDB" w:rsidP="005415F3">
      <w:pPr>
        <w:pStyle w:val="UZEINormaln"/>
        <w:rPr>
          <w:rFonts w:cs="Times New Roman"/>
        </w:rPr>
      </w:pPr>
      <w:r w:rsidRPr="00D95127">
        <w:rPr>
          <w:rFonts w:cs="Times New Roman"/>
        </w:rPr>
        <w:t>Návrh řešení problémů a jejich příčin v celé škále provozních a strukturálních podpor je uveden v rámci teorie změny v tabulce níže.</w:t>
      </w:r>
    </w:p>
    <w:p w14:paraId="6E7AA710" w14:textId="77777777" w:rsidR="00A16DDB" w:rsidRPr="00D95127" w:rsidRDefault="00A16DDB" w:rsidP="00A16DDB">
      <w:pPr>
        <w:rPr>
          <w:rFonts w:cs="Times New Roman"/>
          <w:szCs w:val="24"/>
          <w:lang w:val="cs-CZ"/>
        </w:rPr>
      </w:pPr>
      <w:r w:rsidRPr="00D95127">
        <w:rPr>
          <w:rFonts w:cs="Times New Roman"/>
          <w:szCs w:val="24"/>
          <w:lang w:val="cs-CZ"/>
        </w:rPr>
        <w:br w:type="page"/>
      </w:r>
    </w:p>
    <w:p w14:paraId="7267F690" w14:textId="77777777" w:rsidR="00A16DDB" w:rsidRPr="00D95127" w:rsidRDefault="00A16DDB" w:rsidP="00A16DDB">
      <w:pPr>
        <w:rPr>
          <w:rFonts w:cs="Times New Roman"/>
          <w:szCs w:val="24"/>
          <w:lang w:val="cs-CZ"/>
        </w:rPr>
        <w:sectPr w:rsidR="00A16DDB" w:rsidRPr="00D95127" w:rsidSect="00C82CBD">
          <w:footerReference w:type="default" r:id="rId24"/>
          <w:pgSz w:w="11906" w:h="16838"/>
          <w:pgMar w:top="1417" w:right="1417" w:bottom="1417" w:left="1417" w:header="708" w:footer="708" w:gutter="0"/>
          <w:cols w:space="708"/>
          <w:docGrid w:linePitch="360"/>
        </w:sectPr>
      </w:pPr>
    </w:p>
    <w:p w14:paraId="196AE5EE" w14:textId="4250F132" w:rsidR="00A16DDB" w:rsidRPr="00D95127" w:rsidRDefault="005415F3" w:rsidP="005415F3">
      <w:pPr>
        <w:pStyle w:val="UZEITaB"/>
        <w:rPr>
          <w:rFonts w:cs="Times New Roman"/>
        </w:rPr>
      </w:pPr>
      <w:r w:rsidRPr="00D95127">
        <w:rPr>
          <w:rFonts w:cs="Times New Roman"/>
        </w:rPr>
        <w:lastRenderedPageBreak/>
        <w:t xml:space="preserve"> </w:t>
      </w:r>
      <w:bookmarkStart w:id="91" w:name="_Toc81738443"/>
      <w:r w:rsidR="00A16DDB" w:rsidRPr="00D95127">
        <w:rPr>
          <w:rFonts w:cs="Times New Roman"/>
        </w:rPr>
        <w:t>Teorie změny – ovoce a zelenina</w:t>
      </w:r>
      <w:bookmarkEnd w:id="91"/>
    </w:p>
    <w:p w14:paraId="3503996D" w14:textId="77777777" w:rsidR="00A16DDB" w:rsidRPr="00D95127" w:rsidRDefault="00A16DDB" w:rsidP="00A16DDB">
      <w:pPr>
        <w:rPr>
          <w:rFonts w:eastAsia="Times New Roman" w:cs="Times New Roman"/>
          <w:i/>
          <w:iCs/>
          <w:color w:val="44546A"/>
          <w:szCs w:val="24"/>
          <w:lang w:val="cs-CZ" w:eastAsia="cs-CZ"/>
        </w:rPr>
      </w:pPr>
      <w:r w:rsidRPr="00D95127">
        <w:rPr>
          <w:rFonts w:cs="Times New Roman"/>
          <w:noProof/>
          <w:lang w:val="cs-CZ"/>
        </w:rPr>
        <w:drawing>
          <wp:inline distT="0" distB="0" distL="0" distR="0" wp14:anchorId="41DDDA02" wp14:editId="5BC1F7A2">
            <wp:extent cx="9477164" cy="3764604"/>
            <wp:effectExtent l="0" t="0" r="0"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496746" cy="3772383"/>
                    </a:xfrm>
                    <a:prstGeom prst="rect">
                      <a:avLst/>
                    </a:prstGeom>
                    <a:noFill/>
                    <a:ln>
                      <a:noFill/>
                    </a:ln>
                  </pic:spPr>
                </pic:pic>
              </a:graphicData>
            </a:graphic>
          </wp:inline>
        </w:drawing>
      </w:r>
    </w:p>
    <w:p w14:paraId="6621CCC0" w14:textId="77777777" w:rsidR="00A16DDB" w:rsidRPr="00D95127" w:rsidRDefault="00A16DDB" w:rsidP="00A16DDB">
      <w:pPr>
        <w:rPr>
          <w:rFonts w:eastAsia="Times New Roman" w:cs="Times New Roman"/>
          <w:i/>
          <w:iCs/>
          <w:color w:val="44546A"/>
          <w:szCs w:val="24"/>
          <w:lang w:val="cs-CZ" w:eastAsia="cs-CZ"/>
        </w:rPr>
      </w:pPr>
    </w:p>
    <w:p w14:paraId="39B8E001" w14:textId="34CB3888" w:rsidR="00A16DDB" w:rsidRPr="00D95127" w:rsidRDefault="001D6639" w:rsidP="00A16DDB">
      <w:pPr>
        <w:keepNext/>
        <w:rPr>
          <w:rFonts w:eastAsia="Times New Roman" w:cs="Times New Roman"/>
          <w:b/>
          <w:bCs/>
          <w:sz w:val="20"/>
          <w:szCs w:val="20"/>
          <w:lang w:val="cs-CZ" w:eastAsia="cs-CZ"/>
        </w:rPr>
      </w:pPr>
      <w:r w:rsidRPr="00D95127">
        <w:rPr>
          <w:rFonts w:eastAsia="Times New Roman" w:cs="Times New Roman"/>
          <w:b/>
          <w:bCs/>
          <w:sz w:val="20"/>
          <w:szCs w:val="20"/>
          <w:lang w:val="cs-CZ" w:eastAsia="cs-CZ"/>
        </w:rPr>
        <w:lastRenderedPageBreak/>
        <w:t xml:space="preserve">Tabulka 15 </w:t>
      </w:r>
      <w:r w:rsidR="00A16DDB" w:rsidRPr="00D95127">
        <w:rPr>
          <w:rFonts w:eastAsia="Times New Roman" w:cs="Times New Roman"/>
          <w:b/>
          <w:bCs/>
          <w:sz w:val="20"/>
          <w:szCs w:val="20"/>
          <w:lang w:val="cs-CZ" w:eastAsia="cs-CZ"/>
        </w:rPr>
        <w:t>Teorie změny – ovoce a zelenina - pokračování</w:t>
      </w:r>
    </w:p>
    <w:p w14:paraId="047662AE" w14:textId="77777777" w:rsidR="00A16DDB" w:rsidRPr="00D95127" w:rsidRDefault="00A16DDB" w:rsidP="00A16DDB">
      <w:pPr>
        <w:rPr>
          <w:rFonts w:eastAsia="Times New Roman" w:cs="Times New Roman"/>
          <w:i/>
          <w:iCs/>
          <w:color w:val="44546A"/>
          <w:szCs w:val="24"/>
          <w:lang w:val="cs-CZ" w:eastAsia="cs-CZ"/>
        </w:rPr>
      </w:pPr>
      <w:r w:rsidRPr="00D95127">
        <w:rPr>
          <w:rFonts w:cs="Times New Roman"/>
          <w:noProof/>
          <w:lang w:val="cs-CZ"/>
        </w:rPr>
        <w:drawing>
          <wp:inline distT="0" distB="0" distL="0" distR="0" wp14:anchorId="0BC06C8E" wp14:editId="41C11ED3">
            <wp:extent cx="9406647" cy="3621713"/>
            <wp:effectExtent l="0" t="0" r="4445" b="0"/>
            <wp:docPr id="306" name="Obrázek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433573" cy="3632080"/>
                    </a:xfrm>
                    <a:prstGeom prst="rect">
                      <a:avLst/>
                    </a:prstGeom>
                    <a:noFill/>
                    <a:ln>
                      <a:noFill/>
                    </a:ln>
                  </pic:spPr>
                </pic:pic>
              </a:graphicData>
            </a:graphic>
          </wp:inline>
        </w:drawing>
      </w:r>
    </w:p>
    <w:p w14:paraId="0E9AA661" w14:textId="77777777" w:rsidR="001D6639" w:rsidRPr="00D95127" w:rsidRDefault="001D6639" w:rsidP="001D6639">
      <w:pPr>
        <w:keepNext/>
        <w:rPr>
          <w:rFonts w:eastAsia="Times New Roman" w:cs="Times New Roman"/>
          <w:b/>
          <w:bCs/>
          <w:sz w:val="20"/>
          <w:szCs w:val="20"/>
          <w:lang w:val="cs-CZ" w:eastAsia="cs-CZ"/>
        </w:rPr>
      </w:pPr>
      <w:r w:rsidRPr="00D95127">
        <w:rPr>
          <w:rFonts w:eastAsia="Times New Roman" w:cs="Times New Roman"/>
          <w:b/>
          <w:bCs/>
          <w:sz w:val="20"/>
          <w:szCs w:val="20"/>
          <w:lang w:val="cs-CZ" w:eastAsia="cs-CZ"/>
        </w:rPr>
        <w:lastRenderedPageBreak/>
        <w:t>Tabulka 15 Teorie změny – ovoce a zelenina - pokračování</w:t>
      </w:r>
    </w:p>
    <w:p w14:paraId="3DAC2018" w14:textId="77777777" w:rsidR="00A16DDB" w:rsidRPr="00D95127" w:rsidRDefault="00A16DDB" w:rsidP="00A16DDB">
      <w:pPr>
        <w:rPr>
          <w:rFonts w:eastAsia="Times New Roman" w:cs="Times New Roman"/>
          <w:i/>
          <w:iCs/>
          <w:color w:val="44546A"/>
          <w:szCs w:val="24"/>
          <w:lang w:val="cs-CZ" w:eastAsia="cs-CZ"/>
        </w:rPr>
      </w:pPr>
      <w:r w:rsidRPr="00D95127">
        <w:rPr>
          <w:rFonts w:cs="Times New Roman"/>
          <w:noProof/>
          <w:lang w:val="cs-CZ"/>
        </w:rPr>
        <w:drawing>
          <wp:inline distT="0" distB="0" distL="0" distR="0" wp14:anchorId="60C7A37B" wp14:editId="633C1C8F">
            <wp:extent cx="9319098" cy="2341422"/>
            <wp:effectExtent l="0" t="0" r="3175" b="0"/>
            <wp:docPr id="307" name="Obrázek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338415" cy="2346275"/>
                    </a:xfrm>
                    <a:prstGeom prst="rect">
                      <a:avLst/>
                    </a:prstGeom>
                    <a:noFill/>
                    <a:ln>
                      <a:noFill/>
                    </a:ln>
                  </pic:spPr>
                </pic:pic>
              </a:graphicData>
            </a:graphic>
          </wp:inline>
        </w:drawing>
      </w:r>
    </w:p>
    <w:p w14:paraId="0F58134F" w14:textId="77777777" w:rsidR="00A16DDB" w:rsidRPr="00D95127" w:rsidRDefault="00A16DDB" w:rsidP="001D6639">
      <w:pPr>
        <w:pStyle w:val="UZEIZdroj"/>
        <w:sectPr w:rsidR="00A16DDB" w:rsidRPr="00D95127" w:rsidSect="00C82CBD">
          <w:headerReference w:type="default" r:id="rId28"/>
          <w:footerReference w:type="default" r:id="rId29"/>
          <w:pgSz w:w="16838" w:h="11906" w:orient="landscape"/>
          <w:pgMar w:top="567" w:right="1418" w:bottom="1418" w:left="1418" w:header="709" w:footer="709" w:gutter="0"/>
          <w:cols w:space="708"/>
          <w:docGrid w:linePitch="360"/>
        </w:sectPr>
      </w:pPr>
      <w:r w:rsidRPr="00D95127">
        <w:t>Pramen: ÚZEI vlastní schéma</w:t>
      </w:r>
    </w:p>
    <w:p w14:paraId="40E98854" w14:textId="77777777" w:rsidR="00A16DDB" w:rsidRPr="00D95127" w:rsidRDefault="00A16DDB" w:rsidP="001D6639">
      <w:pPr>
        <w:pStyle w:val="UZEINormaln"/>
        <w:rPr>
          <w:rFonts w:cs="Times New Roman"/>
        </w:rPr>
      </w:pPr>
      <w:r w:rsidRPr="00D95127">
        <w:rPr>
          <w:rFonts w:cs="Times New Roman"/>
        </w:rPr>
        <w:lastRenderedPageBreak/>
        <w:t>K hlavním problémům sektoru ovoce a zeleniny patří nedostatečné vodní hospodářství (zdroje pro budování kapkových závlah, rekonstrukce/budování kapkových závlah, úsporné systémy zavlažování a společná vodní infrastruktura), nedostatečná/nevhodná skladovací kapacita a zastaralá/nedostatečná mobilní technika pro snížení podílu ruční práce. Dalším významným problémem, se kterým se ovocnáři i zelináři potýkají, je nedostatek zpracovatelských kapacit. Společným problémem je také nevyhovující poradenský systém, propagace tuzemské produkce a značek kvality a režimů jakosti.</w:t>
      </w:r>
    </w:p>
    <w:p w14:paraId="5A1FD50E" w14:textId="14209369" w:rsidR="00A16DDB" w:rsidRPr="00D95127" w:rsidRDefault="00A16DDB" w:rsidP="001D6639">
      <w:pPr>
        <w:pStyle w:val="UZEINormaln"/>
        <w:rPr>
          <w:rFonts w:cs="Times New Roman"/>
        </w:rPr>
      </w:pPr>
      <w:r w:rsidRPr="00D95127">
        <w:rPr>
          <w:rFonts w:cs="Times New Roman"/>
        </w:rPr>
        <w:t>Pro ovocnáře je také problém stáří sadů a nízká úroveň vybudovaných technických opatření k ochraně před nepřízní meteorologických jevů pro zajištění stabilního výnosu a kvality (protikroupové sítě, protidešťové systémy a protimrazové závlahy).</w:t>
      </w:r>
    </w:p>
    <w:p w14:paraId="123D726D" w14:textId="40C3E77B" w:rsidR="00A16DDB" w:rsidRPr="00D95127" w:rsidRDefault="00A16DDB" w:rsidP="001D6639">
      <w:pPr>
        <w:pStyle w:val="UZEINormaln"/>
        <w:rPr>
          <w:rFonts w:cs="Times New Roman"/>
        </w:rPr>
      </w:pPr>
      <w:r w:rsidRPr="00D95127">
        <w:rPr>
          <w:rFonts w:cs="Times New Roman"/>
        </w:rPr>
        <w:t>K dalším problémům v sektoru zeleniny patří absence aplikovaného výzkumu a poradenská činnosti. Ke zvýšení konkurenceschopnosti je dále potřeba zajistit dostatek krytých ploch vzhledem k požadavku celoroční produkce.</w:t>
      </w:r>
    </w:p>
    <w:p w14:paraId="5A5B6822" w14:textId="77777777" w:rsidR="00A16DDB" w:rsidRPr="00D95127" w:rsidRDefault="00A16DDB" w:rsidP="00A16DDB">
      <w:pPr>
        <w:rPr>
          <w:rFonts w:cs="Times New Roman"/>
          <w:szCs w:val="24"/>
          <w:lang w:val="cs-CZ"/>
        </w:rPr>
      </w:pPr>
    </w:p>
    <w:p w14:paraId="63811B4F" w14:textId="77777777" w:rsidR="00A16DDB" w:rsidRPr="00D95127" w:rsidRDefault="00A16DDB" w:rsidP="00A16DDB">
      <w:pPr>
        <w:rPr>
          <w:rFonts w:cs="Times New Roman"/>
          <w:szCs w:val="24"/>
          <w:lang w:val="cs-CZ"/>
        </w:rPr>
        <w:sectPr w:rsidR="00A16DDB" w:rsidRPr="00D95127" w:rsidSect="00C82CBD">
          <w:headerReference w:type="default" r:id="rId30"/>
          <w:footerReference w:type="default" r:id="rId31"/>
          <w:pgSz w:w="11906" w:h="16838"/>
          <w:pgMar w:top="1418" w:right="567" w:bottom="1418" w:left="1418" w:header="709" w:footer="709" w:gutter="0"/>
          <w:cols w:space="708"/>
          <w:docGrid w:linePitch="360"/>
        </w:sectPr>
      </w:pPr>
    </w:p>
    <w:p w14:paraId="6B01A11B" w14:textId="77777777" w:rsidR="00A16DDB" w:rsidRPr="00D95127" w:rsidRDefault="00A16DDB" w:rsidP="006C4C29">
      <w:pPr>
        <w:pStyle w:val="Nadpis1"/>
      </w:pPr>
      <w:bookmarkStart w:id="92" w:name="_Toc23401533"/>
      <w:bookmarkStart w:id="93" w:name="_Toc23473605"/>
      <w:bookmarkStart w:id="94" w:name="_Toc23475059"/>
      <w:bookmarkStart w:id="95" w:name="_Toc23509674"/>
      <w:bookmarkStart w:id="96" w:name="_Toc23509828"/>
      <w:bookmarkStart w:id="97" w:name="_Toc27156874"/>
      <w:bookmarkStart w:id="98" w:name="_Toc27172109"/>
      <w:bookmarkStart w:id="99" w:name="_Toc27172761"/>
      <w:bookmarkStart w:id="100" w:name="_Toc27172914"/>
      <w:bookmarkStart w:id="101" w:name="_Toc23401534"/>
      <w:bookmarkStart w:id="102" w:name="_Toc23473606"/>
      <w:bookmarkStart w:id="103" w:name="_Toc23475060"/>
      <w:bookmarkStart w:id="104" w:name="_Toc23509675"/>
      <w:bookmarkStart w:id="105" w:name="_Toc23509829"/>
      <w:bookmarkStart w:id="106" w:name="_Toc27156875"/>
      <w:bookmarkStart w:id="107" w:name="_Toc27172110"/>
      <w:bookmarkStart w:id="108" w:name="_Toc27172762"/>
      <w:bookmarkStart w:id="109" w:name="_Toc27172915"/>
      <w:bookmarkStart w:id="110" w:name="_Toc23401535"/>
      <w:bookmarkStart w:id="111" w:name="_Toc23473607"/>
      <w:bookmarkStart w:id="112" w:name="_Toc23475061"/>
      <w:bookmarkStart w:id="113" w:name="_Toc23509676"/>
      <w:bookmarkStart w:id="114" w:name="_Toc23509830"/>
      <w:bookmarkStart w:id="115" w:name="_Toc27156876"/>
      <w:bookmarkStart w:id="116" w:name="_Toc27172111"/>
      <w:bookmarkStart w:id="117" w:name="_Toc27172763"/>
      <w:bookmarkStart w:id="118" w:name="_Toc27172916"/>
      <w:bookmarkStart w:id="119" w:name="_Toc23401536"/>
      <w:bookmarkStart w:id="120" w:name="_Toc23473608"/>
      <w:bookmarkStart w:id="121" w:name="_Toc23475062"/>
      <w:bookmarkStart w:id="122" w:name="_Toc23509677"/>
      <w:bookmarkStart w:id="123" w:name="_Toc23509831"/>
      <w:bookmarkStart w:id="124" w:name="_Toc27156877"/>
      <w:bookmarkStart w:id="125" w:name="_Toc27172112"/>
      <w:bookmarkStart w:id="126" w:name="_Toc27172764"/>
      <w:bookmarkStart w:id="127" w:name="_Toc27172917"/>
      <w:bookmarkStart w:id="128" w:name="_Toc15304034"/>
      <w:bookmarkStart w:id="129" w:name="_Toc23509832"/>
      <w:bookmarkStart w:id="130" w:name="_Toc76137347"/>
      <w:bookmarkStart w:id="131" w:name="_Toc76637546"/>
      <w:bookmarkStart w:id="132" w:name="_Toc80953225"/>
      <w:bookmarkStart w:id="133" w:name="_Toc81739181"/>
      <w:bookmarkStart w:id="134" w:name="_Hlk525763907"/>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r w:rsidRPr="00D95127">
        <w:lastRenderedPageBreak/>
        <w:t>SWOT analýza</w:t>
      </w:r>
      <w:bookmarkEnd w:id="128"/>
      <w:bookmarkEnd w:id="129"/>
      <w:bookmarkEnd w:id="130"/>
      <w:bookmarkEnd w:id="131"/>
      <w:bookmarkEnd w:id="132"/>
      <w:bookmarkEnd w:id="133"/>
    </w:p>
    <w:bookmarkEnd w:id="134"/>
    <w:p w14:paraId="388E68DE" w14:textId="706F80D5" w:rsidR="00A16DDB" w:rsidRPr="00D95127" w:rsidRDefault="006C4C29" w:rsidP="006C4C29">
      <w:pPr>
        <w:pStyle w:val="UZEINormaln"/>
        <w:rPr>
          <w:rStyle w:val="Odkazintenzivn"/>
          <w:rFonts w:cs="Times New Roman"/>
          <w:color w:val="auto"/>
        </w:rPr>
      </w:pPr>
      <w:r w:rsidRPr="00D95127">
        <w:rPr>
          <w:rStyle w:val="Odkazintenzivn"/>
          <w:rFonts w:cs="Times New Roman"/>
          <w:color w:val="auto"/>
        </w:rPr>
        <w:t>OVOCE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2"/>
        <w:gridCol w:w="4530"/>
      </w:tblGrid>
      <w:tr w:rsidR="00A16DDB" w:rsidRPr="00D95127" w14:paraId="3323AD74" w14:textId="77777777" w:rsidTr="007A627A">
        <w:trPr>
          <w:trHeight w:val="271"/>
        </w:trPr>
        <w:tc>
          <w:tcPr>
            <w:tcW w:w="4606" w:type="dxa"/>
            <w:shd w:val="clear" w:color="auto" w:fill="auto"/>
          </w:tcPr>
          <w:p w14:paraId="4A59E164" w14:textId="77777777" w:rsidR="00A16DDB" w:rsidRPr="00D95127" w:rsidRDefault="00A16DDB" w:rsidP="007A627A">
            <w:pPr>
              <w:spacing w:before="60" w:after="60"/>
              <w:jc w:val="center"/>
              <w:rPr>
                <w:rFonts w:cs="Times New Roman"/>
                <w:b/>
                <w:szCs w:val="24"/>
                <w:lang w:val="cs-CZ"/>
              </w:rPr>
            </w:pPr>
            <w:r w:rsidRPr="00D95127">
              <w:rPr>
                <w:rFonts w:cs="Times New Roman"/>
                <w:b/>
                <w:szCs w:val="24"/>
                <w:lang w:val="cs-CZ"/>
              </w:rPr>
              <w:t>Silné stránky</w:t>
            </w:r>
          </w:p>
        </w:tc>
        <w:tc>
          <w:tcPr>
            <w:tcW w:w="4606" w:type="dxa"/>
            <w:shd w:val="clear" w:color="auto" w:fill="auto"/>
          </w:tcPr>
          <w:p w14:paraId="7528A3E0" w14:textId="77777777" w:rsidR="00A16DDB" w:rsidRPr="00D95127" w:rsidRDefault="00A16DDB" w:rsidP="007A627A">
            <w:pPr>
              <w:spacing w:before="60" w:after="60"/>
              <w:jc w:val="center"/>
              <w:rPr>
                <w:rFonts w:cs="Times New Roman"/>
                <w:b/>
                <w:szCs w:val="24"/>
                <w:lang w:val="cs-CZ"/>
              </w:rPr>
            </w:pPr>
            <w:r w:rsidRPr="00D95127">
              <w:rPr>
                <w:rFonts w:cs="Times New Roman"/>
                <w:b/>
                <w:szCs w:val="24"/>
                <w:lang w:val="cs-CZ"/>
              </w:rPr>
              <w:t>Slabé stránky</w:t>
            </w:r>
          </w:p>
        </w:tc>
      </w:tr>
      <w:tr w:rsidR="00A16DDB" w:rsidRPr="00D95127" w14:paraId="6409A5C8" w14:textId="77777777" w:rsidTr="007A627A">
        <w:tc>
          <w:tcPr>
            <w:tcW w:w="4606" w:type="dxa"/>
            <w:shd w:val="clear" w:color="auto" w:fill="auto"/>
          </w:tcPr>
          <w:p w14:paraId="7AC21653" w14:textId="4E7D94E6" w:rsidR="00A16DDB" w:rsidRPr="00D95127" w:rsidRDefault="006C4C29" w:rsidP="006C4C29">
            <w:pPr>
              <w:pStyle w:val="UZEIOdrky"/>
              <w:ind w:left="460" w:hanging="401"/>
              <w:rPr>
                <w:rFonts w:cs="Times New Roman"/>
              </w:rPr>
            </w:pPr>
            <w:r w:rsidRPr="00D95127">
              <w:rPr>
                <w:rFonts w:cs="Times New Roman"/>
              </w:rPr>
              <w:t xml:space="preserve">S1: </w:t>
            </w:r>
            <w:r w:rsidR="00A16DDB" w:rsidRPr="00D95127">
              <w:rPr>
                <w:rFonts w:cs="Times New Roman"/>
              </w:rPr>
              <w:t>Regionálně vhodné klimatické podmínky pro některé druhy ovoce mírného pásma (jablka, slivoně, višně, …).</w:t>
            </w:r>
          </w:p>
          <w:p w14:paraId="02DF7088" w14:textId="6F221106" w:rsidR="00A16DDB" w:rsidRPr="00D95127" w:rsidRDefault="006C4C29" w:rsidP="006C4C29">
            <w:pPr>
              <w:pStyle w:val="UZEIOdrky"/>
              <w:ind w:left="460" w:hanging="401"/>
              <w:rPr>
                <w:rFonts w:cs="Times New Roman"/>
              </w:rPr>
            </w:pPr>
            <w:r w:rsidRPr="00D95127">
              <w:rPr>
                <w:rFonts w:cs="Times New Roman"/>
              </w:rPr>
              <w:t xml:space="preserve">S2: </w:t>
            </w:r>
            <w:r w:rsidR="00A16DDB" w:rsidRPr="00D95127">
              <w:rPr>
                <w:rFonts w:cs="Times New Roman"/>
              </w:rPr>
              <w:t>Zájem domácích spotřebitelů o tuzemskou produkci a o produkci s vyšší přidanou hodnotou.</w:t>
            </w:r>
          </w:p>
          <w:p w14:paraId="50ECC6FB" w14:textId="5F696579" w:rsidR="00A16DDB" w:rsidRPr="00D95127" w:rsidRDefault="006C4C29" w:rsidP="006C4C29">
            <w:pPr>
              <w:pStyle w:val="UZEIOdrky"/>
              <w:ind w:left="460" w:hanging="401"/>
              <w:rPr>
                <w:rFonts w:cs="Times New Roman"/>
              </w:rPr>
            </w:pPr>
            <w:r w:rsidRPr="00D95127">
              <w:rPr>
                <w:rFonts w:cs="Times New Roman"/>
              </w:rPr>
              <w:t xml:space="preserve">S3: </w:t>
            </w:r>
            <w:r w:rsidR="00A16DDB" w:rsidRPr="00D95127">
              <w:rPr>
                <w:rFonts w:cs="Times New Roman"/>
              </w:rPr>
              <w:t>Funkční odbytové organizace pěstitelů (vznik nových, posílení vyjednávací síly prvovýrobců, zajištění odbytu včetně proniknutí do sítě obchodních řetězců).</w:t>
            </w:r>
          </w:p>
          <w:p w14:paraId="269A6028" w14:textId="12CE9256" w:rsidR="00A16DDB" w:rsidRPr="00D95127" w:rsidRDefault="006C4C29" w:rsidP="006C4C29">
            <w:pPr>
              <w:pStyle w:val="UZEIOdrky"/>
              <w:ind w:left="460" w:hanging="401"/>
              <w:rPr>
                <w:rFonts w:cs="Times New Roman"/>
              </w:rPr>
            </w:pPr>
            <w:r w:rsidRPr="00D95127">
              <w:rPr>
                <w:rFonts w:cs="Times New Roman"/>
              </w:rPr>
              <w:t xml:space="preserve">S4: </w:t>
            </w:r>
            <w:r w:rsidR="00A16DDB" w:rsidRPr="00D95127">
              <w:rPr>
                <w:rFonts w:cs="Times New Roman"/>
              </w:rPr>
              <w:t>Vysoký podíl produkce v integrovaných systémech pěstování.</w:t>
            </w:r>
          </w:p>
          <w:p w14:paraId="0B67A844" w14:textId="6B37AF73" w:rsidR="00A16DDB" w:rsidRPr="00D95127" w:rsidRDefault="006C4C29" w:rsidP="006C4C29">
            <w:pPr>
              <w:pStyle w:val="UZEIOdrky"/>
              <w:ind w:left="460" w:hanging="401"/>
              <w:rPr>
                <w:rFonts w:cs="Times New Roman"/>
              </w:rPr>
            </w:pPr>
            <w:r w:rsidRPr="00D95127">
              <w:rPr>
                <w:rFonts w:cs="Times New Roman"/>
              </w:rPr>
              <w:t xml:space="preserve">S5: </w:t>
            </w:r>
            <w:r w:rsidR="00A16DDB" w:rsidRPr="00D95127">
              <w:rPr>
                <w:rFonts w:cs="Times New Roman"/>
              </w:rPr>
              <w:t>Vysoká odborná úroveň pěstitelů</w:t>
            </w:r>
          </w:p>
          <w:p w14:paraId="22AEE1FE" w14:textId="320D1FA6" w:rsidR="00A16DDB" w:rsidRPr="00D95127" w:rsidRDefault="006C4C29" w:rsidP="006C4C29">
            <w:pPr>
              <w:pStyle w:val="UZEIOdrky"/>
              <w:ind w:left="460" w:hanging="401"/>
              <w:rPr>
                <w:rFonts w:cs="Times New Roman"/>
              </w:rPr>
            </w:pPr>
            <w:r w:rsidRPr="00D95127">
              <w:rPr>
                <w:rFonts w:cs="Times New Roman"/>
              </w:rPr>
              <w:t xml:space="preserve">S6: </w:t>
            </w:r>
            <w:r w:rsidR="00A16DDB" w:rsidRPr="00D95127">
              <w:rPr>
                <w:rFonts w:cs="Times New Roman"/>
              </w:rPr>
              <w:t>Dostatečná vědeckovýzkumná základna</w:t>
            </w:r>
          </w:p>
          <w:p w14:paraId="2A2083F9" w14:textId="7F78554D" w:rsidR="00A16DDB" w:rsidRPr="00D95127" w:rsidRDefault="006C4C29" w:rsidP="006C4C29">
            <w:pPr>
              <w:pStyle w:val="UZEIOdrky"/>
              <w:ind w:left="460" w:hanging="401"/>
              <w:rPr>
                <w:rFonts w:cs="Times New Roman"/>
              </w:rPr>
            </w:pPr>
            <w:r w:rsidRPr="00D95127">
              <w:rPr>
                <w:rFonts w:cs="Times New Roman"/>
              </w:rPr>
              <w:t xml:space="preserve">S7: </w:t>
            </w:r>
            <w:r w:rsidR="00A16DDB" w:rsidRPr="00D95127">
              <w:rPr>
                <w:rFonts w:cs="Times New Roman"/>
              </w:rPr>
              <w:t>Agroenviromentální význam sadů v krajině</w:t>
            </w:r>
          </w:p>
          <w:p w14:paraId="3C73B1DD" w14:textId="618BFFAA" w:rsidR="00A16DDB" w:rsidRPr="00D95127" w:rsidRDefault="006C4C29" w:rsidP="006C4C29">
            <w:pPr>
              <w:pStyle w:val="UZEIOdrky"/>
              <w:ind w:left="460" w:hanging="401"/>
              <w:rPr>
                <w:rFonts w:cs="Times New Roman"/>
              </w:rPr>
            </w:pPr>
            <w:r w:rsidRPr="00D95127">
              <w:rPr>
                <w:rFonts w:cs="Times New Roman"/>
              </w:rPr>
              <w:t xml:space="preserve">S8: </w:t>
            </w:r>
            <w:r w:rsidR="00A16DDB" w:rsidRPr="00D95127">
              <w:rPr>
                <w:rFonts w:cs="Times New Roman"/>
              </w:rPr>
              <w:t>Příspěvek k zaměstnanosti venkova a k udržování krajinného rázu regionů.</w:t>
            </w:r>
          </w:p>
          <w:p w14:paraId="3D7B2CEC" w14:textId="7121AF5F" w:rsidR="00A16DDB" w:rsidRPr="00D95127" w:rsidRDefault="006C4C29" w:rsidP="006C4C29">
            <w:pPr>
              <w:pStyle w:val="UZEIOdrky"/>
              <w:ind w:left="460" w:hanging="401"/>
              <w:rPr>
                <w:rFonts w:cs="Times New Roman"/>
              </w:rPr>
            </w:pPr>
            <w:r w:rsidRPr="00D95127">
              <w:rPr>
                <w:rFonts w:cs="Times New Roman"/>
              </w:rPr>
              <w:t xml:space="preserve">S9: </w:t>
            </w:r>
            <w:r w:rsidR="00A16DDB" w:rsidRPr="00D95127">
              <w:rPr>
                <w:rFonts w:cs="Times New Roman"/>
              </w:rPr>
              <w:t>Další podpora ekologického a integrovaného pěstování s přísnějšími podmínkami jejich poskytování.</w:t>
            </w:r>
          </w:p>
          <w:p w14:paraId="39773812" w14:textId="7FCCFA77" w:rsidR="00A16DDB" w:rsidRPr="00D95127" w:rsidRDefault="006C4C29" w:rsidP="006C4C29">
            <w:pPr>
              <w:pStyle w:val="UZEIOdrky"/>
              <w:ind w:left="460" w:hanging="401"/>
              <w:rPr>
                <w:rFonts w:cs="Times New Roman"/>
              </w:rPr>
            </w:pPr>
            <w:r w:rsidRPr="00D95127">
              <w:rPr>
                <w:rFonts w:cs="Times New Roman"/>
              </w:rPr>
              <w:t xml:space="preserve">S10: </w:t>
            </w:r>
            <w:r w:rsidR="00A16DDB" w:rsidRPr="00D95127">
              <w:rPr>
                <w:rFonts w:cs="Times New Roman"/>
              </w:rPr>
              <w:t>Využití specifických podpor a různých podporovaných forem „krátkých řetězců“ a organizací výrobců pro zlepšení tržních podmínek ve vertikále.</w:t>
            </w:r>
          </w:p>
          <w:p w14:paraId="2DAED851" w14:textId="77777777" w:rsidR="00A16DDB" w:rsidRPr="00D95127" w:rsidRDefault="00A16DDB" w:rsidP="006C4C29">
            <w:pPr>
              <w:pStyle w:val="UZEIOdrky"/>
              <w:numPr>
                <w:ilvl w:val="0"/>
                <w:numId w:val="0"/>
              </w:numPr>
              <w:ind w:left="460" w:hanging="401"/>
              <w:rPr>
                <w:rFonts w:cs="Times New Roman"/>
              </w:rPr>
            </w:pPr>
          </w:p>
        </w:tc>
        <w:tc>
          <w:tcPr>
            <w:tcW w:w="4606" w:type="dxa"/>
            <w:shd w:val="clear" w:color="auto" w:fill="auto"/>
          </w:tcPr>
          <w:p w14:paraId="27AD63BC" w14:textId="785475D1" w:rsidR="00A16DDB" w:rsidRPr="00D95127" w:rsidRDefault="006C4C29" w:rsidP="006C4C29">
            <w:pPr>
              <w:pStyle w:val="UZEIOdrky"/>
              <w:ind w:left="460" w:hanging="401"/>
              <w:rPr>
                <w:rFonts w:cs="Times New Roman"/>
              </w:rPr>
            </w:pPr>
            <w:r w:rsidRPr="00D95127">
              <w:rPr>
                <w:rFonts w:cs="Times New Roman"/>
              </w:rPr>
              <w:t xml:space="preserve">W1: </w:t>
            </w:r>
            <w:r w:rsidR="00A16DDB" w:rsidRPr="00D95127">
              <w:rPr>
                <w:rFonts w:cs="Times New Roman"/>
              </w:rPr>
              <w:t>Odrůdová a věková struktura sadů (vysoký podíl přestárlých sadů), vysoké investiční náklady na restrukturalizaci.</w:t>
            </w:r>
          </w:p>
          <w:p w14:paraId="41D7E1A3" w14:textId="1EEE5FB8" w:rsidR="00A16DDB" w:rsidRPr="00D95127" w:rsidRDefault="006C4C29" w:rsidP="006C4C29">
            <w:pPr>
              <w:pStyle w:val="UZEIOdrky"/>
              <w:ind w:left="460" w:hanging="401"/>
              <w:rPr>
                <w:rFonts w:cs="Times New Roman"/>
              </w:rPr>
            </w:pPr>
            <w:r w:rsidRPr="00D95127">
              <w:rPr>
                <w:rFonts w:cs="Times New Roman"/>
              </w:rPr>
              <w:t xml:space="preserve">W2: </w:t>
            </w:r>
            <w:r w:rsidR="00A16DDB" w:rsidRPr="00D95127">
              <w:rPr>
                <w:rFonts w:cs="Times New Roman"/>
              </w:rPr>
              <w:t>Souhrnná rentabilita pěstování ovoce je kladná jen u nejlepších podniků.</w:t>
            </w:r>
          </w:p>
          <w:p w14:paraId="11F808DA" w14:textId="059E1F7F" w:rsidR="00A16DDB" w:rsidRPr="00D95127" w:rsidRDefault="006C4C29" w:rsidP="006C4C29">
            <w:pPr>
              <w:pStyle w:val="UZEIOdrky"/>
              <w:ind w:left="460" w:hanging="401"/>
              <w:rPr>
                <w:rFonts w:cs="Times New Roman"/>
              </w:rPr>
            </w:pPr>
            <w:r w:rsidRPr="00D95127">
              <w:rPr>
                <w:rFonts w:cs="Times New Roman"/>
              </w:rPr>
              <w:t xml:space="preserve">W3: </w:t>
            </w:r>
            <w:r w:rsidR="00A16DDB" w:rsidRPr="00D95127">
              <w:rPr>
                <w:rFonts w:cs="Times New Roman"/>
              </w:rPr>
              <w:t>Nedostatek vlastních zdrojů na investice.</w:t>
            </w:r>
          </w:p>
          <w:p w14:paraId="7378567A" w14:textId="54229182" w:rsidR="00A16DDB" w:rsidRPr="00D95127" w:rsidRDefault="006C4C29" w:rsidP="006C4C29">
            <w:pPr>
              <w:pStyle w:val="UZEIOdrky"/>
              <w:ind w:left="460" w:hanging="401"/>
              <w:rPr>
                <w:rFonts w:cs="Times New Roman"/>
              </w:rPr>
            </w:pPr>
            <w:r w:rsidRPr="00D95127">
              <w:rPr>
                <w:rFonts w:cs="Times New Roman"/>
              </w:rPr>
              <w:t xml:space="preserve">W4:  </w:t>
            </w:r>
            <w:r w:rsidR="00A16DDB" w:rsidRPr="00D95127">
              <w:rPr>
                <w:rFonts w:cs="Times New Roman"/>
              </w:rPr>
              <w:t>Nevhodný poměr mezi produkcí konzumního ovoce a produkcí na zpracování (zejména u jablek), snižující celkové příjmy za produkci.</w:t>
            </w:r>
          </w:p>
          <w:p w14:paraId="6A9A8ADE" w14:textId="6E997DA6" w:rsidR="00A16DDB" w:rsidRPr="00D95127" w:rsidRDefault="006C4C29" w:rsidP="006C4C29">
            <w:pPr>
              <w:pStyle w:val="UZEIOdrky"/>
              <w:ind w:left="460" w:hanging="401"/>
              <w:rPr>
                <w:rFonts w:cs="Times New Roman"/>
              </w:rPr>
            </w:pPr>
            <w:r w:rsidRPr="00D95127">
              <w:rPr>
                <w:rFonts w:cs="Times New Roman"/>
              </w:rPr>
              <w:t xml:space="preserve">W5: </w:t>
            </w:r>
            <w:r w:rsidR="00A16DDB" w:rsidRPr="00D95127">
              <w:rPr>
                <w:rFonts w:cs="Times New Roman"/>
              </w:rPr>
              <w:t>Menší podíl podniků se zpracováním suroviny.</w:t>
            </w:r>
          </w:p>
          <w:p w14:paraId="45CE4CED" w14:textId="013DBA16" w:rsidR="00A16DDB" w:rsidRPr="00D95127" w:rsidRDefault="006C4C29" w:rsidP="006C4C29">
            <w:pPr>
              <w:pStyle w:val="UZEIOdrky"/>
              <w:ind w:left="460" w:hanging="401"/>
              <w:rPr>
                <w:rFonts w:cs="Times New Roman"/>
              </w:rPr>
            </w:pPr>
            <w:r w:rsidRPr="00D95127">
              <w:rPr>
                <w:rFonts w:cs="Times New Roman"/>
              </w:rPr>
              <w:t xml:space="preserve">W6: </w:t>
            </w:r>
            <w:r w:rsidR="00A16DDB" w:rsidRPr="00D95127">
              <w:rPr>
                <w:rFonts w:cs="Times New Roman"/>
              </w:rPr>
              <w:t xml:space="preserve">Často velmi malá intenzita ekologického pěstování ovoce ve vazbě na dosavadní podmínky podpor. </w:t>
            </w:r>
          </w:p>
          <w:p w14:paraId="1669F79E" w14:textId="0305F506" w:rsidR="00A16DDB" w:rsidRPr="00D95127" w:rsidRDefault="006C4C29" w:rsidP="006C4C29">
            <w:pPr>
              <w:pStyle w:val="UZEIOdrky"/>
              <w:ind w:left="460" w:hanging="401"/>
              <w:rPr>
                <w:rFonts w:cs="Times New Roman"/>
              </w:rPr>
            </w:pPr>
            <w:r w:rsidRPr="00D95127">
              <w:rPr>
                <w:rFonts w:cs="Times New Roman"/>
              </w:rPr>
              <w:t xml:space="preserve">W7: </w:t>
            </w:r>
            <w:r w:rsidR="00A16DDB" w:rsidRPr="00D95127">
              <w:rPr>
                <w:rFonts w:cs="Times New Roman"/>
              </w:rPr>
              <w:t>Nedostatek „levných“ pracovních sil na sezónní práce.</w:t>
            </w:r>
          </w:p>
          <w:p w14:paraId="7A4D21DD" w14:textId="1C58D315" w:rsidR="00A16DDB" w:rsidRPr="00D95127" w:rsidRDefault="006C4C29" w:rsidP="006C4C29">
            <w:pPr>
              <w:pStyle w:val="UZEIOdrky"/>
              <w:ind w:left="460" w:hanging="401"/>
              <w:rPr>
                <w:rFonts w:cs="Times New Roman"/>
              </w:rPr>
            </w:pPr>
            <w:r w:rsidRPr="00D95127">
              <w:rPr>
                <w:rFonts w:cs="Times New Roman"/>
              </w:rPr>
              <w:t xml:space="preserve">W8: </w:t>
            </w:r>
            <w:r w:rsidR="00A16DDB" w:rsidRPr="00D95127">
              <w:rPr>
                <w:rFonts w:cs="Times New Roman"/>
              </w:rPr>
              <w:t>Pomalá obnova a rekonstrukce závlahových soustav.</w:t>
            </w:r>
          </w:p>
          <w:p w14:paraId="7C1927B3" w14:textId="6C697F18" w:rsidR="00A16DDB" w:rsidRPr="00D95127" w:rsidRDefault="006C4C29" w:rsidP="006C4C29">
            <w:pPr>
              <w:pStyle w:val="UZEIOdrky"/>
              <w:ind w:left="460" w:hanging="401"/>
              <w:rPr>
                <w:rFonts w:cs="Times New Roman"/>
              </w:rPr>
            </w:pPr>
            <w:r w:rsidRPr="00D95127">
              <w:rPr>
                <w:rFonts w:cs="Times New Roman"/>
              </w:rPr>
              <w:t xml:space="preserve">W9: </w:t>
            </w:r>
            <w:r w:rsidR="00A16DDB" w:rsidRPr="00D95127">
              <w:rPr>
                <w:rFonts w:cs="Times New Roman"/>
              </w:rPr>
              <w:t>Nízká úroveň vertikální integrace v odvětví zpracování ovoce, kdy prvovýrobci se vlastnicky nepodílejí na zpracovatelském průmyslu.</w:t>
            </w:r>
          </w:p>
          <w:p w14:paraId="6C14E726" w14:textId="296BA817" w:rsidR="00A16DDB" w:rsidRPr="00D95127" w:rsidRDefault="006C4C29" w:rsidP="006C4C29">
            <w:pPr>
              <w:pStyle w:val="UZEIOdrky"/>
              <w:ind w:left="460" w:hanging="401"/>
              <w:rPr>
                <w:rFonts w:cs="Times New Roman"/>
              </w:rPr>
            </w:pPr>
            <w:r w:rsidRPr="00D95127">
              <w:rPr>
                <w:rFonts w:cs="Times New Roman"/>
              </w:rPr>
              <w:t xml:space="preserve">W10: </w:t>
            </w:r>
            <w:r w:rsidR="00A16DDB" w:rsidRPr="00D95127">
              <w:rPr>
                <w:rFonts w:cs="Times New Roman"/>
              </w:rPr>
              <w:t>Preference obchodníků pro dovoz ovoce ze zemí s delší sezónností sklizně.</w:t>
            </w:r>
          </w:p>
          <w:p w14:paraId="78F49702" w14:textId="7BEB48EF" w:rsidR="00A16DDB" w:rsidRPr="00D95127" w:rsidRDefault="006C4C29" w:rsidP="006C4C29">
            <w:pPr>
              <w:pStyle w:val="UZEIOdrky"/>
              <w:ind w:left="460" w:hanging="401"/>
              <w:rPr>
                <w:rFonts w:cs="Times New Roman"/>
              </w:rPr>
            </w:pPr>
            <w:r w:rsidRPr="00D95127">
              <w:rPr>
                <w:rFonts w:cs="Times New Roman"/>
              </w:rPr>
              <w:t xml:space="preserve">W11: </w:t>
            </w:r>
            <w:r w:rsidR="00A16DDB" w:rsidRPr="00D95127">
              <w:rPr>
                <w:rFonts w:cs="Times New Roman"/>
              </w:rPr>
              <w:t>Tlak na ceny tuzemských pěstitelů vlivem dovozu .</w:t>
            </w:r>
          </w:p>
          <w:p w14:paraId="5A5231D1" w14:textId="1CECD4BF" w:rsidR="00A16DDB" w:rsidRPr="00D95127" w:rsidRDefault="006C4C29" w:rsidP="006C4C29">
            <w:pPr>
              <w:pStyle w:val="UZEIOdrky"/>
              <w:ind w:left="460" w:hanging="401"/>
              <w:rPr>
                <w:rFonts w:cs="Times New Roman"/>
              </w:rPr>
            </w:pPr>
            <w:r w:rsidRPr="00D95127">
              <w:rPr>
                <w:rFonts w:cs="Times New Roman"/>
              </w:rPr>
              <w:t xml:space="preserve">W12: </w:t>
            </w:r>
            <w:r w:rsidR="00A16DDB" w:rsidRPr="00D95127">
              <w:rPr>
                <w:rFonts w:cs="Times New Roman"/>
              </w:rPr>
              <w:t>Nedostatečná konzumace ovoce a zeleniny dle zdravotnických doporučení</w:t>
            </w:r>
          </w:p>
          <w:p w14:paraId="1E4E1624" w14:textId="2F467960" w:rsidR="00A16DDB" w:rsidRPr="00D95127" w:rsidRDefault="006C4C29" w:rsidP="006C4C29">
            <w:pPr>
              <w:pStyle w:val="UZEIOdrky"/>
              <w:ind w:left="460" w:hanging="401"/>
              <w:rPr>
                <w:rFonts w:cs="Times New Roman"/>
              </w:rPr>
            </w:pPr>
            <w:r w:rsidRPr="00D95127">
              <w:rPr>
                <w:rFonts w:cs="Times New Roman"/>
              </w:rPr>
              <w:t xml:space="preserve">W13: </w:t>
            </w:r>
            <w:r w:rsidR="00A16DDB" w:rsidRPr="00D95127">
              <w:rPr>
                <w:rFonts w:cs="Times New Roman"/>
              </w:rPr>
              <w:t>Nízká úroveň zapojení do národních a evropských značek kvality</w:t>
            </w:r>
          </w:p>
          <w:p w14:paraId="34B4162E" w14:textId="0B59BF37" w:rsidR="00A16DDB" w:rsidRPr="00D95127" w:rsidRDefault="006C4C29" w:rsidP="006C4C29">
            <w:pPr>
              <w:pStyle w:val="UZEIOdrky"/>
              <w:ind w:left="460" w:hanging="401"/>
              <w:rPr>
                <w:rFonts w:cs="Times New Roman"/>
              </w:rPr>
            </w:pPr>
            <w:r w:rsidRPr="00D95127">
              <w:rPr>
                <w:rFonts w:cs="Times New Roman"/>
              </w:rPr>
              <w:t xml:space="preserve">W14: </w:t>
            </w:r>
            <w:r w:rsidR="00A16DDB" w:rsidRPr="00D95127">
              <w:rPr>
                <w:rFonts w:cs="Times New Roman"/>
              </w:rPr>
              <w:t>Nedostatečná propagace tuzemské produkce/produkce s přidanou hodnotou</w:t>
            </w:r>
          </w:p>
          <w:p w14:paraId="7BC3B7E7" w14:textId="7C14102A" w:rsidR="00A16DDB" w:rsidRPr="00D95127" w:rsidRDefault="006C4C29" w:rsidP="006C4C29">
            <w:pPr>
              <w:pStyle w:val="UZEIOdrky"/>
              <w:ind w:left="460" w:hanging="401"/>
              <w:rPr>
                <w:rFonts w:cs="Times New Roman"/>
                <w:color w:val="auto"/>
              </w:rPr>
            </w:pPr>
            <w:r w:rsidRPr="00D95127">
              <w:rPr>
                <w:rFonts w:cs="Times New Roman"/>
                <w:color w:val="auto"/>
              </w:rPr>
              <w:t xml:space="preserve">W15: </w:t>
            </w:r>
            <w:r w:rsidR="00A16DDB" w:rsidRPr="00D95127">
              <w:rPr>
                <w:rFonts w:cs="Times New Roman"/>
                <w:color w:val="auto"/>
              </w:rPr>
              <w:t>Nedostatečný management řízení rizik (stupeň propojištěnosti)</w:t>
            </w:r>
          </w:p>
          <w:p w14:paraId="3DDD0B5C" w14:textId="7222496F" w:rsidR="00A16DDB" w:rsidRPr="00D95127" w:rsidRDefault="006C4C29" w:rsidP="006C4C29">
            <w:pPr>
              <w:pStyle w:val="UZEIOdrky"/>
              <w:ind w:left="460" w:hanging="401"/>
              <w:rPr>
                <w:rFonts w:cs="Times New Roman"/>
                <w:color w:val="7030A0"/>
              </w:rPr>
            </w:pPr>
            <w:r w:rsidRPr="00D95127">
              <w:rPr>
                <w:rFonts w:cs="Times New Roman"/>
                <w:noProof/>
                <w:color w:val="auto"/>
              </w:rPr>
              <w:t xml:space="preserve">W16: </w:t>
            </w:r>
            <w:r w:rsidR="00A16DDB" w:rsidRPr="00D95127">
              <w:rPr>
                <w:rFonts w:cs="Times New Roman"/>
                <w:noProof/>
                <w:color w:val="auto"/>
              </w:rPr>
              <w:t>Nedostatečný transfer poznatků ohledně změny klimatu a environmentálně šetrných postupů.</w:t>
            </w:r>
          </w:p>
        </w:tc>
      </w:tr>
      <w:tr w:rsidR="00A16DDB" w:rsidRPr="00D95127" w14:paraId="4D5D7870" w14:textId="77777777" w:rsidTr="007A627A">
        <w:tc>
          <w:tcPr>
            <w:tcW w:w="4606" w:type="dxa"/>
            <w:shd w:val="clear" w:color="auto" w:fill="auto"/>
          </w:tcPr>
          <w:p w14:paraId="6129CFEF" w14:textId="77777777" w:rsidR="00A16DDB" w:rsidRPr="00D95127" w:rsidRDefault="00A16DDB" w:rsidP="006C4C29">
            <w:pPr>
              <w:pStyle w:val="UZEIOdrky"/>
              <w:numPr>
                <w:ilvl w:val="0"/>
                <w:numId w:val="0"/>
              </w:numPr>
              <w:ind w:left="720" w:hanging="360"/>
              <w:jc w:val="center"/>
              <w:rPr>
                <w:rFonts w:cs="Times New Roman"/>
                <w:b/>
              </w:rPr>
            </w:pPr>
            <w:r w:rsidRPr="00D95127">
              <w:rPr>
                <w:rFonts w:cs="Times New Roman"/>
                <w:b/>
              </w:rPr>
              <w:lastRenderedPageBreak/>
              <w:t>Příležitost</w:t>
            </w:r>
          </w:p>
        </w:tc>
        <w:tc>
          <w:tcPr>
            <w:tcW w:w="4606" w:type="dxa"/>
            <w:shd w:val="clear" w:color="auto" w:fill="auto"/>
          </w:tcPr>
          <w:p w14:paraId="1C1ADB58" w14:textId="77777777" w:rsidR="00A16DDB" w:rsidRPr="00D95127" w:rsidRDefault="00A16DDB" w:rsidP="006C4C29">
            <w:pPr>
              <w:pStyle w:val="UZEIOdrky"/>
              <w:numPr>
                <w:ilvl w:val="0"/>
                <w:numId w:val="0"/>
              </w:numPr>
              <w:ind w:left="360"/>
              <w:jc w:val="center"/>
              <w:rPr>
                <w:rFonts w:cs="Times New Roman"/>
                <w:b/>
              </w:rPr>
            </w:pPr>
            <w:r w:rsidRPr="00D95127">
              <w:rPr>
                <w:rFonts w:cs="Times New Roman"/>
                <w:b/>
              </w:rPr>
              <w:t>Ohrožení</w:t>
            </w:r>
          </w:p>
        </w:tc>
      </w:tr>
      <w:tr w:rsidR="00A16DDB" w:rsidRPr="00D95127" w14:paraId="6DB6BBBF" w14:textId="77777777" w:rsidTr="007A627A">
        <w:tc>
          <w:tcPr>
            <w:tcW w:w="4606" w:type="dxa"/>
            <w:shd w:val="clear" w:color="auto" w:fill="auto"/>
          </w:tcPr>
          <w:p w14:paraId="15E246BE" w14:textId="5EE3311B" w:rsidR="00A16DDB" w:rsidRPr="00D95127" w:rsidRDefault="006C4C29" w:rsidP="006C4C29">
            <w:pPr>
              <w:pStyle w:val="UZEIOdrky"/>
              <w:ind w:left="460" w:hanging="425"/>
              <w:rPr>
                <w:rFonts w:cs="Times New Roman"/>
              </w:rPr>
            </w:pPr>
            <w:r w:rsidRPr="00D95127">
              <w:rPr>
                <w:rFonts w:cs="Times New Roman"/>
              </w:rPr>
              <w:t xml:space="preserve">O1: </w:t>
            </w:r>
            <w:r w:rsidR="00A16DDB" w:rsidRPr="00D95127">
              <w:rPr>
                <w:rFonts w:cs="Times New Roman"/>
              </w:rPr>
              <w:t>Růst poptávky po produktech s vyšší přidanou hodnotou a kvalitou, včetně produktů ekologického a integrovaného pěstování, a po širším sortimentu výrobků a polotovarů – příležitosti pro zpracování v podnicích.</w:t>
            </w:r>
          </w:p>
          <w:p w14:paraId="24C0A9A3" w14:textId="4CE4B2A1" w:rsidR="00A16DDB" w:rsidRPr="00D95127" w:rsidRDefault="006C4C29" w:rsidP="006C4C29">
            <w:pPr>
              <w:pStyle w:val="UZEIOdrky"/>
              <w:ind w:left="460" w:hanging="425"/>
              <w:rPr>
                <w:rFonts w:cs="Times New Roman"/>
              </w:rPr>
            </w:pPr>
            <w:r w:rsidRPr="00D95127">
              <w:rPr>
                <w:rFonts w:cs="Times New Roman"/>
              </w:rPr>
              <w:t xml:space="preserve">O2: </w:t>
            </w:r>
            <w:r w:rsidR="00A16DDB" w:rsidRPr="00D95127">
              <w:rPr>
                <w:rFonts w:cs="Times New Roman"/>
              </w:rPr>
              <w:t xml:space="preserve">Růst poptávky i zlepšením výchovy a informovanosti dětí a mládeže ke spotřebě ovoce. </w:t>
            </w:r>
          </w:p>
          <w:p w14:paraId="0E38980D" w14:textId="29E1720E" w:rsidR="00A16DDB" w:rsidRPr="00D95127" w:rsidRDefault="006C4C29" w:rsidP="006C4C29">
            <w:pPr>
              <w:pStyle w:val="UZEIOdrky"/>
              <w:ind w:left="460" w:hanging="425"/>
              <w:rPr>
                <w:rFonts w:cs="Times New Roman"/>
              </w:rPr>
            </w:pPr>
            <w:r w:rsidRPr="00D95127">
              <w:rPr>
                <w:rFonts w:cs="Times New Roman"/>
              </w:rPr>
              <w:t xml:space="preserve">O3: </w:t>
            </w:r>
            <w:r w:rsidR="00A16DDB" w:rsidRPr="00D95127">
              <w:rPr>
                <w:rFonts w:cs="Times New Roman"/>
              </w:rPr>
              <w:t>Zdokonalování systému pěstování ekologické produkce</w:t>
            </w:r>
          </w:p>
          <w:p w14:paraId="2C2DE94A" w14:textId="4805790A" w:rsidR="00A16DDB" w:rsidRPr="00D95127" w:rsidRDefault="006C4C29" w:rsidP="006C4C29">
            <w:pPr>
              <w:pStyle w:val="UZEIOdrky"/>
              <w:ind w:left="460" w:hanging="425"/>
              <w:rPr>
                <w:rFonts w:cs="Times New Roman"/>
              </w:rPr>
            </w:pPr>
            <w:r w:rsidRPr="00D95127">
              <w:rPr>
                <w:rFonts w:cs="Times New Roman"/>
              </w:rPr>
              <w:t xml:space="preserve">O4: </w:t>
            </w:r>
            <w:r w:rsidR="00A16DDB" w:rsidRPr="00D95127">
              <w:rPr>
                <w:rFonts w:cs="Times New Roman"/>
              </w:rPr>
              <w:t>Zvýšení efektivnosti produkce lepším managementem a využíváním výsledků výzkumu</w:t>
            </w:r>
          </w:p>
          <w:p w14:paraId="785B890E" w14:textId="578F0F3A" w:rsidR="00A16DDB" w:rsidRPr="00D95127" w:rsidRDefault="006C4C29" w:rsidP="006C4C29">
            <w:pPr>
              <w:pStyle w:val="UZEIOdrky"/>
              <w:ind w:left="460" w:hanging="425"/>
              <w:rPr>
                <w:rFonts w:cs="Times New Roman"/>
              </w:rPr>
            </w:pPr>
            <w:r w:rsidRPr="00D95127">
              <w:rPr>
                <w:rFonts w:cs="Times New Roman"/>
              </w:rPr>
              <w:t xml:space="preserve">O5: </w:t>
            </w:r>
            <w:r w:rsidR="00A16DDB" w:rsidRPr="00D95127">
              <w:rPr>
                <w:rFonts w:cs="Times New Roman"/>
              </w:rPr>
              <w:t>Vysoký podíl certifikované produkce (SISPO, GLOBALGAP a další) bez propagace mezi spotřebiteli</w:t>
            </w:r>
          </w:p>
        </w:tc>
        <w:tc>
          <w:tcPr>
            <w:tcW w:w="4606" w:type="dxa"/>
            <w:shd w:val="clear" w:color="auto" w:fill="auto"/>
          </w:tcPr>
          <w:p w14:paraId="6AA5E1BC" w14:textId="72942006" w:rsidR="00A16DDB" w:rsidRPr="00D95127" w:rsidRDefault="006C4C29" w:rsidP="006C4C29">
            <w:pPr>
              <w:pStyle w:val="UZEIOdrky"/>
              <w:ind w:left="460" w:hanging="425"/>
              <w:rPr>
                <w:rFonts w:cs="Times New Roman"/>
              </w:rPr>
            </w:pPr>
            <w:r w:rsidRPr="00D95127">
              <w:rPr>
                <w:rFonts w:cs="Times New Roman"/>
              </w:rPr>
              <w:t xml:space="preserve">T1: </w:t>
            </w:r>
            <w:r w:rsidR="00A16DDB" w:rsidRPr="00D95127">
              <w:rPr>
                <w:rFonts w:cs="Times New Roman"/>
              </w:rPr>
              <w:t>Vyšší rizikovost ovocnářství z důvodu výkyvů počasí.</w:t>
            </w:r>
          </w:p>
          <w:p w14:paraId="78D1C8AD" w14:textId="257E56C3" w:rsidR="00A16DDB" w:rsidRPr="00D95127" w:rsidRDefault="006C4C29" w:rsidP="006C4C29">
            <w:pPr>
              <w:pStyle w:val="UZEIOdrky"/>
              <w:ind w:left="460" w:hanging="425"/>
              <w:rPr>
                <w:rFonts w:cs="Times New Roman"/>
              </w:rPr>
            </w:pPr>
            <w:r w:rsidRPr="00D95127">
              <w:rPr>
                <w:rFonts w:cs="Times New Roman"/>
              </w:rPr>
              <w:t xml:space="preserve">T2: </w:t>
            </w:r>
            <w:r w:rsidR="00A16DDB" w:rsidRPr="00D95127">
              <w:rPr>
                <w:rFonts w:cs="Times New Roman"/>
              </w:rPr>
              <w:t>Investiční náročnost technického vybavení sadů.</w:t>
            </w:r>
          </w:p>
          <w:p w14:paraId="230C9DD2" w14:textId="651815ED" w:rsidR="00A16DDB" w:rsidRPr="00D95127" w:rsidRDefault="006C4C29" w:rsidP="006C4C29">
            <w:pPr>
              <w:pStyle w:val="UZEIOdrky"/>
              <w:ind w:left="460" w:hanging="425"/>
              <w:rPr>
                <w:rFonts w:cs="Times New Roman"/>
              </w:rPr>
            </w:pPr>
            <w:r w:rsidRPr="00D95127">
              <w:rPr>
                <w:rFonts w:cs="Times New Roman"/>
              </w:rPr>
              <w:t xml:space="preserve">T3: </w:t>
            </w:r>
            <w:r w:rsidR="00A16DDB" w:rsidRPr="00D95127">
              <w:rPr>
                <w:rFonts w:cs="Times New Roman"/>
              </w:rPr>
              <w:t>Nedostatek vody na zavlažování v některých produkčních oblastech (např. jižní Morava).</w:t>
            </w:r>
          </w:p>
          <w:p w14:paraId="360F3644" w14:textId="1009AB0C" w:rsidR="00A16DDB" w:rsidRPr="00D95127" w:rsidRDefault="006C4C29" w:rsidP="006C4C29">
            <w:pPr>
              <w:pStyle w:val="UZEIOdrky"/>
              <w:ind w:left="460" w:hanging="425"/>
              <w:rPr>
                <w:rFonts w:cs="Times New Roman"/>
              </w:rPr>
            </w:pPr>
            <w:r w:rsidRPr="00D95127">
              <w:rPr>
                <w:rFonts w:cs="Times New Roman"/>
              </w:rPr>
              <w:t xml:space="preserve">T4: </w:t>
            </w:r>
            <w:r w:rsidR="00A16DDB" w:rsidRPr="00D95127">
              <w:rPr>
                <w:rFonts w:cs="Times New Roman"/>
              </w:rPr>
              <w:t>Růst dovozů zpracovaných výrobků při nedostatečné domácí zpracovatelské kapacitě.</w:t>
            </w:r>
          </w:p>
          <w:p w14:paraId="00A1924B" w14:textId="24F66FFA" w:rsidR="00A16DDB" w:rsidRPr="00D95127" w:rsidRDefault="006C4C29" w:rsidP="006C4C29">
            <w:pPr>
              <w:pStyle w:val="UZEIOdrky"/>
              <w:ind w:left="460" w:hanging="425"/>
              <w:rPr>
                <w:rFonts w:cs="Times New Roman"/>
              </w:rPr>
            </w:pPr>
            <w:r w:rsidRPr="00D95127">
              <w:rPr>
                <w:rFonts w:cs="Times New Roman"/>
              </w:rPr>
              <w:t xml:space="preserve">T5: </w:t>
            </w:r>
            <w:r w:rsidR="00A16DDB" w:rsidRPr="00D95127">
              <w:rPr>
                <w:rFonts w:cs="Times New Roman"/>
              </w:rPr>
              <w:t>Rostoucí ceny práce, půdy, energií a dalších vstupů.</w:t>
            </w:r>
          </w:p>
          <w:p w14:paraId="5175F494" w14:textId="14831BE5" w:rsidR="00A16DDB" w:rsidRPr="00D95127" w:rsidRDefault="006C4C29" w:rsidP="006C4C29">
            <w:pPr>
              <w:pStyle w:val="UZEIOdrky"/>
              <w:ind w:left="460" w:hanging="425"/>
              <w:rPr>
                <w:rFonts w:cs="Times New Roman"/>
              </w:rPr>
            </w:pPr>
            <w:r w:rsidRPr="00D95127">
              <w:rPr>
                <w:rFonts w:cs="Times New Roman"/>
              </w:rPr>
              <w:t xml:space="preserve">T6: </w:t>
            </w:r>
            <w:r w:rsidR="00A16DDB" w:rsidRPr="00D95127">
              <w:rPr>
                <w:rFonts w:cs="Times New Roman"/>
              </w:rPr>
              <w:t>Vyšší rizika výskytu nových škůdců a původců chorob rostlin v důsledku změny klimatu.</w:t>
            </w:r>
          </w:p>
          <w:p w14:paraId="3534A77C" w14:textId="3FBF3457" w:rsidR="00A16DDB" w:rsidRPr="00D95127" w:rsidRDefault="006C4C29" w:rsidP="006C4C29">
            <w:pPr>
              <w:pStyle w:val="UZEIOdrky"/>
              <w:ind w:left="460" w:hanging="425"/>
              <w:rPr>
                <w:rFonts w:cs="Times New Roman"/>
              </w:rPr>
            </w:pPr>
            <w:r w:rsidRPr="00D95127">
              <w:rPr>
                <w:rFonts w:cs="Times New Roman"/>
              </w:rPr>
              <w:t xml:space="preserve">T7: </w:t>
            </w:r>
            <w:r w:rsidR="00A16DDB" w:rsidRPr="00D95127">
              <w:rPr>
                <w:rFonts w:cs="Times New Roman"/>
              </w:rPr>
              <w:t>Zabahněné vodní toky mají výrazně sníženou kapacitu pro zadržení závlahové vody v krajině</w:t>
            </w:r>
          </w:p>
          <w:p w14:paraId="400A1D8F" w14:textId="01ED3400" w:rsidR="00A16DDB" w:rsidRPr="00D95127" w:rsidRDefault="006C4C29" w:rsidP="006C4C29">
            <w:pPr>
              <w:pStyle w:val="UZEIOdrky"/>
              <w:ind w:left="460" w:hanging="425"/>
              <w:rPr>
                <w:rFonts w:cs="Times New Roman"/>
              </w:rPr>
            </w:pPr>
            <w:r w:rsidRPr="00D95127">
              <w:rPr>
                <w:rFonts w:cs="Times New Roman"/>
              </w:rPr>
              <w:t xml:space="preserve">T8: </w:t>
            </w:r>
            <w:r w:rsidR="00A16DDB" w:rsidRPr="00D95127">
              <w:rPr>
                <w:rFonts w:cs="Times New Roman"/>
              </w:rPr>
              <w:t>Rostoucí konkurence z jižní polokoule</w:t>
            </w:r>
          </w:p>
          <w:p w14:paraId="5F1CC4CC" w14:textId="17732F1D" w:rsidR="00A16DDB" w:rsidRPr="00D95127" w:rsidRDefault="006C4C29" w:rsidP="006C4C29">
            <w:pPr>
              <w:pStyle w:val="UZEIOdrky"/>
              <w:ind w:left="460" w:hanging="425"/>
              <w:rPr>
                <w:rFonts w:cs="Times New Roman"/>
              </w:rPr>
            </w:pPr>
            <w:r w:rsidRPr="00D95127">
              <w:rPr>
                <w:rFonts w:cs="Times New Roman"/>
              </w:rPr>
              <w:t xml:space="preserve">T9: </w:t>
            </w:r>
            <w:r w:rsidR="00A16DDB" w:rsidRPr="00D95127">
              <w:rPr>
                <w:rFonts w:cs="Times New Roman"/>
              </w:rPr>
              <w:t>Silná koncentrace maloobchodního trhu</w:t>
            </w:r>
          </w:p>
        </w:tc>
      </w:tr>
    </w:tbl>
    <w:p w14:paraId="164D6EF9" w14:textId="77777777" w:rsidR="00A16DDB" w:rsidRPr="00D95127" w:rsidRDefault="00A16DDB" w:rsidP="00A16DDB">
      <w:pPr>
        <w:rPr>
          <w:rStyle w:val="Odkazintenzivn"/>
          <w:rFonts w:cs="Times New Roman"/>
          <w:szCs w:val="24"/>
          <w:lang w:val="cs-CZ"/>
        </w:rPr>
      </w:pPr>
    </w:p>
    <w:p w14:paraId="33A6FF2E" w14:textId="65415C87" w:rsidR="00A16DDB" w:rsidRPr="00D95127" w:rsidRDefault="006C4C29" w:rsidP="006C4C29">
      <w:pPr>
        <w:pStyle w:val="UZEINormaln"/>
        <w:rPr>
          <w:rStyle w:val="Odkazintenzivn"/>
          <w:rFonts w:cs="Times New Roman"/>
          <w:color w:val="auto"/>
        </w:rPr>
      </w:pPr>
      <w:r w:rsidRPr="00D95127">
        <w:rPr>
          <w:rStyle w:val="Odkazintenzivn"/>
          <w:rFonts w:cs="Times New Roman"/>
          <w:color w:val="auto"/>
        </w:rPr>
        <w:t>ZELENINA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26"/>
        <w:gridCol w:w="4536"/>
      </w:tblGrid>
      <w:tr w:rsidR="00A16DDB" w:rsidRPr="00D95127" w14:paraId="668DC376" w14:textId="77777777" w:rsidTr="007A627A">
        <w:tc>
          <w:tcPr>
            <w:tcW w:w="4606" w:type="dxa"/>
            <w:shd w:val="clear" w:color="auto" w:fill="auto"/>
          </w:tcPr>
          <w:p w14:paraId="28984E72" w14:textId="77777777" w:rsidR="00A16DDB" w:rsidRPr="00D95127" w:rsidRDefault="00A16DDB" w:rsidP="007A627A">
            <w:pPr>
              <w:spacing w:before="60" w:after="60"/>
              <w:jc w:val="center"/>
              <w:rPr>
                <w:rFonts w:cs="Times New Roman"/>
                <w:b/>
                <w:szCs w:val="24"/>
                <w:lang w:val="cs-CZ"/>
              </w:rPr>
            </w:pPr>
            <w:r w:rsidRPr="00D95127">
              <w:rPr>
                <w:rFonts w:cs="Times New Roman"/>
                <w:b/>
                <w:szCs w:val="24"/>
                <w:lang w:val="cs-CZ"/>
              </w:rPr>
              <w:t>Silné stránky</w:t>
            </w:r>
          </w:p>
        </w:tc>
        <w:tc>
          <w:tcPr>
            <w:tcW w:w="4606" w:type="dxa"/>
            <w:shd w:val="clear" w:color="auto" w:fill="auto"/>
          </w:tcPr>
          <w:p w14:paraId="760630DF" w14:textId="77777777" w:rsidR="00A16DDB" w:rsidRPr="00D95127" w:rsidRDefault="00A16DDB" w:rsidP="007A627A">
            <w:pPr>
              <w:spacing w:before="60" w:after="60"/>
              <w:jc w:val="center"/>
              <w:rPr>
                <w:rFonts w:cs="Times New Roman"/>
                <w:b/>
                <w:szCs w:val="24"/>
                <w:lang w:val="cs-CZ"/>
              </w:rPr>
            </w:pPr>
            <w:r w:rsidRPr="00D95127">
              <w:rPr>
                <w:rFonts w:cs="Times New Roman"/>
                <w:b/>
                <w:szCs w:val="24"/>
                <w:lang w:val="cs-CZ"/>
              </w:rPr>
              <w:t>Slabé stránky</w:t>
            </w:r>
          </w:p>
        </w:tc>
      </w:tr>
      <w:tr w:rsidR="00A16DDB" w:rsidRPr="00D95127" w14:paraId="14FE54FF" w14:textId="77777777" w:rsidTr="007A627A">
        <w:tc>
          <w:tcPr>
            <w:tcW w:w="4606" w:type="dxa"/>
            <w:shd w:val="clear" w:color="auto" w:fill="auto"/>
          </w:tcPr>
          <w:p w14:paraId="679067CC" w14:textId="29EA2553" w:rsidR="00A16DDB" w:rsidRPr="00D95127" w:rsidRDefault="006C4C29" w:rsidP="006C4C29">
            <w:pPr>
              <w:pStyle w:val="UZEIOdrky"/>
              <w:ind w:left="460" w:hanging="425"/>
              <w:rPr>
                <w:rFonts w:cs="Times New Roman"/>
              </w:rPr>
            </w:pPr>
            <w:r w:rsidRPr="00D95127">
              <w:rPr>
                <w:rFonts w:cs="Times New Roman"/>
              </w:rPr>
              <w:t xml:space="preserve">S1: </w:t>
            </w:r>
            <w:r w:rsidR="00A16DDB" w:rsidRPr="00D95127">
              <w:rPr>
                <w:rFonts w:cs="Times New Roman"/>
              </w:rPr>
              <w:t>Regionálně vhodné klimatické podmínky pro pěstování zeleniny (zejména zeleniny plodové, cibulové, košťálové, kořenové a listové).</w:t>
            </w:r>
          </w:p>
          <w:p w14:paraId="29EAE676" w14:textId="45041DE6" w:rsidR="00A16DDB" w:rsidRPr="00D95127" w:rsidRDefault="006C4C29" w:rsidP="006C4C29">
            <w:pPr>
              <w:pStyle w:val="UZEIOdrky"/>
              <w:ind w:left="460" w:hanging="425"/>
              <w:rPr>
                <w:rFonts w:cs="Times New Roman"/>
              </w:rPr>
            </w:pPr>
            <w:r w:rsidRPr="00D95127">
              <w:rPr>
                <w:rFonts w:cs="Times New Roman"/>
              </w:rPr>
              <w:t xml:space="preserve">S2: </w:t>
            </w:r>
            <w:r w:rsidR="00A16DDB" w:rsidRPr="00D95127">
              <w:rPr>
                <w:rFonts w:cs="Times New Roman"/>
              </w:rPr>
              <w:t>Zájem domácích spotřebitelů o tuzemskou produkci a produkci s vyšší přidanou hodnotou.</w:t>
            </w:r>
          </w:p>
          <w:p w14:paraId="3397FF2E" w14:textId="17E95D03" w:rsidR="00A16DDB" w:rsidRPr="00D95127" w:rsidRDefault="006C4C29" w:rsidP="006C4C29">
            <w:pPr>
              <w:pStyle w:val="UZEIOdrky"/>
              <w:ind w:left="460" w:hanging="425"/>
              <w:rPr>
                <w:rFonts w:cs="Times New Roman"/>
              </w:rPr>
            </w:pPr>
            <w:r w:rsidRPr="00D95127">
              <w:rPr>
                <w:rFonts w:cs="Times New Roman"/>
              </w:rPr>
              <w:t xml:space="preserve">S3: </w:t>
            </w:r>
            <w:r w:rsidR="00A16DDB" w:rsidRPr="00D95127">
              <w:rPr>
                <w:rFonts w:cs="Times New Roman"/>
              </w:rPr>
              <w:t>Funkční odbytové organizace pěstitelů (vznik nových, posílení vyjednávací síly prvovýrobců, zajištění odbytu včetně proniknutí do sítě obchodních řetězců).</w:t>
            </w:r>
          </w:p>
          <w:p w14:paraId="69255808" w14:textId="2CB35DA9" w:rsidR="00A16DDB" w:rsidRPr="00D95127" w:rsidRDefault="006C4C29" w:rsidP="006C4C29">
            <w:pPr>
              <w:pStyle w:val="UZEIOdrky"/>
              <w:ind w:left="460" w:hanging="425"/>
              <w:rPr>
                <w:rFonts w:cs="Times New Roman"/>
              </w:rPr>
            </w:pPr>
            <w:r w:rsidRPr="00D95127">
              <w:rPr>
                <w:rFonts w:cs="Times New Roman"/>
              </w:rPr>
              <w:t xml:space="preserve">S4: </w:t>
            </w:r>
            <w:r w:rsidR="00A16DDB" w:rsidRPr="00D95127">
              <w:rPr>
                <w:rFonts w:cs="Times New Roman"/>
              </w:rPr>
              <w:t>Vysoký podíl produkce v integrovaných systémech pěstování.</w:t>
            </w:r>
          </w:p>
          <w:p w14:paraId="58AF2051" w14:textId="2A9DC56D" w:rsidR="00A16DDB" w:rsidRPr="00D95127" w:rsidRDefault="006C4C29" w:rsidP="006C4C29">
            <w:pPr>
              <w:pStyle w:val="UZEIOdrky"/>
              <w:ind w:left="460" w:hanging="425"/>
              <w:rPr>
                <w:rFonts w:cs="Times New Roman"/>
              </w:rPr>
            </w:pPr>
            <w:r w:rsidRPr="00D95127">
              <w:rPr>
                <w:rFonts w:cs="Times New Roman"/>
              </w:rPr>
              <w:t xml:space="preserve">S5: </w:t>
            </w:r>
            <w:r w:rsidR="00A16DDB" w:rsidRPr="00D95127">
              <w:rPr>
                <w:rFonts w:cs="Times New Roman"/>
              </w:rPr>
              <w:t>Příspěvek k zaměstnanosti venkova a k udržování krajinného rázu regionů.</w:t>
            </w:r>
          </w:p>
          <w:p w14:paraId="5177B577" w14:textId="2E38090B" w:rsidR="00A16DDB" w:rsidRPr="00D95127" w:rsidRDefault="006C4C29" w:rsidP="006C4C29">
            <w:pPr>
              <w:pStyle w:val="UZEIOdrky"/>
              <w:ind w:left="460" w:hanging="425"/>
              <w:rPr>
                <w:rFonts w:cs="Times New Roman"/>
              </w:rPr>
            </w:pPr>
            <w:r w:rsidRPr="00D95127">
              <w:rPr>
                <w:rFonts w:cs="Times New Roman"/>
              </w:rPr>
              <w:lastRenderedPageBreak/>
              <w:t xml:space="preserve">S6: </w:t>
            </w:r>
            <w:r w:rsidR="00A16DDB" w:rsidRPr="00D95127">
              <w:rPr>
                <w:rFonts w:cs="Times New Roman"/>
              </w:rPr>
              <w:t>Další podpora ekologického a integrovaného pěstování s přísnějšími podmínkami jejich poskytování.</w:t>
            </w:r>
          </w:p>
          <w:p w14:paraId="78798199" w14:textId="07FA3464" w:rsidR="00A16DDB" w:rsidRPr="00D95127" w:rsidRDefault="006C4C29" w:rsidP="006C4C29">
            <w:pPr>
              <w:pStyle w:val="UZEIOdrky"/>
              <w:ind w:left="460" w:hanging="425"/>
              <w:rPr>
                <w:rFonts w:cs="Times New Roman"/>
              </w:rPr>
            </w:pPr>
            <w:r w:rsidRPr="00D95127">
              <w:rPr>
                <w:rFonts w:cs="Times New Roman"/>
              </w:rPr>
              <w:t xml:space="preserve">S7: </w:t>
            </w:r>
            <w:r w:rsidR="00A16DDB" w:rsidRPr="00D95127">
              <w:rPr>
                <w:rFonts w:cs="Times New Roman"/>
              </w:rPr>
              <w:t>Využití specifických podpor a různých podporovaných forem „krátkých řetězců“ a organizací výrobců pro zlepšení tržních podmínek ve vertikále.</w:t>
            </w:r>
          </w:p>
        </w:tc>
        <w:tc>
          <w:tcPr>
            <w:tcW w:w="4606" w:type="dxa"/>
            <w:shd w:val="clear" w:color="auto" w:fill="auto"/>
          </w:tcPr>
          <w:p w14:paraId="686DD5F2" w14:textId="175BF7A2" w:rsidR="00A16DDB" w:rsidRPr="00D95127" w:rsidRDefault="006C4C29" w:rsidP="006C4C29">
            <w:pPr>
              <w:pStyle w:val="UZEIOdrky"/>
              <w:ind w:left="460" w:hanging="425"/>
              <w:rPr>
                <w:rFonts w:cs="Times New Roman"/>
              </w:rPr>
            </w:pPr>
            <w:r w:rsidRPr="00D95127">
              <w:rPr>
                <w:rFonts w:cs="Times New Roman"/>
              </w:rPr>
              <w:lastRenderedPageBreak/>
              <w:t xml:space="preserve">W1: </w:t>
            </w:r>
            <w:r w:rsidR="00A16DDB" w:rsidRPr="00D95127">
              <w:rPr>
                <w:rFonts w:cs="Times New Roman"/>
              </w:rPr>
              <w:t>Souhrnná rentabilita pěstování zeleniny je kladná jen u nejlepších podniků.</w:t>
            </w:r>
          </w:p>
          <w:p w14:paraId="58B59F6C" w14:textId="332741F3" w:rsidR="00A16DDB" w:rsidRPr="00D95127" w:rsidRDefault="006C4C29" w:rsidP="006C4C29">
            <w:pPr>
              <w:pStyle w:val="UZEIOdrky"/>
              <w:ind w:left="460" w:hanging="425"/>
              <w:rPr>
                <w:rFonts w:cs="Times New Roman"/>
              </w:rPr>
            </w:pPr>
            <w:r w:rsidRPr="00D95127">
              <w:rPr>
                <w:rFonts w:cs="Times New Roman"/>
              </w:rPr>
              <w:t xml:space="preserve">W2: </w:t>
            </w:r>
            <w:r w:rsidR="00A16DDB" w:rsidRPr="00D95127">
              <w:rPr>
                <w:rFonts w:cs="Times New Roman"/>
              </w:rPr>
              <w:t>Nedostatek vlastních zdrojů na investice.</w:t>
            </w:r>
          </w:p>
          <w:p w14:paraId="4AB1CB66" w14:textId="073628A8" w:rsidR="00A16DDB" w:rsidRPr="00D95127" w:rsidRDefault="006C4C29" w:rsidP="006C4C29">
            <w:pPr>
              <w:pStyle w:val="UZEIOdrky"/>
              <w:ind w:left="460" w:hanging="425"/>
              <w:rPr>
                <w:rFonts w:cs="Times New Roman"/>
              </w:rPr>
            </w:pPr>
            <w:r w:rsidRPr="00D95127">
              <w:rPr>
                <w:rFonts w:cs="Times New Roman"/>
              </w:rPr>
              <w:t xml:space="preserve">W3: </w:t>
            </w:r>
            <w:r w:rsidR="00A16DDB" w:rsidRPr="00D95127">
              <w:rPr>
                <w:rFonts w:cs="Times New Roman"/>
              </w:rPr>
              <w:t>Nevhodný poměr mezi produkcí konzumní zeleniny a produkcí na zpracování, snižující celkové příjmy za produkci.</w:t>
            </w:r>
          </w:p>
          <w:p w14:paraId="21D4E7BE" w14:textId="0F1F2B2D" w:rsidR="00A16DDB" w:rsidRPr="00D95127" w:rsidRDefault="006C4C29" w:rsidP="006C4C29">
            <w:pPr>
              <w:pStyle w:val="UZEIOdrky"/>
              <w:ind w:left="460" w:hanging="425"/>
              <w:rPr>
                <w:rFonts w:cs="Times New Roman"/>
              </w:rPr>
            </w:pPr>
            <w:r w:rsidRPr="00D95127">
              <w:rPr>
                <w:rFonts w:cs="Times New Roman"/>
              </w:rPr>
              <w:t xml:space="preserve">W4: </w:t>
            </w:r>
            <w:r w:rsidR="00A16DDB" w:rsidRPr="00D95127">
              <w:rPr>
                <w:rFonts w:cs="Times New Roman"/>
              </w:rPr>
              <w:t>Menší podíl podniků se zpracováním suroviny.</w:t>
            </w:r>
          </w:p>
          <w:p w14:paraId="7FCB15C6" w14:textId="61FD5112" w:rsidR="00A16DDB" w:rsidRPr="00D95127" w:rsidRDefault="006C4C29" w:rsidP="006C4C29">
            <w:pPr>
              <w:pStyle w:val="UZEIOdrky"/>
              <w:ind w:left="460" w:hanging="425"/>
              <w:rPr>
                <w:rFonts w:cs="Times New Roman"/>
              </w:rPr>
            </w:pPr>
            <w:r w:rsidRPr="00D95127">
              <w:rPr>
                <w:rFonts w:cs="Times New Roman"/>
              </w:rPr>
              <w:t xml:space="preserve">W5: </w:t>
            </w:r>
            <w:r w:rsidR="00A16DDB" w:rsidRPr="00D95127">
              <w:rPr>
                <w:rFonts w:cs="Times New Roman"/>
              </w:rPr>
              <w:t>Nízká úroveň vertikální integrace v odvětví zpracování zeleniny, kdy prvovýrobci se vlastnicky nepodílejí na zpracovatelském průmyslu.</w:t>
            </w:r>
          </w:p>
          <w:p w14:paraId="2D0F3E26" w14:textId="391F2023" w:rsidR="00A16DDB" w:rsidRPr="00D95127" w:rsidRDefault="006C4C29" w:rsidP="006C4C29">
            <w:pPr>
              <w:pStyle w:val="UZEIOdrky"/>
              <w:ind w:left="460" w:hanging="425"/>
              <w:rPr>
                <w:rFonts w:cs="Times New Roman"/>
              </w:rPr>
            </w:pPr>
            <w:r w:rsidRPr="00D95127">
              <w:rPr>
                <w:rFonts w:cs="Times New Roman"/>
              </w:rPr>
              <w:t xml:space="preserve">W6: </w:t>
            </w:r>
            <w:r w:rsidR="00A16DDB" w:rsidRPr="00D95127">
              <w:rPr>
                <w:rFonts w:cs="Times New Roman"/>
              </w:rPr>
              <w:t>Nedostatek „levných“ pracovních sil na sezónní práce.</w:t>
            </w:r>
          </w:p>
          <w:p w14:paraId="3CCFFCF7" w14:textId="179863BC" w:rsidR="00A16DDB" w:rsidRPr="00D95127" w:rsidRDefault="006C4C29" w:rsidP="006C4C29">
            <w:pPr>
              <w:pStyle w:val="UZEIOdrky"/>
              <w:ind w:left="460" w:hanging="425"/>
              <w:rPr>
                <w:rFonts w:cs="Times New Roman"/>
              </w:rPr>
            </w:pPr>
            <w:r w:rsidRPr="00D95127">
              <w:rPr>
                <w:rFonts w:cs="Times New Roman"/>
              </w:rPr>
              <w:lastRenderedPageBreak/>
              <w:t xml:space="preserve">W7: </w:t>
            </w:r>
            <w:r w:rsidR="00A16DDB" w:rsidRPr="00D95127">
              <w:rPr>
                <w:rFonts w:cs="Times New Roman"/>
              </w:rPr>
              <w:t>Pomalá obnova a rekonstrukce závlahových soustav.</w:t>
            </w:r>
          </w:p>
          <w:p w14:paraId="12285C4F" w14:textId="5FE57C3B" w:rsidR="00A16DDB" w:rsidRPr="00D95127" w:rsidRDefault="006C4C29" w:rsidP="006C4C29">
            <w:pPr>
              <w:pStyle w:val="UZEIOdrky"/>
              <w:ind w:left="460" w:hanging="425"/>
              <w:rPr>
                <w:rFonts w:cs="Times New Roman"/>
              </w:rPr>
            </w:pPr>
            <w:r w:rsidRPr="00D95127">
              <w:rPr>
                <w:rFonts w:cs="Times New Roman"/>
              </w:rPr>
              <w:t xml:space="preserve">W8: </w:t>
            </w:r>
            <w:r w:rsidR="00A16DDB" w:rsidRPr="00D95127">
              <w:rPr>
                <w:rFonts w:cs="Times New Roman"/>
              </w:rPr>
              <w:t>Nedostatečná vědeckovýzkumná základna, absence vědeckého ústavu.</w:t>
            </w:r>
          </w:p>
          <w:p w14:paraId="316A0E9A" w14:textId="33829230" w:rsidR="00A16DDB" w:rsidRPr="00D95127" w:rsidRDefault="006C4C29" w:rsidP="006C4C29">
            <w:pPr>
              <w:pStyle w:val="UZEIOdrky"/>
              <w:ind w:left="460" w:hanging="425"/>
              <w:rPr>
                <w:rFonts w:cs="Times New Roman"/>
              </w:rPr>
            </w:pPr>
            <w:r w:rsidRPr="00D95127">
              <w:rPr>
                <w:rFonts w:cs="Times New Roman"/>
              </w:rPr>
              <w:t xml:space="preserve">W9: </w:t>
            </w:r>
            <w:r w:rsidR="00A16DDB" w:rsidRPr="00D95127">
              <w:rPr>
                <w:rFonts w:cs="Times New Roman"/>
              </w:rPr>
              <w:t>Tlak na ceny tuzemských pěstitelů vlivem dovozu.</w:t>
            </w:r>
          </w:p>
          <w:p w14:paraId="4CBF03DC" w14:textId="4987262E" w:rsidR="00A16DDB" w:rsidRPr="00D95127" w:rsidRDefault="006C4C29" w:rsidP="006C4C29">
            <w:pPr>
              <w:pStyle w:val="UZEIOdrky"/>
              <w:ind w:left="460" w:hanging="425"/>
              <w:rPr>
                <w:rFonts w:cs="Times New Roman"/>
              </w:rPr>
            </w:pPr>
            <w:r w:rsidRPr="00D95127">
              <w:rPr>
                <w:rFonts w:cs="Times New Roman"/>
              </w:rPr>
              <w:t xml:space="preserve">W10: </w:t>
            </w:r>
            <w:r w:rsidR="00A16DDB" w:rsidRPr="00D95127">
              <w:rPr>
                <w:rFonts w:cs="Times New Roman"/>
              </w:rPr>
              <w:t>Nedostatečná konzumace ovoce a zeleniny dle zdravotnických doporučení.</w:t>
            </w:r>
          </w:p>
          <w:p w14:paraId="5703E790" w14:textId="3A17E9B7" w:rsidR="00A16DDB" w:rsidRPr="00D95127" w:rsidRDefault="006C4C29" w:rsidP="006C4C29">
            <w:pPr>
              <w:pStyle w:val="UZEIOdrky"/>
              <w:ind w:left="460" w:hanging="425"/>
              <w:rPr>
                <w:rFonts w:cs="Times New Roman"/>
              </w:rPr>
            </w:pPr>
            <w:r w:rsidRPr="00D95127">
              <w:rPr>
                <w:rFonts w:cs="Times New Roman"/>
              </w:rPr>
              <w:t xml:space="preserve">W11: </w:t>
            </w:r>
            <w:r w:rsidR="00A16DDB" w:rsidRPr="00D95127">
              <w:rPr>
                <w:rFonts w:cs="Times New Roman"/>
              </w:rPr>
              <w:t>Nízká úroveň zapojení do národních a evropských značek kvality.</w:t>
            </w:r>
          </w:p>
          <w:p w14:paraId="4BD75495" w14:textId="14F3D359" w:rsidR="00A16DDB" w:rsidRPr="00D95127" w:rsidRDefault="006C4C29" w:rsidP="006C4C29">
            <w:pPr>
              <w:pStyle w:val="UZEIOdrky"/>
              <w:ind w:left="460" w:hanging="425"/>
              <w:rPr>
                <w:rFonts w:cs="Times New Roman"/>
              </w:rPr>
            </w:pPr>
            <w:r w:rsidRPr="00D95127">
              <w:rPr>
                <w:rFonts w:cs="Times New Roman"/>
              </w:rPr>
              <w:t xml:space="preserve">W12: </w:t>
            </w:r>
            <w:r w:rsidR="00A16DDB" w:rsidRPr="00D95127">
              <w:rPr>
                <w:rFonts w:cs="Times New Roman"/>
              </w:rPr>
              <w:t>Nedostatečná propagace tuzemské produkce/produkce s vyšší přidanou hodnotou.</w:t>
            </w:r>
          </w:p>
          <w:p w14:paraId="1ED4A6BB" w14:textId="57C1A0AA" w:rsidR="00A16DDB" w:rsidRPr="00D95127" w:rsidRDefault="006C4C29" w:rsidP="006C4C29">
            <w:pPr>
              <w:pStyle w:val="UZEIOdrky"/>
              <w:ind w:left="460" w:hanging="425"/>
              <w:rPr>
                <w:rFonts w:cs="Times New Roman"/>
              </w:rPr>
            </w:pPr>
            <w:r w:rsidRPr="00D95127">
              <w:rPr>
                <w:rFonts w:cs="Times New Roman"/>
              </w:rPr>
              <w:t xml:space="preserve">W13: </w:t>
            </w:r>
            <w:r w:rsidR="00A16DDB" w:rsidRPr="00D95127">
              <w:rPr>
                <w:rFonts w:cs="Times New Roman"/>
              </w:rPr>
              <w:t>Nedostatečný management řízení rizik (stupeň propojištěnosti)</w:t>
            </w:r>
          </w:p>
          <w:p w14:paraId="5F0D1C2A" w14:textId="7643C474" w:rsidR="00A16DDB" w:rsidRPr="00D95127" w:rsidRDefault="006C4C29" w:rsidP="006C4C29">
            <w:pPr>
              <w:pStyle w:val="UZEIOdrky"/>
              <w:ind w:left="460" w:hanging="425"/>
              <w:rPr>
                <w:rFonts w:cs="Times New Roman"/>
              </w:rPr>
            </w:pPr>
            <w:r w:rsidRPr="00D95127">
              <w:rPr>
                <w:rFonts w:cs="Times New Roman"/>
              </w:rPr>
              <w:t xml:space="preserve">W14: </w:t>
            </w:r>
            <w:r w:rsidR="00A16DDB" w:rsidRPr="00D95127">
              <w:rPr>
                <w:rFonts w:cs="Times New Roman"/>
              </w:rPr>
              <w:t>Nedostatečný transfer poznatků ohledně změny klimatu a environmentálně šetrných postupů.</w:t>
            </w:r>
          </w:p>
        </w:tc>
      </w:tr>
      <w:tr w:rsidR="00A16DDB" w:rsidRPr="00D95127" w14:paraId="1D9BA3B6" w14:textId="77777777" w:rsidTr="007A627A">
        <w:tc>
          <w:tcPr>
            <w:tcW w:w="4606" w:type="dxa"/>
            <w:shd w:val="clear" w:color="auto" w:fill="auto"/>
          </w:tcPr>
          <w:p w14:paraId="7C0F7707" w14:textId="77777777" w:rsidR="00A16DDB" w:rsidRPr="00D95127" w:rsidRDefault="00A16DDB" w:rsidP="007A627A">
            <w:pPr>
              <w:jc w:val="center"/>
              <w:rPr>
                <w:rFonts w:cs="Times New Roman"/>
                <w:b/>
                <w:szCs w:val="24"/>
                <w:lang w:val="cs-CZ"/>
              </w:rPr>
            </w:pPr>
            <w:r w:rsidRPr="00D95127">
              <w:rPr>
                <w:rFonts w:cs="Times New Roman"/>
                <w:b/>
                <w:szCs w:val="24"/>
                <w:lang w:val="cs-CZ"/>
              </w:rPr>
              <w:lastRenderedPageBreak/>
              <w:t>Příležitosti</w:t>
            </w:r>
          </w:p>
        </w:tc>
        <w:tc>
          <w:tcPr>
            <w:tcW w:w="4606" w:type="dxa"/>
            <w:shd w:val="clear" w:color="auto" w:fill="auto"/>
          </w:tcPr>
          <w:p w14:paraId="785630D0" w14:textId="77777777" w:rsidR="00A16DDB" w:rsidRPr="00D95127" w:rsidRDefault="00A16DDB" w:rsidP="007A627A">
            <w:pPr>
              <w:jc w:val="center"/>
              <w:rPr>
                <w:rFonts w:cs="Times New Roman"/>
                <w:b/>
                <w:szCs w:val="24"/>
                <w:lang w:val="cs-CZ"/>
              </w:rPr>
            </w:pPr>
            <w:r w:rsidRPr="00D95127">
              <w:rPr>
                <w:rFonts w:cs="Times New Roman"/>
                <w:b/>
                <w:szCs w:val="24"/>
                <w:lang w:val="cs-CZ"/>
              </w:rPr>
              <w:t>Ohrožení</w:t>
            </w:r>
          </w:p>
        </w:tc>
      </w:tr>
      <w:tr w:rsidR="00A16DDB" w:rsidRPr="00D95127" w14:paraId="45113B93" w14:textId="77777777" w:rsidTr="007A627A">
        <w:tc>
          <w:tcPr>
            <w:tcW w:w="4606" w:type="dxa"/>
            <w:shd w:val="clear" w:color="auto" w:fill="auto"/>
          </w:tcPr>
          <w:p w14:paraId="76E4323D" w14:textId="41A3BC9D" w:rsidR="00A16DDB" w:rsidRPr="00D95127" w:rsidRDefault="006C4C29" w:rsidP="006C4C29">
            <w:pPr>
              <w:pStyle w:val="UZEIOdrky"/>
              <w:ind w:left="460" w:hanging="425"/>
              <w:rPr>
                <w:rFonts w:cs="Times New Roman"/>
              </w:rPr>
            </w:pPr>
            <w:r w:rsidRPr="00D95127">
              <w:rPr>
                <w:rFonts w:cs="Times New Roman"/>
              </w:rPr>
              <w:t xml:space="preserve">O1: </w:t>
            </w:r>
            <w:r w:rsidR="00A16DDB" w:rsidRPr="00D95127">
              <w:rPr>
                <w:rFonts w:cs="Times New Roman"/>
              </w:rPr>
              <w:t>Růst poptávky po produktech s vyšší přidanou hodnotou a kvalitou, včetně produktů ekologického a integrovaného pěstování, a po širším sortimentu výrobků a polotovarů – příležitosti pro zpracování v podnicích.</w:t>
            </w:r>
          </w:p>
          <w:p w14:paraId="2B68460C" w14:textId="5DAFF914" w:rsidR="00A16DDB" w:rsidRPr="00D95127" w:rsidRDefault="006C4C29" w:rsidP="006C4C29">
            <w:pPr>
              <w:pStyle w:val="UZEIOdrky"/>
              <w:ind w:left="460" w:hanging="425"/>
              <w:rPr>
                <w:rFonts w:cs="Times New Roman"/>
              </w:rPr>
            </w:pPr>
            <w:r w:rsidRPr="00D95127">
              <w:rPr>
                <w:rFonts w:cs="Times New Roman"/>
              </w:rPr>
              <w:t xml:space="preserve">O2: </w:t>
            </w:r>
            <w:r w:rsidR="00A16DDB" w:rsidRPr="00D95127">
              <w:rPr>
                <w:rFonts w:cs="Times New Roman"/>
              </w:rPr>
              <w:t xml:space="preserve">Růst poptávky i zlepšením výchovy a informovanosti dětí a mládeže ke spotřebě zeleniny. </w:t>
            </w:r>
          </w:p>
          <w:p w14:paraId="5A5405D0" w14:textId="500BF015" w:rsidR="00A16DDB" w:rsidRPr="00D95127" w:rsidRDefault="006C4C29" w:rsidP="006C4C29">
            <w:pPr>
              <w:pStyle w:val="UZEIOdrky"/>
              <w:ind w:left="460" w:hanging="425"/>
              <w:rPr>
                <w:rFonts w:cs="Times New Roman"/>
              </w:rPr>
            </w:pPr>
            <w:r w:rsidRPr="00D95127">
              <w:rPr>
                <w:rFonts w:cs="Times New Roman"/>
              </w:rPr>
              <w:t xml:space="preserve">O3: </w:t>
            </w:r>
            <w:r w:rsidR="00A16DDB" w:rsidRPr="00D95127">
              <w:rPr>
                <w:rFonts w:cs="Times New Roman"/>
              </w:rPr>
              <w:t>Zdokonalování systému pěstování ekologické produkce</w:t>
            </w:r>
          </w:p>
          <w:p w14:paraId="646FD307" w14:textId="78EC454A" w:rsidR="00A16DDB" w:rsidRPr="00D95127" w:rsidRDefault="006C4C29" w:rsidP="006C4C29">
            <w:pPr>
              <w:pStyle w:val="UZEIOdrky"/>
              <w:ind w:left="460" w:hanging="425"/>
              <w:rPr>
                <w:rFonts w:cs="Times New Roman"/>
              </w:rPr>
            </w:pPr>
            <w:r w:rsidRPr="00D95127">
              <w:rPr>
                <w:rFonts w:cs="Times New Roman"/>
              </w:rPr>
              <w:t xml:space="preserve">O4: </w:t>
            </w:r>
            <w:r w:rsidR="00A16DDB" w:rsidRPr="00D95127">
              <w:rPr>
                <w:rFonts w:cs="Times New Roman"/>
              </w:rPr>
              <w:t>Zvýšení efektivnosti produkce lepším managementem – přebírání holandských technologií</w:t>
            </w:r>
          </w:p>
        </w:tc>
        <w:tc>
          <w:tcPr>
            <w:tcW w:w="4606" w:type="dxa"/>
            <w:shd w:val="clear" w:color="auto" w:fill="auto"/>
          </w:tcPr>
          <w:p w14:paraId="30FFA4E9" w14:textId="77445B85" w:rsidR="00A16DDB" w:rsidRPr="00D95127" w:rsidRDefault="006C4C29" w:rsidP="006C4C29">
            <w:pPr>
              <w:pStyle w:val="UZEIOdrky"/>
              <w:ind w:left="460" w:hanging="425"/>
              <w:rPr>
                <w:rFonts w:cs="Times New Roman"/>
              </w:rPr>
            </w:pPr>
            <w:r w:rsidRPr="00D95127">
              <w:rPr>
                <w:rFonts w:cs="Times New Roman"/>
              </w:rPr>
              <w:t xml:space="preserve">T1: </w:t>
            </w:r>
            <w:r w:rsidR="00A16DDB" w:rsidRPr="00D95127">
              <w:rPr>
                <w:rFonts w:cs="Times New Roman"/>
              </w:rPr>
              <w:t>Investiční náročnost technického vybavení.</w:t>
            </w:r>
          </w:p>
          <w:p w14:paraId="5A6651AA" w14:textId="1D6B73EC" w:rsidR="00A16DDB" w:rsidRPr="00D95127" w:rsidRDefault="006C4C29" w:rsidP="006C4C29">
            <w:pPr>
              <w:pStyle w:val="UZEIOdrky"/>
              <w:ind w:left="460" w:hanging="425"/>
              <w:rPr>
                <w:rFonts w:cs="Times New Roman"/>
              </w:rPr>
            </w:pPr>
            <w:r w:rsidRPr="00D95127">
              <w:rPr>
                <w:rFonts w:cs="Times New Roman"/>
              </w:rPr>
              <w:t xml:space="preserve">T2: </w:t>
            </w:r>
            <w:r w:rsidR="00A16DDB" w:rsidRPr="00D95127">
              <w:rPr>
                <w:rFonts w:cs="Times New Roman"/>
              </w:rPr>
              <w:t>Nedostatek vody na zavlažování v některých produkčních oblastech (např. jižní Morava).</w:t>
            </w:r>
          </w:p>
          <w:p w14:paraId="2257CA7D" w14:textId="25359A2B" w:rsidR="00A16DDB" w:rsidRPr="00D95127" w:rsidRDefault="006C4C29" w:rsidP="006C4C29">
            <w:pPr>
              <w:pStyle w:val="UZEIOdrky"/>
              <w:ind w:left="460" w:hanging="425"/>
              <w:rPr>
                <w:rFonts w:cs="Times New Roman"/>
              </w:rPr>
            </w:pPr>
            <w:r w:rsidRPr="00D95127">
              <w:rPr>
                <w:rFonts w:cs="Times New Roman"/>
              </w:rPr>
              <w:t xml:space="preserve">T3: </w:t>
            </w:r>
            <w:r w:rsidR="00A16DDB" w:rsidRPr="00D95127">
              <w:rPr>
                <w:rFonts w:cs="Times New Roman"/>
              </w:rPr>
              <w:t>Růst dovozů zpracovaných výrobků při nedostatečné domácí zpracovatelské kapacitě.</w:t>
            </w:r>
          </w:p>
          <w:p w14:paraId="1CFFEE2F" w14:textId="0E208AC3" w:rsidR="00A16DDB" w:rsidRPr="00D95127" w:rsidRDefault="006C4C29" w:rsidP="006C4C29">
            <w:pPr>
              <w:pStyle w:val="UZEIOdrky"/>
              <w:ind w:left="460" w:hanging="425"/>
              <w:rPr>
                <w:rFonts w:cs="Times New Roman"/>
              </w:rPr>
            </w:pPr>
            <w:r w:rsidRPr="00D95127">
              <w:rPr>
                <w:rFonts w:cs="Times New Roman"/>
              </w:rPr>
              <w:t xml:space="preserve">T4: </w:t>
            </w:r>
            <w:r w:rsidR="00A16DDB" w:rsidRPr="00D95127">
              <w:rPr>
                <w:rFonts w:cs="Times New Roman"/>
              </w:rPr>
              <w:t>Rostoucí ceny práce, půdy, energií a dalších vstupů.</w:t>
            </w:r>
          </w:p>
          <w:p w14:paraId="21615393" w14:textId="63C06796" w:rsidR="00A16DDB" w:rsidRPr="00D95127" w:rsidRDefault="006C4C29" w:rsidP="006C4C29">
            <w:pPr>
              <w:pStyle w:val="UZEIOdrky"/>
              <w:ind w:left="460" w:hanging="425"/>
              <w:rPr>
                <w:rFonts w:cs="Times New Roman"/>
              </w:rPr>
            </w:pPr>
            <w:r w:rsidRPr="00D95127">
              <w:rPr>
                <w:rFonts w:cs="Times New Roman"/>
              </w:rPr>
              <w:t xml:space="preserve">T5: </w:t>
            </w:r>
            <w:r w:rsidR="00A16DDB" w:rsidRPr="00D95127">
              <w:rPr>
                <w:rFonts w:cs="Times New Roman"/>
              </w:rPr>
              <w:t>Vyšší rizika výskytu nových škůdců a původců chorob rostlin v důsledku změny klimatu.</w:t>
            </w:r>
          </w:p>
          <w:p w14:paraId="2DCFE15B" w14:textId="2D1D4736" w:rsidR="00A16DDB" w:rsidRPr="00D95127" w:rsidRDefault="006C4C29" w:rsidP="006C4C29">
            <w:pPr>
              <w:pStyle w:val="UZEIOdrky"/>
              <w:ind w:left="460" w:hanging="425"/>
              <w:rPr>
                <w:rFonts w:cs="Times New Roman"/>
              </w:rPr>
            </w:pPr>
            <w:r w:rsidRPr="00D95127">
              <w:rPr>
                <w:rFonts w:cs="Times New Roman"/>
              </w:rPr>
              <w:t xml:space="preserve">T6: </w:t>
            </w:r>
            <w:r w:rsidR="00A16DDB" w:rsidRPr="00D95127">
              <w:rPr>
                <w:rFonts w:cs="Times New Roman"/>
              </w:rPr>
              <w:t>Zabahněné vodní toky mají výrazně sníženou kapacitu pro zadržení závlahové vody v krajině.</w:t>
            </w:r>
          </w:p>
          <w:p w14:paraId="1B052751" w14:textId="19DD288B" w:rsidR="00A16DDB" w:rsidRPr="00D95127" w:rsidRDefault="006C4C29" w:rsidP="006C4C29">
            <w:pPr>
              <w:pStyle w:val="UZEIOdrky"/>
              <w:ind w:left="460" w:hanging="425"/>
              <w:rPr>
                <w:rFonts w:cs="Times New Roman"/>
              </w:rPr>
            </w:pPr>
            <w:r w:rsidRPr="00D95127">
              <w:rPr>
                <w:rFonts w:cs="Times New Roman"/>
              </w:rPr>
              <w:t xml:space="preserve">T7: </w:t>
            </w:r>
            <w:r w:rsidR="00A16DDB" w:rsidRPr="00D95127">
              <w:rPr>
                <w:rFonts w:cs="Times New Roman"/>
              </w:rPr>
              <w:t>Rostoucí konkurence dovozů.</w:t>
            </w:r>
          </w:p>
          <w:p w14:paraId="2FC21E4D" w14:textId="1FA19ED2" w:rsidR="00A16DDB" w:rsidRPr="00D95127" w:rsidRDefault="006C4C29" w:rsidP="006C4C29">
            <w:pPr>
              <w:pStyle w:val="UZEIOdrky"/>
              <w:ind w:left="460" w:hanging="425"/>
              <w:rPr>
                <w:rFonts w:cs="Times New Roman"/>
              </w:rPr>
            </w:pPr>
            <w:r w:rsidRPr="00D95127">
              <w:rPr>
                <w:rFonts w:cs="Times New Roman"/>
              </w:rPr>
              <w:t xml:space="preserve">T8: </w:t>
            </w:r>
            <w:r w:rsidR="00A16DDB" w:rsidRPr="00D95127">
              <w:rPr>
                <w:rFonts w:cs="Times New Roman"/>
              </w:rPr>
              <w:t>Silná koncentrace maloobchodního trhu.</w:t>
            </w:r>
          </w:p>
        </w:tc>
      </w:tr>
    </w:tbl>
    <w:p w14:paraId="41275ACE" w14:textId="77777777" w:rsidR="00A16DDB" w:rsidRPr="00D95127" w:rsidRDefault="00A16DDB" w:rsidP="00A16DDB">
      <w:pPr>
        <w:rPr>
          <w:rStyle w:val="Odkazintenzivn"/>
          <w:rFonts w:cs="Times New Roman"/>
          <w:szCs w:val="24"/>
          <w:lang w:val="cs-CZ"/>
        </w:rPr>
      </w:pPr>
    </w:p>
    <w:p w14:paraId="1DD379F6" w14:textId="77777777" w:rsidR="00A16DDB" w:rsidRPr="00D95127" w:rsidRDefault="00A16DDB" w:rsidP="00A16DDB">
      <w:pPr>
        <w:rPr>
          <w:rStyle w:val="Odkazintenzivn"/>
          <w:rFonts w:cs="Times New Roman"/>
          <w:szCs w:val="24"/>
          <w:lang w:val="cs-CZ"/>
        </w:rPr>
      </w:pPr>
      <w:r w:rsidRPr="00D95127">
        <w:rPr>
          <w:rStyle w:val="Odkazintenzivn"/>
          <w:rFonts w:cs="Times New Roman"/>
          <w:szCs w:val="24"/>
          <w:lang w:val="cs-CZ"/>
        </w:rPr>
        <w:br w:type="page"/>
      </w:r>
    </w:p>
    <w:p w14:paraId="54FAA623" w14:textId="77777777" w:rsidR="00A16DDB" w:rsidRPr="00D95127" w:rsidRDefault="00A16DDB" w:rsidP="006C4C29">
      <w:pPr>
        <w:pStyle w:val="UZEINadpis1stbezsla"/>
        <w:rPr>
          <w:rFonts w:cs="Times New Roman"/>
        </w:rPr>
      </w:pPr>
      <w:bookmarkStart w:id="135" w:name="_Toc15304036"/>
      <w:bookmarkStart w:id="136" w:name="_Toc23509833"/>
      <w:bookmarkStart w:id="137" w:name="_Toc76137348"/>
      <w:bookmarkStart w:id="138" w:name="_Toc76637547"/>
      <w:bookmarkStart w:id="139" w:name="_Toc80953226"/>
      <w:bookmarkStart w:id="140" w:name="_Toc81739182"/>
      <w:bookmarkStart w:id="141" w:name="_Toc526113882"/>
      <w:bookmarkStart w:id="142" w:name="_Toc526114038"/>
      <w:bookmarkStart w:id="143" w:name="_Toc12449693"/>
      <w:r w:rsidRPr="00D95127">
        <w:rPr>
          <w:rFonts w:cs="Times New Roman"/>
        </w:rPr>
        <w:lastRenderedPageBreak/>
        <w:t>VÍNO</w:t>
      </w:r>
      <w:bookmarkEnd w:id="135"/>
      <w:bookmarkEnd w:id="136"/>
      <w:bookmarkEnd w:id="137"/>
      <w:bookmarkEnd w:id="138"/>
      <w:bookmarkEnd w:id="139"/>
      <w:bookmarkEnd w:id="140"/>
    </w:p>
    <w:p w14:paraId="400C6258" w14:textId="77777777" w:rsidR="00A16DDB" w:rsidRPr="00625455" w:rsidRDefault="00A16DDB" w:rsidP="00DE7D57">
      <w:pPr>
        <w:pStyle w:val="Nadpis1"/>
        <w:numPr>
          <w:ilvl w:val="0"/>
          <w:numId w:val="20"/>
        </w:numPr>
      </w:pPr>
      <w:bookmarkStart w:id="144" w:name="_Toc15304037"/>
      <w:bookmarkStart w:id="145" w:name="_Toc23509834"/>
      <w:bookmarkStart w:id="146" w:name="_Toc76137349"/>
      <w:bookmarkStart w:id="147" w:name="_Toc76637548"/>
      <w:bookmarkStart w:id="148" w:name="_Toc80953227"/>
      <w:bookmarkStart w:id="149" w:name="_Toc81739183"/>
      <w:r w:rsidRPr="00625455">
        <w:t>Analýza stávajících/navrhovaných právních předpisů EK/ČR a pravděpodobné nastavení směrů a cílů SZP</w:t>
      </w:r>
      <w:bookmarkEnd w:id="144"/>
      <w:bookmarkEnd w:id="145"/>
      <w:bookmarkEnd w:id="146"/>
      <w:bookmarkEnd w:id="147"/>
      <w:bookmarkEnd w:id="148"/>
      <w:bookmarkEnd w:id="149"/>
    </w:p>
    <w:p w14:paraId="3625A036" w14:textId="19C2498F" w:rsidR="007C30B5" w:rsidRPr="00C624B3" w:rsidRDefault="00A16DDB" w:rsidP="00A66C3E">
      <w:pPr>
        <w:pStyle w:val="UZEINormaln"/>
        <w:rPr>
          <w:rFonts w:cs="Times New Roman"/>
          <w:u w:val="single"/>
        </w:rPr>
      </w:pPr>
      <w:r w:rsidRPr="00C624B3">
        <w:rPr>
          <w:rFonts w:cs="Times New Roman"/>
          <w:u w:val="single"/>
        </w:rPr>
        <w:t>Tato část je zpracována souhrnně v základním analytickém dokumentu za oblast konkurenceschopnost zemědělství.</w:t>
      </w:r>
    </w:p>
    <w:p w14:paraId="6298C4C9" w14:textId="5C09A8A2" w:rsidR="00A16DDB" w:rsidRPr="00D95127" w:rsidRDefault="007C30B5" w:rsidP="007C30B5">
      <w:pPr>
        <w:spacing w:after="160" w:line="259" w:lineRule="auto"/>
        <w:jc w:val="left"/>
        <w:rPr>
          <w:rFonts w:eastAsia="Times New Roman" w:cs="Times New Roman"/>
          <w:szCs w:val="24"/>
          <w:lang w:val="cs-CZ" w:eastAsia="cs-CZ"/>
        </w:rPr>
      </w:pPr>
      <w:r w:rsidRPr="00D95127">
        <w:rPr>
          <w:rFonts w:cs="Times New Roman"/>
        </w:rPr>
        <w:br w:type="page"/>
      </w:r>
    </w:p>
    <w:p w14:paraId="5C801414" w14:textId="77777777" w:rsidR="00A16DDB" w:rsidRPr="00D95127" w:rsidRDefault="00A16DDB" w:rsidP="007C30B5">
      <w:pPr>
        <w:pStyle w:val="Nadpis1"/>
      </w:pPr>
      <w:bookmarkStart w:id="150" w:name="_Toc15304038"/>
      <w:bookmarkStart w:id="151" w:name="_Toc23509835"/>
      <w:bookmarkStart w:id="152" w:name="_Toc76137350"/>
      <w:bookmarkStart w:id="153" w:name="_Toc76637549"/>
      <w:bookmarkStart w:id="154" w:name="_Toc80953228"/>
      <w:bookmarkStart w:id="155" w:name="_Toc81739184"/>
      <w:r w:rsidRPr="00D95127">
        <w:lastRenderedPageBreak/>
        <w:t>Co je skutečným problémem, na který má politika reagovat?</w:t>
      </w:r>
      <w:bookmarkEnd w:id="150"/>
      <w:bookmarkEnd w:id="151"/>
      <w:bookmarkEnd w:id="152"/>
      <w:bookmarkEnd w:id="153"/>
      <w:bookmarkEnd w:id="154"/>
      <w:bookmarkEnd w:id="155"/>
    </w:p>
    <w:p w14:paraId="388F22A6" w14:textId="3AE6D9C3" w:rsidR="007C30B5" w:rsidRPr="00D95127" w:rsidRDefault="00A16DDB" w:rsidP="007C30B5">
      <w:pPr>
        <w:pStyle w:val="UZEINormaln"/>
        <w:rPr>
          <w:rFonts w:cs="Times New Roman"/>
        </w:rPr>
      </w:pPr>
      <w:r w:rsidRPr="00D95127">
        <w:rPr>
          <w:rFonts w:cs="Times New Roman"/>
        </w:rPr>
        <w:t>V sektoru vína se parametry plochy, produkce a míry soběstačnosti zásadně nezměnily. Co se týče ploch, ty narůstají pouze mírně v důsledku omezení povolené výsadby dle EK. Produkce se liší dle klimatických jevů v jednotlivých letech, z dlouhodobého hlediska však čeští vinaři dosahují sklizní vysoké kvality. Obchodní bilance charakterizující pozici českých producentů vůči zahraničí zůstává výrazně negativní, a to 4,4 mld. Kč. To je však dáno vyšší spotřebou vína, než jaké jsou možnosti produkčních ploch. Pro pokrytí poptávky spotřebitelů je tak nutné dovážet víno ze zahraničí. Konkurenční pozice českých producentů vína tak zůstává, i přes značné technologické zlepšení vesměs slabá, ale naplňuje strategické vize z hlediska soběstačnosti.</w:t>
      </w:r>
      <w:r w:rsidRPr="00D95127">
        <w:rPr>
          <w:rStyle w:val="Znakapoznpodarou"/>
        </w:rPr>
        <w:footnoteReference w:id="6"/>
      </w:r>
      <w:r w:rsidRPr="00D95127">
        <w:rPr>
          <w:rFonts w:cs="Times New Roman"/>
        </w:rPr>
        <w:t xml:space="preserve"> </w:t>
      </w:r>
    </w:p>
    <w:p w14:paraId="453CF04C" w14:textId="77777777" w:rsidR="007C30B5" w:rsidRPr="00D95127" w:rsidRDefault="007C30B5">
      <w:pPr>
        <w:spacing w:after="160" w:line="259" w:lineRule="auto"/>
        <w:jc w:val="left"/>
        <w:rPr>
          <w:rFonts w:eastAsia="Times New Roman" w:cs="Times New Roman"/>
          <w:szCs w:val="24"/>
          <w:lang w:val="cs-CZ" w:eastAsia="cs-CZ"/>
        </w:rPr>
      </w:pPr>
      <w:r w:rsidRPr="00D95127">
        <w:rPr>
          <w:rFonts w:cs="Times New Roman"/>
        </w:rPr>
        <w:br w:type="page"/>
      </w:r>
    </w:p>
    <w:p w14:paraId="64AF79F7" w14:textId="77777777" w:rsidR="00A16DDB" w:rsidRPr="00D95127" w:rsidRDefault="00A16DDB" w:rsidP="007C30B5">
      <w:pPr>
        <w:pStyle w:val="UZEINormaln"/>
        <w:rPr>
          <w:rFonts w:cs="Times New Roman"/>
        </w:rPr>
      </w:pPr>
    </w:p>
    <w:p w14:paraId="66311CE9" w14:textId="77777777" w:rsidR="00A16DDB" w:rsidRPr="00D95127" w:rsidRDefault="00A16DDB" w:rsidP="007C30B5">
      <w:pPr>
        <w:pStyle w:val="Nadpis1"/>
      </w:pPr>
      <w:bookmarkStart w:id="156" w:name="_Toc15304039"/>
      <w:bookmarkStart w:id="157" w:name="_Toc23509836"/>
      <w:bookmarkStart w:id="158" w:name="_Toc76137351"/>
      <w:bookmarkStart w:id="159" w:name="_Toc76637550"/>
      <w:bookmarkStart w:id="160" w:name="_Toc80953229"/>
      <w:bookmarkStart w:id="161" w:name="_Toc81739185"/>
      <w:r w:rsidRPr="00D95127">
        <w:t>Jaký je mechanizmus a příčiny tohoto problému?</w:t>
      </w:r>
      <w:bookmarkEnd w:id="156"/>
      <w:bookmarkEnd w:id="157"/>
      <w:bookmarkEnd w:id="158"/>
      <w:bookmarkEnd w:id="159"/>
      <w:bookmarkEnd w:id="160"/>
      <w:bookmarkEnd w:id="161"/>
    </w:p>
    <w:p w14:paraId="052EF1FC" w14:textId="77777777" w:rsidR="00A16DDB" w:rsidRPr="00D95127" w:rsidRDefault="00A16DDB" w:rsidP="007C30B5">
      <w:pPr>
        <w:pStyle w:val="UZEINormaln"/>
        <w:rPr>
          <w:rFonts w:cs="Times New Roman"/>
        </w:rPr>
      </w:pPr>
      <w:r w:rsidRPr="00D95127">
        <w:rPr>
          <w:rFonts w:cs="Times New Roman"/>
        </w:rPr>
        <w:t>Ačkoli příčiny uvedených problémů jsou různé, mezi nejvýznamnější:</w:t>
      </w:r>
    </w:p>
    <w:p w14:paraId="75061421" w14:textId="77777777" w:rsidR="00A16DDB" w:rsidRPr="00B66A14" w:rsidRDefault="00A16DDB" w:rsidP="007C30B5">
      <w:pPr>
        <w:pStyle w:val="UZEIOdrky"/>
        <w:rPr>
          <w:rFonts w:cs="Times New Roman"/>
          <w:b/>
          <w:bCs/>
        </w:rPr>
      </w:pPr>
      <w:r w:rsidRPr="00B66A14">
        <w:rPr>
          <w:rFonts w:cs="Times New Roman"/>
          <w:b/>
          <w:bCs/>
        </w:rPr>
        <w:t>Extrémní výkyvy klimatických podmínek v ČR ovlivňují výnosový a kvalitativní potenciál oproti zahraničním producentům.</w:t>
      </w:r>
    </w:p>
    <w:p w14:paraId="053F300D" w14:textId="77777777" w:rsidR="00A16DDB" w:rsidRPr="00B66A14" w:rsidRDefault="00A16DDB" w:rsidP="007C30B5">
      <w:pPr>
        <w:pStyle w:val="UZEIOdrky"/>
        <w:rPr>
          <w:rFonts w:cs="Times New Roman"/>
          <w:b/>
          <w:bCs/>
        </w:rPr>
      </w:pPr>
      <w:r w:rsidRPr="00B66A14">
        <w:rPr>
          <w:rFonts w:cs="Times New Roman"/>
          <w:b/>
          <w:bCs/>
        </w:rPr>
        <w:t>Dostupnost a kvalita pracovní síly.</w:t>
      </w:r>
    </w:p>
    <w:p w14:paraId="64231226" w14:textId="77777777" w:rsidR="00A16DDB" w:rsidRPr="00B66A14" w:rsidRDefault="00A16DDB" w:rsidP="007C30B5">
      <w:pPr>
        <w:pStyle w:val="UZEIOdrky"/>
        <w:rPr>
          <w:rFonts w:cs="Times New Roman"/>
          <w:b/>
          <w:bCs/>
        </w:rPr>
      </w:pPr>
      <w:r w:rsidRPr="00B66A14">
        <w:rPr>
          <w:rFonts w:cs="Times New Roman"/>
          <w:b/>
          <w:bCs/>
        </w:rPr>
        <w:t>Nízký stupeň technologické obměny výrobních prostředků způsobující vyšší provozní náklady.</w:t>
      </w:r>
    </w:p>
    <w:p w14:paraId="307C3B2F" w14:textId="77777777" w:rsidR="00A16DDB" w:rsidRPr="00B66A14" w:rsidRDefault="00A16DDB" w:rsidP="007C30B5">
      <w:pPr>
        <w:pStyle w:val="UZEIOdrky"/>
        <w:rPr>
          <w:rFonts w:cs="Times New Roman"/>
          <w:b/>
          <w:bCs/>
        </w:rPr>
      </w:pPr>
      <w:r w:rsidRPr="00B66A14">
        <w:rPr>
          <w:rFonts w:cs="Times New Roman"/>
          <w:b/>
          <w:bCs/>
        </w:rPr>
        <w:t>Vyšší transakční náklady na umístění produkce domácí provenience vzhledem k relativně nízkému rozsahu pěstované produkce</w:t>
      </w:r>
    </w:p>
    <w:p w14:paraId="28F74BD3" w14:textId="77777777" w:rsidR="00A16DDB" w:rsidRPr="00B66A14" w:rsidRDefault="00A16DDB" w:rsidP="007C30B5">
      <w:pPr>
        <w:pStyle w:val="UZEIOdrky"/>
        <w:rPr>
          <w:rFonts w:cs="Times New Roman"/>
          <w:b/>
          <w:bCs/>
        </w:rPr>
      </w:pPr>
      <w:r w:rsidRPr="00B66A14">
        <w:rPr>
          <w:rFonts w:cs="Times New Roman"/>
          <w:b/>
          <w:bCs/>
        </w:rPr>
        <w:t>Nízká flexibilita úřadů v řešení administrativních problémů týkající se produkce vinných hroznů</w:t>
      </w:r>
    </w:p>
    <w:p w14:paraId="322497A6" w14:textId="77777777" w:rsidR="00A16DDB" w:rsidRPr="00B66A14" w:rsidRDefault="00A16DDB" w:rsidP="007C30B5">
      <w:pPr>
        <w:pStyle w:val="UZEIOdrky"/>
        <w:rPr>
          <w:rFonts w:cs="Times New Roman"/>
          <w:b/>
          <w:bCs/>
        </w:rPr>
      </w:pPr>
      <w:r w:rsidRPr="00B66A14">
        <w:rPr>
          <w:rFonts w:cs="Times New Roman"/>
          <w:b/>
          <w:bCs/>
        </w:rPr>
        <w:t>Nízká inovativnost a produktová diferenciace na trhu.</w:t>
      </w:r>
    </w:p>
    <w:p w14:paraId="40DA8569" w14:textId="77777777" w:rsidR="00A16DDB" w:rsidRPr="00D95127" w:rsidRDefault="00A16DDB" w:rsidP="007C30B5">
      <w:pPr>
        <w:pStyle w:val="UZEINormaln"/>
        <w:rPr>
          <w:rFonts w:cs="Times New Roman"/>
        </w:rPr>
      </w:pPr>
      <w:r w:rsidRPr="00D95127">
        <w:rPr>
          <w:rFonts w:cs="Times New Roman"/>
        </w:rPr>
        <w:t>ČR má velice dobré podmínky pro pěstování vinné révy (vynikající půdy, vybudované velkoplošné závlahové soustavy). Pěstitelé mají velice dobré znalosti a dlouholeté zkušenosti s produkcí kvalitních výpěstků. Přesto kontinentální klima a extrémní výkyvy v počasí v ČR působí na pěstitele vína častějším výskytem jarních mrazů a krupobitím. Škody mrazem jsou dvojího druhu. Jednak ze zimního mrazu (prosinec–únor), kdy silný mráz poškodí květní pupeny a pak i namrzání ve dřevě. Tyto škody nejsou tak časté a zřejmě jich nepřibývá. Častější jsou škody v květu a po odkvětu, tedy poškození u raně kvetoucích odrůd od druhé půlky března až do konce května. Problém není ani ve výskytu mrazíků v květnu, ale proto, že keře kvůli teplým rokům a zimám dříve raší a dříve kvetou než v minulosti. Rovněž také zesílila intenzita pozdních mrazů, zatímco dříve šlo o přízemní mrazíky působící několik hodin před rozedněním skutečně třeba do 1 nebo 2 metrů, nyní jsou častější radiační mrazy, kdy mrznout začíná už navečer a expozice mrazu je i 10 hodin. Zatímco u přízemních, krátkodobých mrazů jde o redukci květů, u dlouhotrvajících mrazů dochází k poškození celé květní násady, jak poupat, tak i rozkvetlých květů, tak i odkvetlých.</w:t>
      </w:r>
    </w:p>
    <w:p w14:paraId="1A3CD946" w14:textId="77777777" w:rsidR="00A16DDB" w:rsidRPr="00D95127" w:rsidRDefault="00A16DDB" w:rsidP="007C30B5">
      <w:pPr>
        <w:pStyle w:val="UZEINormaln"/>
        <w:rPr>
          <w:rFonts w:cs="Times New Roman"/>
        </w:rPr>
      </w:pPr>
      <w:r w:rsidRPr="00D95127">
        <w:rPr>
          <w:rFonts w:cs="Times New Roman"/>
        </w:rPr>
        <w:t>Existující technologie k eliminaci projevů jarních mrazů – např. mlžení shora, pálení slámy a mísení vzduchu jsou účinné, ovšem často velmi nákladné, průměrná doba životnosti je 15 až 20 let příp. i déle</w:t>
      </w:r>
      <w:r w:rsidRPr="00D95127">
        <w:rPr>
          <w:rStyle w:val="Znakapoznpodarou"/>
        </w:rPr>
        <w:footnoteReference w:id="7"/>
      </w:r>
      <w:r w:rsidRPr="00D95127">
        <w:rPr>
          <w:rFonts w:cs="Times New Roman"/>
        </w:rPr>
        <w:t>.</w:t>
      </w:r>
    </w:p>
    <w:p w14:paraId="2B681AE3" w14:textId="77777777" w:rsidR="00A16DDB" w:rsidRPr="00D95127" w:rsidRDefault="00A16DDB" w:rsidP="007C30B5">
      <w:pPr>
        <w:pStyle w:val="UZEINormaln"/>
        <w:rPr>
          <w:rFonts w:cs="Times New Roman"/>
        </w:rPr>
      </w:pPr>
      <w:r w:rsidRPr="00D95127">
        <w:rPr>
          <w:rFonts w:cs="Times New Roman"/>
        </w:rPr>
        <w:t>Stáří a struktura vinic je dlouhotrvající problém, v roce 2020 bylo v poklesu plodnosti 32 % vinic a 46 % vinic v plné plodnosti. Na počátku plodnosti je 14 % produkčních vinic a 8 % tvoří mladé neplodné vinice. Vzhledem k intenzivnímu způsobu pěstování a charakteru požadovaných odrůd hrozí snížení kvality a produkce již mezi 20 až 25 rokem pěstování namísto uváděných 30 let. Pomalé tempo obnovy je spojeno s vysokými investiční náklady na obnovu sadů a vinic s vysokým rizikem nízké návratnosti. Náklady na restrukturalizaci vinic se pohybují v rozpětí od 750 do 1 100 tis. Kč/ha v závislosti na počtu jedinců na plochu (ÚZEI 2018)</w:t>
      </w:r>
      <w:r w:rsidRPr="00D95127">
        <w:rPr>
          <w:rStyle w:val="Znakapoznpodarou"/>
        </w:rPr>
        <w:footnoteReference w:id="8"/>
      </w:r>
      <w:r w:rsidRPr="00D95127">
        <w:rPr>
          <w:rFonts w:cs="Times New Roman"/>
        </w:rPr>
        <w:t>.</w:t>
      </w:r>
    </w:p>
    <w:p w14:paraId="53DC42BE" w14:textId="77777777" w:rsidR="00A16DDB" w:rsidRPr="00D95127" w:rsidRDefault="00A16DDB" w:rsidP="007C30B5">
      <w:pPr>
        <w:pStyle w:val="UZEINormaln"/>
        <w:rPr>
          <w:rFonts w:cs="Times New Roman"/>
          <w:color w:val="000000"/>
        </w:rPr>
      </w:pPr>
      <w:r w:rsidRPr="00D95127">
        <w:rPr>
          <w:rFonts w:cs="Times New Roman"/>
          <w:color w:val="000000"/>
        </w:rPr>
        <w:t xml:space="preserve">Dle SV ČR je stále významnějším problémem i typ opěrné konstrukce ve vinicích, která je nevhodná pro mechanizovanou sklizeň. V ČR je z 18 000 ha kolem 60 % ploch, které mají </w:t>
      </w:r>
      <w:r w:rsidRPr="00D95127">
        <w:rPr>
          <w:rFonts w:cs="Times New Roman"/>
          <w:color w:val="000000"/>
        </w:rPr>
        <w:lastRenderedPageBreak/>
        <w:t>drátěnku opěrné konstrukce postavenou za pomocí betonových a plastových sloupků, které jsou zcela nevhodné pro mechanizovanou sklizeň. Při mechanizované sklizni se totiž do sklízených hroznů dostávají kousky betonu a plastu (plast působením UV záření do 10 let křehne, resp. vlivem vibrací praská) a tyto kousky následně poškozují zpracovatelské technologie (čerpadla, mlýnky, lisy). Jako řešení tohoto problému navrhují program na výměnu betonových a plastových sloupků za takové, které umožní efektivní a méně nákladnou mechanizovanou sklizeň (změna typu opěrné konstrukce na konstrukci vhodnou pro mechanizovanou sklizeň). Toto efektivní zlepšení techniky, zajistí další zvýšení konkurenceschopnosti vinohradníků a vinařů.</w:t>
      </w:r>
    </w:p>
    <w:p w14:paraId="43F9496A" w14:textId="77777777" w:rsidR="00A16DDB" w:rsidRPr="00D95127" w:rsidRDefault="00A16DDB" w:rsidP="007C30B5">
      <w:pPr>
        <w:pStyle w:val="UZEINormaln"/>
        <w:rPr>
          <w:rFonts w:cs="Times New Roman"/>
        </w:rPr>
      </w:pPr>
      <w:r w:rsidRPr="00D95127">
        <w:rPr>
          <w:rFonts w:cs="Times New Roman"/>
        </w:rPr>
        <w:t>Současné uspořádání obchodní vertikály umožňuje pěstitelům vína realizovat prostřednictvím obchodních řetězců, specializovaných obchodů či ze dvora. Význam KDŘ je podpořen rostoucí poptávkou po víně od českých producentů. Čeští vinaři nepodporují vznik odbytových organizací, při jednotné společné výrobě by přišli o unikátnost vlastních výpěstků a použití vlastních vybraných technologií.</w:t>
      </w:r>
    </w:p>
    <w:p w14:paraId="4D8251E8" w14:textId="77777777" w:rsidR="00A16DDB" w:rsidRPr="00D95127" w:rsidRDefault="00A16DDB" w:rsidP="007C30B5">
      <w:pPr>
        <w:pStyle w:val="UZEINormaln"/>
        <w:rPr>
          <w:rFonts w:cs="Times New Roman"/>
        </w:rPr>
      </w:pPr>
      <w:r w:rsidRPr="00D95127">
        <w:rPr>
          <w:rFonts w:cs="Times New Roman"/>
        </w:rPr>
        <w:t xml:space="preserve">Posledním faktorem je inovativnost produkce, resp. výrobních postupů. Vinaři a vinohradníci využívají poznatky z vysokých škol a výzkumných ústavů ale i rodinných tradic a zvyklostí. Zároveň však postrádají výzkumný ústav zaměřený na pěstování vinné révy a výroby vína. Informační potřeby se liší od velikosti podniků. Informační role profesních svazů spočívá nejvíce ve zprostředkování informací (bulletiny, zpravodaje), dále v organizaci seminářů a poskytování dotačního poradenství. Pro transfer nejnovějších poznatků v současnosti využívají soukromé subjekty, školy, výzkumné ústavy, komory a svazy. V oblasti transferu považují za základní bariéry na straně výzkumu jeho zaměření na základní výzkum a malou orientaci výzkumu na praxi, dále nedostatek expertů na danou oblast a potřeba vyvinout aplikační fázi. Na straně zemědělské praxe jsou omezení pro účast z důvodu požadavku na finanční spoluúčast podniku při řešení výzkumného projektu a dále neochota zemědělců k účasti na výzkumných projektech z důvodu poskytování poradenství ze strany dodavatelů technologií při pořizování techniky a technologií. </w:t>
      </w:r>
    </w:p>
    <w:p w14:paraId="1B8D086D" w14:textId="25990DBA" w:rsidR="00A16DDB" w:rsidRPr="00D95127" w:rsidRDefault="00A16DDB" w:rsidP="007C30B5">
      <w:pPr>
        <w:pStyle w:val="UZEITaB"/>
        <w:rPr>
          <w:rFonts w:cs="Times New Roman"/>
        </w:rPr>
      </w:pPr>
      <w:bookmarkStart w:id="162" w:name="_Toc81738444"/>
      <w:bookmarkStart w:id="163" w:name="_Hlk76133116"/>
      <w:r w:rsidRPr="00D95127">
        <w:rPr>
          <w:rFonts w:cs="Times New Roman"/>
        </w:rPr>
        <w:t>Ekonomika pěstování vinných hroznů v letech 2011 až 2020</w:t>
      </w:r>
      <w:bookmarkEnd w:id="162"/>
    </w:p>
    <w:p w14:paraId="0C88FA98" w14:textId="77777777" w:rsidR="00A16DDB" w:rsidRPr="00D95127" w:rsidRDefault="00A16DDB" w:rsidP="00A16DDB">
      <w:pPr>
        <w:rPr>
          <w:rFonts w:cs="Times New Roman"/>
          <w:szCs w:val="24"/>
          <w:lang w:val="cs-CZ" w:eastAsia="cs-CZ"/>
        </w:rPr>
      </w:pPr>
      <w:r w:rsidRPr="00D95127">
        <w:rPr>
          <w:rFonts w:cs="Times New Roman"/>
          <w:noProof/>
          <w:lang w:val="cs-CZ"/>
        </w:rPr>
        <w:drawing>
          <wp:inline distT="0" distB="0" distL="0" distR="0" wp14:anchorId="073E829D" wp14:editId="04258659">
            <wp:extent cx="5760720" cy="1078230"/>
            <wp:effectExtent l="0" t="0" r="0" b="762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60720" cy="1078230"/>
                    </a:xfrm>
                    <a:prstGeom prst="rect">
                      <a:avLst/>
                    </a:prstGeom>
                    <a:noFill/>
                    <a:ln>
                      <a:noFill/>
                    </a:ln>
                  </pic:spPr>
                </pic:pic>
              </a:graphicData>
            </a:graphic>
          </wp:inline>
        </w:drawing>
      </w:r>
    </w:p>
    <w:bookmarkEnd w:id="163"/>
    <w:p w14:paraId="7E024725" w14:textId="77777777" w:rsidR="00A16DDB" w:rsidRPr="00D95127" w:rsidRDefault="00A16DDB" w:rsidP="007C30B5">
      <w:pPr>
        <w:pStyle w:val="UZEINormaln"/>
        <w:rPr>
          <w:rFonts w:cs="Times New Roman"/>
        </w:rPr>
      </w:pPr>
      <w:r w:rsidRPr="00D95127">
        <w:rPr>
          <w:rFonts w:cs="Times New Roman"/>
        </w:rPr>
        <w:t>Ekonomika pěstování vinných hroznů (bez vlastního zpracování) byla ve sledovaném období 2011-2020 proměnlivá. Z vybraných ukazatelů vykazovaly v dané časové řadě vyšší variabilitu celkové náklady na hektar a hektarový výnos, oproti tomu realizační cena výrobku vykazovala menší variabilitu. Ve většině vinařských podniků je realizováno právě přes zpracování produkce, což zajišťuje lepší souhrnnou rentabilitu</w:t>
      </w:r>
      <w:r w:rsidRPr="00D95127">
        <w:rPr>
          <w:rStyle w:val="Znakapoznpodarou"/>
        </w:rPr>
        <w:footnoteReference w:id="9"/>
      </w:r>
      <w:r w:rsidRPr="00D95127">
        <w:rPr>
          <w:rFonts w:cs="Times New Roman"/>
        </w:rPr>
        <w:t>.</w:t>
      </w:r>
    </w:p>
    <w:p w14:paraId="387063E8" w14:textId="23AF5BFE" w:rsidR="007C30B5" w:rsidRPr="00D95127" w:rsidRDefault="00A16DDB" w:rsidP="007C30B5">
      <w:pPr>
        <w:pStyle w:val="UZEINormaln"/>
        <w:rPr>
          <w:rFonts w:cs="Times New Roman"/>
        </w:rPr>
      </w:pPr>
      <w:r w:rsidRPr="00D95127">
        <w:rPr>
          <w:rFonts w:cs="Times New Roman"/>
        </w:rPr>
        <w:t>Ekonomika jednotlivých komodit se promítá do celkové ekonomické situace podniků a tabulka uvedená výše (</w:t>
      </w:r>
      <w:r w:rsidRPr="00D95127">
        <w:rPr>
          <w:rFonts w:cs="Times New Roman"/>
        </w:rPr>
        <w:fldChar w:fldCharType="begin"/>
      </w:r>
      <w:r w:rsidRPr="00D95127">
        <w:rPr>
          <w:rFonts w:cs="Times New Roman"/>
        </w:rPr>
        <w:instrText xml:space="preserve"> REF _Ref14795488 \h  \* MERGEFORMAT </w:instrText>
      </w:r>
      <w:r w:rsidRPr="00D95127">
        <w:rPr>
          <w:rFonts w:cs="Times New Roman"/>
        </w:rPr>
      </w:r>
      <w:r w:rsidRPr="00D95127">
        <w:rPr>
          <w:rFonts w:cs="Times New Roman"/>
        </w:rPr>
        <w:fldChar w:fldCharType="separate"/>
      </w:r>
      <w:r w:rsidRPr="00D95127">
        <w:rPr>
          <w:rFonts w:cs="Times New Roman"/>
        </w:rPr>
        <w:t xml:space="preserve">Tabulka </w:t>
      </w:r>
      <w:r w:rsidRPr="00D95127">
        <w:rPr>
          <w:rFonts w:cs="Times New Roman"/>
          <w:noProof/>
        </w:rPr>
        <w:t>14</w:t>
      </w:r>
      <w:r w:rsidRPr="00D95127">
        <w:rPr>
          <w:rFonts w:cs="Times New Roman"/>
        </w:rPr>
        <w:fldChar w:fldCharType="end"/>
      </w:r>
      <w:r w:rsidRPr="00D95127">
        <w:rPr>
          <w:rFonts w:cs="Times New Roman"/>
        </w:rPr>
        <w:t xml:space="preserve">) srovnání strukturálních charakteristik skupin podniků dle výrobního zaměření. Přitom k specializovaným podnikům na vinohradnictví, u nichž více jak 2/3 standardní produkce tvoří příjem ze speciální produkce, byly vybrány pro srovnání podniky se zaměřením na polní výrobu a smíšenou výrobu v oblastech mimo ANC a o přibližně stejné ekonomické velikosti, tj. do 1000 ha celkové z. p. Z výsledků je zřejmé, že podniky </w:t>
      </w:r>
      <w:r w:rsidRPr="00D95127">
        <w:rPr>
          <w:rFonts w:cs="Times New Roman"/>
        </w:rPr>
        <w:lastRenderedPageBreak/>
        <w:t>specializované na vinohradnictví dosahují z hlediska příjmové situace na pracovníka reprezentované ČPH/AWU přibližně srovnatelné úrovně jako podniky smíšené výroby. Po úhradě pachtovného a úroků zbývá příjem k úhradě placených a neplacených pracovníků, přičemž podniky specializované vinohradnictví a smíšenou výrobu dosahují 2/3 úrovně podniků s polní výrobou.</w:t>
      </w:r>
    </w:p>
    <w:p w14:paraId="37E33D31" w14:textId="4DC46F3B" w:rsidR="00A16DDB" w:rsidRPr="00D95127" w:rsidRDefault="007C30B5" w:rsidP="007C30B5">
      <w:pPr>
        <w:spacing w:after="160" w:line="259" w:lineRule="auto"/>
        <w:jc w:val="left"/>
        <w:rPr>
          <w:rFonts w:eastAsia="Times New Roman" w:cs="Times New Roman"/>
          <w:szCs w:val="24"/>
          <w:lang w:val="cs-CZ" w:eastAsia="cs-CZ"/>
        </w:rPr>
      </w:pPr>
      <w:r w:rsidRPr="00D95127">
        <w:rPr>
          <w:rFonts w:cs="Times New Roman"/>
        </w:rPr>
        <w:br w:type="page"/>
      </w:r>
    </w:p>
    <w:p w14:paraId="4AB592B9" w14:textId="77777777" w:rsidR="00A16DDB" w:rsidRPr="00D95127" w:rsidRDefault="00A16DDB" w:rsidP="007C30B5">
      <w:pPr>
        <w:pStyle w:val="Nadpis1"/>
      </w:pPr>
      <w:bookmarkStart w:id="164" w:name="_Toc15304040"/>
      <w:bookmarkStart w:id="165" w:name="_Toc23509837"/>
      <w:bookmarkStart w:id="166" w:name="_Toc76137352"/>
      <w:bookmarkStart w:id="167" w:name="_Toc76637551"/>
      <w:bookmarkStart w:id="168" w:name="_Toc80953230"/>
      <w:bookmarkStart w:id="169" w:name="_Toc81739186"/>
      <w:r w:rsidRPr="00D95127">
        <w:lastRenderedPageBreak/>
        <w:t>Jak závažný je tento problém?</w:t>
      </w:r>
      <w:bookmarkEnd w:id="164"/>
      <w:bookmarkEnd w:id="165"/>
      <w:bookmarkEnd w:id="166"/>
      <w:bookmarkEnd w:id="167"/>
      <w:bookmarkEnd w:id="168"/>
      <w:bookmarkEnd w:id="169"/>
    </w:p>
    <w:p w14:paraId="32CA9C13" w14:textId="77777777" w:rsidR="00A16DDB" w:rsidRPr="00D95127" w:rsidRDefault="00A16DDB" w:rsidP="007C30B5">
      <w:pPr>
        <w:pStyle w:val="UZEINormaln"/>
        <w:rPr>
          <w:rFonts w:cs="Times New Roman"/>
        </w:rPr>
      </w:pPr>
      <w:r w:rsidRPr="00D95127">
        <w:rPr>
          <w:rFonts w:cs="Times New Roman"/>
        </w:rPr>
        <w:t>Sektor ovoce, zeleniny a vína váže přibližně 7 400 zemědělských pracovníků, tj. 7 %</w:t>
      </w:r>
      <w:r w:rsidRPr="00D95127">
        <w:rPr>
          <w:rFonts w:cs="Times New Roman"/>
        </w:rPr>
        <w:footnoteReference w:id="10"/>
      </w:r>
      <w:r w:rsidRPr="00D95127">
        <w:rPr>
          <w:rFonts w:cs="Times New Roman"/>
        </w:rPr>
        <w:t xml:space="preserve">. Na úrovni ČR další snížení produkce těchto sektorů nevyvolá sociální důsledky, ovšem lokálně může zvýšit nezaměstnanost v obcích a mikroregionech, především jižní Moravy. </w:t>
      </w:r>
    </w:p>
    <w:p w14:paraId="21D248B7" w14:textId="4165617A" w:rsidR="007C30B5" w:rsidRPr="00D95127" w:rsidRDefault="00A16DDB" w:rsidP="007C30B5">
      <w:pPr>
        <w:pStyle w:val="UZEINormaln"/>
        <w:rPr>
          <w:rFonts w:cs="Times New Roman"/>
        </w:rPr>
      </w:pPr>
      <w:r w:rsidRPr="00D95127">
        <w:rPr>
          <w:rFonts w:cs="Times New Roman"/>
        </w:rPr>
        <w:t>Výrazná negativní bilance s vínem vyžaduje další nároky na logistiku a přepravu s prokázanými negativními externalitami (problematika tzv. „food miles“). Ty by v případě prohloubení obchodního deficitu s těmito komoditami dále narostly.</w:t>
      </w:r>
    </w:p>
    <w:p w14:paraId="1041A50B" w14:textId="1B7F10C4" w:rsidR="00A16DDB" w:rsidRPr="00D95127" w:rsidRDefault="007C30B5" w:rsidP="007C30B5">
      <w:pPr>
        <w:spacing w:after="160" w:line="259" w:lineRule="auto"/>
        <w:jc w:val="left"/>
        <w:rPr>
          <w:rFonts w:eastAsia="Times New Roman" w:cs="Times New Roman"/>
          <w:szCs w:val="24"/>
          <w:lang w:val="cs-CZ" w:eastAsia="cs-CZ"/>
        </w:rPr>
      </w:pPr>
      <w:r w:rsidRPr="00D95127">
        <w:rPr>
          <w:rFonts w:cs="Times New Roman"/>
        </w:rPr>
        <w:br w:type="page"/>
      </w:r>
    </w:p>
    <w:p w14:paraId="1B3C56B8" w14:textId="77777777" w:rsidR="00A16DDB" w:rsidRPr="00D95127" w:rsidRDefault="00A16DDB" w:rsidP="007C30B5">
      <w:pPr>
        <w:pStyle w:val="Nadpis1"/>
      </w:pPr>
      <w:bookmarkStart w:id="170" w:name="_Toc23509684"/>
      <w:bookmarkStart w:id="171" w:name="_Toc23509838"/>
      <w:bookmarkStart w:id="172" w:name="_Toc27156884"/>
      <w:bookmarkStart w:id="173" w:name="_Toc27172119"/>
      <w:bookmarkStart w:id="174" w:name="_Toc27172771"/>
      <w:bookmarkStart w:id="175" w:name="_Toc27172924"/>
      <w:bookmarkStart w:id="176" w:name="_Toc23509685"/>
      <w:bookmarkStart w:id="177" w:name="_Toc23509839"/>
      <w:bookmarkStart w:id="178" w:name="_Toc27156885"/>
      <w:bookmarkStart w:id="179" w:name="_Toc27172120"/>
      <w:bookmarkStart w:id="180" w:name="_Toc27172772"/>
      <w:bookmarkStart w:id="181" w:name="_Toc27172925"/>
      <w:bookmarkStart w:id="182" w:name="_Toc23509686"/>
      <w:bookmarkStart w:id="183" w:name="_Toc23509840"/>
      <w:bookmarkStart w:id="184" w:name="_Toc27156886"/>
      <w:bookmarkStart w:id="185" w:name="_Toc27172121"/>
      <w:bookmarkStart w:id="186" w:name="_Toc27172773"/>
      <w:bookmarkStart w:id="187" w:name="_Toc27172926"/>
      <w:bookmarkStart w:id="188" w:name="_Toc23509687"/>
      <w:bookmarkStart w:id="189" w:name="_Toc23509841"/>
      <w:bookmarkStart w:id="190" w:name="_Toc27156887"/>
      <w:bookmarkStart w:id="191" w:name="_Toc27172122"/>
      <w:bookmarkStart w:id="192" w:name="_Toc27172774"/>
      <w:bookmarkStart w:id="193" w:name="_Toc27172927"/>
      <w:bookmarkStart w:id="194" w:name="_Toc76137353"/>
      <w:bookmarkStart w:id="195" w:name="_Toc76637552"/>
      <w:bookmarkStart w:id="196" w:name="_Toc80953231"/>
      <w:bookmarkStart w:id="197" w:name="_Toc81739187"/>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r w:rsidRPr="00D95127">
        <w:t>Míra stávajícího řešení problému</w:t>
      </w:r>
      <w:bookmarkEnd w:id="194"/>
      <w:bookmarkEnd w:id="195"/>
      <w:bookmarkEnd w:id="196"/>
      <w:bookmarkEnd w:id="197"/>
    </w:p>
    <w:p w14:paraId="74D79A32" w14:textId="77777777" w:rsidR="00A16DDB" w:rsidRPr="00D95127" w:rsidRDefault="00A16DDB" w:rsidP="007C30B5">
      <w:pPr>
        <w:pStyle w:val="Nadpis2"/>
      </w:pPr>
      <w:bookmarkStart w:id="198" w:name="_Toc15304042"/>
      <w:bookmarkStart w:id="199" w:name="_Toc23509843"/>
      <w:bookmarkStart w:id="200" w:name="_Toc76137354"/>
      <w:bookmarkStart w:id="201" w:name="_Toc76637553"/>
      <w:bookmarkStart w:id="202" w:name="_Toc80953232"/>
      <w:bookmarkStart w:id="203" w:name="_Toc81739188"/>
      <w:r w:rsidRPr="00D95127">
        <w:t>Míra řešení ve stávající SZP (úspěšnost/neúspěšnost)</w:t>
      </w:r>
      <w:bookmarkEnd w:id="198"/>
      <w:bookmarkEnd w:id="199"/>
      <w:bookmarkEnd w:id="200"/>
      <w:bookmarkEnd w:id="201"/>
      <w:bookmarkEnd w:id="202"/>
      <w:bookmarkEnd w:id="203"/>
      <w:r w:rsidRPr="00D95127">
        <w:t xml:space="preserve"> </w:t>
      </w:r>
    </w:p>
    <w:p w14:paraId="0E4369B3" w14:textId="77777777" w:rsidR="00A16DDB" w:rsidRPr="00D95127" w:rsidRDefault="00A16DDB" w:rsidP="007C30B5">
      <w:pPr>
        <w:pStyle w:val="UZEINormaln"/>
        <w:rPr>
          <w:rFonts w:cs="Times New Roman"/>
        </w:rPr>
      </w:pPr>
      <w:r w:rsidRPr="00D95127">
        <w:rPr>
          <w:rFonts w:cs="Times New Roman"/>
        </w:rPr>
        <w:t>Ve stávající SZP jsou pro sektor vína povinné odvětvové intervence. Česká republika využívá dvě – Restrukturalizace a Investice.</w:t>
      </w:r>
    </w:p>
    <w:p w14:paraId="4B3AC37B" w14:textId="77777777" w:rsidR="00A16DDB" w:rsidRPr="00D95127" w:rsidRDefault="00A16DDB" w:rsidP="007C30B5">
      <w:pPr>
        <w:pStyle w:val="UZEINormaln"/>
        <w:rPr>
          <w:rFonts w:cs="Times New Roman"/>
        </w:rPr>
      </w:pPr>
      <w:r w:rsidRPr="00D95127">
        <w:rPr>
          <w:rFonts w:cs="Times New Roman"/>
        </w:rPr>
        <w:t xml:space="preserve">V rámci SOT s vínem bylo možné čerpat dotace na „Restrukturalizaci“ (63 % z celkové vyplacené částky za sledované období 2019/20) a „Investice“ (37 % z celkové vyplacené částky za sledované období 2019/20). U „Restrukturalizace“ byl nejvíce využíván titul „Změna odrůdové skladby“ (86,7 % z vyplacené částky na opatření „Restrukturalizace“). U „Investic“ byl nejvíce využit titul „Dřevěný sud/dřevěná nádoba s objemem minimálně 600 l“. </w:t>
      </w:r>
    </w:p>
    <w:p w14:paraId="286A1C27" w14:textId="77777777" w:rsidR="00A16DDB" w:rsidRPr="00D95127" w:rsidRDefault="00A16DDB" w:rsidP="007C30B5">
      <w:pPr>
        <w:pStyle w:val="UZEINormaln"/>
        <w:rPr>
          <w:rFonts w:cs="Times New Roman"/>
          <w:u w:val="single"/>
        </w:rPr>
      </w:pPr>
      <w:r w:rsidRPr="00D95127">
        <w:rPr>
          <w:rFonts w:cs="Times New Roman"/>
          <w:u w:val="single"/>
        </w:rPr>
        <w:t>Restrukturalizace</w:t>
      </w:r>
    </w:p>
    <w:p w14:paraId="09C6CF2D" w14:textId="0036D7D9" w:rsidR="00A16DDB" w:rsidRPr="00D95127" w:rsidRDefault="007C30B5" w:rsidP="007C30B5">
      <w:pPr>
        <w:pStyle w:val="UZEITaB"/>
        <w:rPr>
          <w:rFonts w:cs="Times New Roman"/>
        </w:rPr>
      </w:pPr>
      <w:r w:rsidRPr="00D95127">
        <w:rPr>
          <w:rFonts w:cs="Times New Roman"/>
        </w:rPr>
        <w:t xml:space="preserve"> </w:t>
      </w:r>
      <w:bookmarkStart w:id="204" w:name="_Toc81738445"/>
      <w:r w:rsidR="00A16DDB" w:rsidRPr="00D95127">
        <w:rPr>
          <w:rFonts w:cs="Times New Roman"/>
        </w:rPr>
        <w:t>Vyhodnocení intervence „Restrukturalizace“ za období 2013/14 až 2019/20 v ha</w:t>
      </w:r>
      <w:bookmarkEnd w:id="204"/>
    </w:p>
    <w:tbl>
      <w:tblPr>
        <w:tblW w:w="8971" w:type="dxa"/>
        <w:tblInd w:w="55" w:type="dxa"/>
        <w:tblBorders>
          <w:top w:val="single" w:sz="12" w:space="0" w:color="auto"/>
          <w:left w:val="single" w:sz="12" w:space="0" w:color="auto"/>
          <w:bottom w:val="single" w:sz="6" w:space="0" w:color="auto"/>
          <w:right w:val="single" w:sz="1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244"/>
        <w:gridCol w:w="1655"/>
        <w:gridCol w:w="1418"/>
        <w:gridCol w:w="1701"/>
        <w:gridCol w:w="1984"/>
        <w:gridCol w:w="969"/>
      </w:tblGrid>
      <w:tr w:rsidR="00A16DDB" w:rsidRPr="00D95127" w14:paraId="38EC8C8F" w14:textId="77777777" w:rsidTr="007A627A">
        <w:trPr>
          <w:trHeight w:val="283"/>
        </w:trPr>
        <w:tc>
          <w:tcPr>
            <w:tcW w:w="1244" w:type="dxa"/>
            <w:tcBorders>
              <w:top w:val="single" w:sz="18" w:space="0" w:color="auto"/>
              <w:left w:val="single" w:sz="18" w:space="0" w:color="auto"/>
              <w:bottom w:val="single" w:sz="12" w:space="0" w:color="auto"/>
              <w:right w:val="single" w:sz="12" w:space="0" w:color="auto"/>
            </w:tcBorders>
            <w:noWrap/>
            <w:tcMar>
              <w:top w:w="0" w:type="dxa"/>
              <w:left w:w="70" w:type="dxa"/>
              <w:bottom w:w="0" w:type="dxa"/>
              <w:right w:w="70" w:type="dxa"/>
            </w:tcMar>
            <w:vAlign w:val="center"/>
            <w:hideMark/>
          </w:tcPr>
          <w:p w14:paraId="2B069E02" w14:textId="77777777" w:rsidR="00A16DDB" w:rsidRPr="00D95127" w:rsidRDefault="00A16DDB" w:rsidP="007A627A">
            <w:pPr>
              <w:keepNext/>
              <w:rPr>
                <w:rFonts w:cs="Times New Roman"/>
                <w:sz w:val="20"/>
                <w:szCs w:val="20"/>
                <w:lang w:val="cs-CZ"/>
              </w:rPr>
            </w:pPr>
            <w:r w:rsidRPr="00D95127">
              <w:rPr>
                <w:rFonts w:cs="Times New Roman"/>
                <w:sz w:val="20"/>
                <w:szCs w:val="20"/>
                <w:lang w:val="cs-CZ"/>
              </w:rPr>
              <w:t>Finanční rok</w:t>
            </w:r>
          </w:p>
        </w:tc>
        <w:tc>
          <w:tcPr>
            <w:tcW w:w="1655" w:type="dxa"/>
            <w:tcBorders>
              <w:top w:val="single" w:sz="18" w:space="0" w:color="auto"/>
              <w:left w:val="single" w:sz="12" w:space="0" w:color="auto"/>
              <w:bottom w:val="single" w:sz="12" w:space="0" w:color="auto"/>
              <w:right w:val="single" w:sz="6" w:space="0" w:color="auto"/>
            </w:tcBorders>
            <w:noWrap/>
            <w:tcMar>
              <w:top w:w="0" w:type="dxa"/>
              <w:left w:w="70" w:type="dxa"/>
              <w:bottom w:w="0" w:type="dxa"/>
              <w:right w:w="70" w:type="dxa"/>
            </w:tcMar>
            <w:vAlign w:val="center"/>
          </w:tcPr>
          <w:p w14:paraId="37E87018" w14:textId="77777777" w:rsidR="00A16DDB" w:rsidRPr="00D95127" w:rsidRDefault="00A16DDB" w:rsidP="007A627A">
            <w:pPr>
              <w:keepNext/>
              <w:jc w:val="center"/>
              <w:rPr>
                <w:rFonts w:cs="Times New Roman"/>
                <w:sz w:val="20"/>
                <w:szCs w:val="20"/>
                <w:lang w:val="cs-CZ"/>
              </w:rPr>
            </w:pPr>
            <w:r w:rsidRPr="00D95127">
              <w:rPr>
                <w:rFonts w:cs="Times New Roman"/>
                <w:sz w:val="20"/>
                <w:szCs w:val="20"/>
                <w:lang w:val="cs-CZ"/>
              </w:rPr>
              <w:t>Snížení produkce révy vinné na 1 keři</w:t>
            </w:r>
          </w:p>
        </w:tc>
        <w:tc>
          <w:tcPr>
            <w:tcW w:w="1418" w:type="dxa"/>
            <w:tcBorders>
              <w:top w:val="single" w:sz="18" w:space="0" w:color="auto"/>
              <w:left w:val="single" w:sz="6" w:space="0" w:color="auto"/>
              <w:bottom w:val="single" w:sz="12" w:space="0" w:color="auto"/>
              <w:right w:val="single" w:sz="6" w:space="0" w:color="auto"/>
            </w:tcBorders>
            <w:noWrap/>
            <w:tcMar>
              <w:top w:w="0" w:type="dxa"/>
              <w:left w:w="70" w:type="dxa"/>
              <w:bottom w:w="0" w:type="dxa"/>
              <w:right w:w="70" w:type="dxa"/>
            </w:tcMar>
            <w:vAlign w:val="center"/>
          </w:tcPr>
          <w:p w14:paraId="6B21197D" w14:textId="77777777" w:rsidR="00A16DDB" w:rsidRPr="00D95127" w:rsidRDefault="00A16DDB" w:rsidP="007A627A">
            <w:pPr>
              <w:keepNext/>
              <w:jc w:val="center"/>
              <w:rPr>
                <w:rFonts w:cs="Times New Roman"/>
                <w:sz w:val="20"/>
                <w:szCs w:val="20"/>
                <w:lang w:val="cs-CZ"/>
              </w:rPr>
            </w:pPr>
            <w:r w:rsidRPr="00D95127">
              <w:rPr>
                <w:rFonts w:cs="Times New Roman"/>
                <w:sz w:val="20"/>
                <w:szCs w:val="20"/>
                <w:lang w:val="cs-CZ"/>
              </w:rPr>
              <w:t>Přesun vinice do svahu</w:t>
            </w:r>
          </w:p>
        </w:tc>
        <w:tc>
          <w:tcPr>
            <w:tcW w:w="1701" w:type="dxa"/>
            <w:tcBorders>
              <w:top w:val="single" w:sz="18" w:space="0" w:color="auto"/>
              <w:left w:val="single" w:sz="6" w:space="0" w:color="auto"/>
              <w:bottom w:val="single" w:sz="12" w:space="0" w:color="auto"/>
              <w:right w:val="single" w:sz="6" w:space="0" w:color="auto"/>
            </w:tcBorders>
            <w:noWrap/>
            <w:tcMar>
              <w:top w:w="0" w:type="dxa"/>
              <w:left w:w="70" w:type="dxa"/>
              <w:bottom w:w="0" w:type="dxa"/>
              <w:right w:w="70" w:type="dxa"/>
            </w:tcMar>
            <w:vAlign w:val="center"/>
          </w:tcPr>
          <w:p w14:paraId="6FDBC944" w14:textId="77777777" w:rsidR="00A16DDB" w:rsidRPr="00D95127" w:rsidRDefault="00A16DDB" w:rsidP="007A627A">
            <w:pPr>
              <w:keepNext/>
              <w:jc w:val="center"/>
              <w:rPr>
                <w:rFonts w:cs="Times New Roman"/>
                <w:sz w:val="20"/>
                <w:szCs w:val="20"/>
                <w:lang w:val="cs-CZ"/>
              </w:rPr>
            </w:pPr>
            <w:r w:rsidRPr="00D95127">
              <w:rPr>
                <w:rFonts w:cs="Times New Roman"/>
                <w:sz w:val="20"/>
                <w:szCs w:val="20"/>
                <w:lang w:val="cs-CZ"/>
              </w:rPr>
              <w:t>Změna odrůdové skladby</w:t>
            </w:r>
          </w:p>
        </w:tc>
        <w:tc>
          <w:tcPr>
            <w:tcW w:w="1984" w:type="dxa"/>
            <w:tcBorders>
              <w:top w:val="single" w:sz="18" w:space="0" w:color="auto"/>
              <w:left w:val="single" w:sz="6" w:space="0" w:color="auto"/>
              <w:bottom w:val="single" w:sz="12" w:space="0" w:color="auto"/>
              <w:right w:val="single" w:sz="12" w:space="0" w:color="auto"/>
            </w:tcBorders>
            <w:vAlign w:val="center"/>
          </w:tcPr>
          <w:p w14:paraId="5DC53574" w14:textId="77777777" w:rsidR="00A16DDB" w:rsidRPr="00D95127" w:rsidRDefault="00A16DDB" w:rsidP="007A627A">
            <w:pPr>
              <w:keepNext/>
              <w:jc w:val="center"/>
              <w:rPr>
                <w:rFonts w:cs="Times New Roman"/>
                <w:sz w:val="20"/>
                <w:szCs w:val="20"/>
                <w:lang w:val="cs-CZ"/>
              </w:rPr>
            </w:pPr>
            <w:r w:rsidRPr="00D95127">
              <w:rPr>
                <w:rFonts w:cs="Times New Roman"/>
                <w:sz w:val="20"/>
                <w:szCs w:val="20"/>
                <w:lang w:val="cs-CZ"/>
              </w:rPr>
              <w:t>Technika zlepšující obhospodařování vinic</w:t>
            </w:r>
          </w:p>
        </w:tc>
        <w:tc>
          <w:tcPr>
            <w:tcW w:w="969" w:type="dxa"/>
            <w:tcBorders>
              <w:top w:val="single" w:sz="18" w:space="0" w:color="auto"/>
              <w:left w:val="single" w:sz="12" w:space="0" w:color="auto"/>
              <w:bottom w:val="single" w:sz="12" w:space="0" w:color="auto"/>
              <w:right w:val="single" w:sz="18" w:space="0" w:color="auto"/>
            </w:tcBorders>
            <w:vAlign w:val="center"/>
          </w:tcPr>
          <w:p w14:paraId="71A097CD" w14:textId="77777777" w:rsidR="00A16DDB" w:rsidRPr="00D95127" w:rsidRDefault="00A16DDB" w:rsidP="007A627A">
            <w:pPr>
              <w:keepNext/>
              <w:jc w:val="center"/>
              <w:rPr>
                <w:rFonts w:cs="Times New Roman"/>
                <w:b/>
                <w:sz w:val="20"/>
                <w:szCs w:val="20"/>
                <w:lang w:val="cs-CZ"/>
              </w:rPr>
            </w:pPr>
            <w:r w:rsidRPr="00D95127">
              <w:rPr>
                <w:rFonts w:cs="Times New Roman"/>
                <w:b/>
                <w:sz w:val="20"/>
                <w:szCs w:val="20"/>
                <w:lang w:val="cs-CZ"/>
              </w:rPr>
              <w:t>CELKEM</w:t>
            </w:r>
          </w:p>
        </w:tc>
      </w:tr>
      <w:tr w:rsidR="00A16DDB" w:rsidRPr="00D95127" w14:paraId="379981E7" w14:textId="77777777" w:rsidTr="007A627A">
        <w:trPr>
          <w:trHeight w:val="301"/>
        </w:trPr>
        <w:tc>
          <w:tcPr>
            <w:tcW w:w="1244" w:type="dxa"/>
            <w:tcBorders>
              <w:top w:val="single" w:sz="12" w:space="0" w:color="auto"/>
              <w:left w:val="single" w:sz="18" w:space="0" w:color="auto"/>
              <w:right w:val="single" w:sz="12" w:space="0" w:color="auto"/>
            </w:tcBorders>
            <w:noWrap/>
            <w:tcMar>
              <w:top w:w="0" w:type="dxa"/>
              <w:left w:w="70" w:type="dxa"/>
              <w:bottom w:w="0" w:type="dxa"/>
              <w:right w:w="70" w:type="dxa"/>
            </w:tcMar>
            <w:vAlign w:val="center"/>
            <w:hideMark/>
          </w:tcPr>
          <w:p w14:paraId="65D911CE" w14:textId="77777777" w:rsidR="00A16DDB" w:rsidRPr="00D95127" w:rsidRDefault="00A16DDB" w:rsidP="007A627A">
            <w:pPr>
              <w:keepNext/>
              <w:rPr>
                <w:rFonts w:cs="Times New Roman"/>
                <w:sz w:val="20"/>
                <w:szCs w:val="20"/>
                <w:lang w:val="cs-CZ"/>
              </w:rPr>
            </w:pPr>
            <w:r w:rsidRPr="00D95127">
              <w:rPr>
                <w:rFonts w:cs="Times New Roman"/>
                <w:sz w:val="20"/>
                <w:szCs w:val="20"/>
                <w:lang w:val="cs-CZ"/>
              </w:rPr>
              <w:t>2013/2014</w:t>
            </w:r>
          </w:p>
        </w:tc>
        <w:tc>
          <w:tcPr>
            <w:tcW w:w="1655" w:type="dxa"/>
            <w:tcBorders>
              <w:top w:val="single" w:sz="12" w:space="0" w:color="auto"/>
              <w:left w:val="single" w:sz="12" w:space="0" w:color="auto"/>
              <w:right w:val="single" w:sz="6" w:space="0" w:color="auto"/>
            </w:tcBorders>
            <w:shd w:val="clear" w:color="auto" w:fill="FFFFFF"/>
            <w:noWrap/>
            <w:tcMar>
              <w:top w:w="0" w:type="dxa"/>
              <w:left w:w="70" w:type="dxa"/>
              <w:bottom w:w="0" w:type="dxa"/>
              <w:right w:w="70" w:type="dxa"/>
            </w:tcMar>
            <w:vAlign w:val="center"/>
            <w:hideMark/>
          </w:tcPr>
          <w:p w14:paraId="538CED18" w14:textId="77777777" w:rsidR="00A16DDB" w:rsidRPr="00D95127" w:rsidRDefault="00A16DDB" w:rsidP="007A627A">
            <w:pPr>
              <w:keepNext/>
              <w:jc w:val="center"/>
              <w:rPr>
                <w:rFonts w:cs="Times New Roman"/>
                <w:sz w:val="20"/>
                <w:szCs w:val="20"/>
                <w:lang w:val="cs-CZ"/>
              </w:rPr>
            </w:pPr>
            <w:r w:rsidRPr="00D95127">
              <w:rPr>
                <w:rFonts w:cs="Times New Roman"/>
                <w:sz w:val="20"/>
                <w:szCs w:val="20"/>
                <w:lang w:val="cs-CZ"/>
              </w:rPr>
              <w:t>216</w:t>
            </w:r>
          </w:p>
        </w:tc>
        <w:tc>
          <w:tcPr>
            <w:tcW w:w="1418" w:type="dxa"/>
            <w:tcBorders>
              <w:top w:val="single" w:sz="12" w:space="0" w:color="auto"/>
              <w:left w:val="single" w:sz="6" w:space="0" w:color="auto"/>
              <w:right w:val="single" w:sz="6" w:space="0" w:color="auto"/>
            </w:tcBorders>
            <w:shd w:val="clear" w:color="auto" w:fill="FFFFFF"/>
            <w:noWrap/>
            <w:tcMar>
              <w:top w:w="0" w:type="dxa"/>
              <w:left w:w="70" w:type="dxa"/>
              <w:bottom w:w="0" w:type="dxa"/>
              <w:right w:w="70" w:type="dxa"/>
            </w:tcMar>
            <w:vAlign w:val="center"/>
            <w:hideMark/>
          </w:tcPr>
          <w:p w14:paraId="607082B7" w14:textId="77777777" w:rsidR="00A16DDB" w:rsidRPr="00D95127" w:rsidRDefault="00A16DDB" w:rsidP="007A627A">
            <w:pPr>
              <w:keepNext/>
              <w:jc w:val="center"/>
              <w:rPr>
                <w:rFonts w:cs="Times New Roman"/>
                <w:sz w:val="20"/>
                <w:szCs w:val="20"/>
                <w:lang w:val="cs-CZ"/>
              </w:rPr>
            </w:pPr>
            <w:r w:rsidRPr="00D95127">
              <w:rPr>
                <w:rFonts w:cs="Times New Roman"/>
                <w:sz w:val="20"/>
                <w:szCs w:val="20"/>
                <w:lang w:val="cs-CZ"/>
              </w:rPr>
              <w:t>0</w:t>
            </w:r>
          </w:p>
        </w:tc>
        <w:tc>
          <w:tcPr>
            <w:tcW w:w="1701" w:type="dxa"/>
            <w:tcBorders>
              <w:top w:val="single" w:sz="12" w:space="0" w:color="auto"/>
              <w:left w:val="single" w:sz="6" w:space="0" w:color="auto"/>
              <w:right w:val="single" w:sz="6" w:space="0" w:color="auto"/>
            </w:tcBorders>
            <w:shd w:val="clear" w:color="auto" w:fill="FFFFFF"/>
            <w:noWrap/>
            <w:tcMar>
              <w:top w:w="0" w:type="dxa"/>
              <w:left w:w="70" w:type="dxa"/>
              <w:bottom w:w="0" w:type="dxa"/>
              <w:right w:w="70" w:type="dxa"/>
            </w:tcMar>
            <w:vAlign w:val="center"/>
          </w:tcPr>
          <w:p w14:paraId="57538DE1" w14:textId="77777777" w:rsidR="00A16DDB" w:rsidRPr="00D95127" w:rsidRDefault="00A16DDB" w:rsidP="007A627A">
            <w:pPr>
              <w:keepNext/>
              <w:jc w:val="center"/>
              <w:rPr>
                <w:rFonts w:cs="Times New Roman"/>
                <w:sz w:val="20"/>
                <w:szCs w:val="20"/>
                <w:lang w:val="cs-CZ"/>
              </w:rPr>
            </w:pPr>
            <w:r w:rsidRPr="00D95127">
              <w:rPr>
                <w:rFonts w:cs="Times New Roman"/>
                <w:sz w:val="20"/>
                <w:szCs w:val="20"/>
                <w:lang w:val="cs-CZ"/>
              </w:rPr>
              <w:t>263</w:t>
            </w:r>
          </w:p>
        </w:tc>
        <w:tc>
          <w:tcPr>
            <w:tcW w:w="1984" w:type="dxa"/>
            <w:tcBorders>
              <w:top w:val="single" w:sz="12" w:space="0" w:color="auto"/>
              <w:left w:val="single" w:sz="6" w:space="0" w:color="auto"/>
              <w:right w:val="single" w:sz="12" w:space="0" w:color="auto"/>
            </w:tcBorders>
            <w:shd w:val="clear" w:color="auto" w:fill="FFFFFF"/>
            <w:vAlign w:val="center"/>
          </w:tcPr>
          <w:p w14:paraId="3B76E40E" w14:textId="77777777" w:rsidR="00A16DDB" w:rsidRPr="00D95127" w:rsidRDefault="00A16DDB" w:rsidP="007A627A">
            <w:pPr>
              <w:keepNext/>
              <w:jc w:val="center"/>
              <w:rPr>
                <w:rFonts w:cs="Times New Roman"/>
                <w:sz w:val="20"/>
                <w:szCs w:val="20"/>
                <w:lang w:val="cs-CZ"/>
              </w:rPr>
            </w:pPr>
            <w:r w:rsidRPr="00D95127">
              <w:rPr>
                <w:rFonts w:cs="Times New Roman"/>
                <w:sz w:val="20"/>
                <w:szCs w:val="20"/>
                <w:lang w:val="cs-CZ"/>
              </w:rPr>
              <w:t>0</w:t>
            </w:r>
          </w:p>
        </w:tc>
        <w:tc>
          <w:tcPr>
            <w:tcW w:w="969" w:type="dxa"/>
            <w:tcBorders>
              <w:top w:val="single" w:sz="12" w:space="0" w:color="auto"/>
              <w:left w:val="single" w:sz="12" w:space="0" w:color="auto"/>
              <w:right w:val="single" w:sz="18" w:space="0" w:color="auto"/>
            </w:tcBorders>
            <w:shd w:val="clear" w:color="auto" w:fill="FFFFFF"/>
          </w:tcPr>
          <w:p w14:paraId="5B17B577" w14:textId="77777777" w:rsidR="00A16DDB" w:rsidRPr="00D95127" w:rsidRDefault="00A16DDB" w:rsidP="007A627A">
            <w:pPr>
              <w:keepNext/>
              <w:jc w:val="center"/>
              <w:rPr>
                <w:rFonts w:cs="Times New Roman"/>
                <w:b/>
                <w:sz w:val="20"/>
                <w:szCs w:val="20"/>
                <w:lang w:val="cs-CZ"/>
              </w:rPr>
            </w:pPr>
            <w:r w:rsidRPr="00D95127">
              <w:rPr>
                <w:rFonts w:cs="Times New Roman"/>
                <w:b/>
                <w:sz w:val="20"/>
                <w:szCs w:val="20"/>
                <w:lang w:val="cs-CZ"/>
              </w:rPr>
              <w:t>479</w:t>
            </w:r>
          </w:p>
        </w:tc>
      </w:tr>
      <w:tr w:rsidR="00A16DDB" w:rsidRPr="00D95127" w14:paraId="76AEB094" w14:textId="77777777" w:rsidTr="007A627A">
        <w:trPr>
          <w:trHeight w:val="301"/>
        </w:trPr>
        <w:tc>
          <w:tcPr>
            <w:tcW w:w="1244" w:type="dxa"/>
            <w:tcBorders>
              <w:top w:val="single" w:sz="6" w:space="0" w:color="auto"/>
              <w:left w:val="single" w:sz="18" w:space="0" w:color="auto"/>
              <w:right w:val="single" w:sz="12" w:space="0" w:color="auto"/>
            </w:tcBorders>
            <w:noWrap/>
            <w:tcMar>
              <w:top w:w="0" w:type="dxa"/>
              <w:left w:w="70" w:type="dxa"/>
              <w:bottom w:w="0" w:type="dxa"/>
              <w:right w:w="70" w:type="dxa"/>
            </w:tcMar>
            <w:vAlign w:val="center"/>
            <w:hideMark/>
          </w:tcPr>
          <w:p w14:paraId="1719556F" w14:textId="77777777" w:rsidR="00A16DDB" w:rsidRPr="00D95127" w:rsidRDefault="00A16DDB" w:rsidP="007A627A">
            <w:pPr>
              <w:keepNext/>
              <w:rPr>
                <w:rFonts w:cs="Times New Roman"/>
                <w:sz w:val="20"/>
                <w:szCs w:val="20"/>
                <w:lang w:val="cs-CZ"/>
              </w:rPr>
            </w:pPr>
            <w:r w:rsidRPr="00D95127">
              <w:rPr>
                <w:rFonts w:cs="Times New Roman"/>
                <w:sz w:val="20"/>
                <w:szCs w:val="20"/>
                <w:lang w:val="cs-CZ"/>
              </w:rPr>
              <w:t>2014/2015</w:t>
            </w:r>
          </w:p>
        </w:tc>
        <w:tc>
          <w:tcPr>
            <w:tcW w:w="1655" w:type="dxa"/>
            <w:tcBorders>
              <w:top w:val="single" w:sz="6" w:space="0" w:color="auto"/>
              <w:left w:val="single" w:sz="12" w:space="0" w:color="auto"/>
              <w:right w:val="single" w:sz="6" w:space="0" w:color="auto"/>
            </w:tcBorders>
            <w:shd w:val="clear" w:color="auto" w:fill="FFFFFF"/>
            <w:noWrap/>
            <w:tcMar>
              <w:top w:w="0" w:type="dxa"/>
              <w:left w:w="70" w:type="dxa"/>
              <w:bottom w:w="0" w:type="dxa"/>
              <w:right w:w="70" w:type="dxa"/>
            </w:tcMar>
            <w:vAlign w:val="center"/>
          </w:tcPr>
          <w:p w14:paraId="41EF46FC" w14:textId="77777777" w:rsidR="00A16DDB" w:rsidRPr="00D95127" w:rsidRDefault="00A16DDB" w:rsidP="007A627A">
            <w:pPr>
              <w:keepNext/>
              <w:jc w:val="center"/>
              <w:rPr>
                <w:rFonts w:cs="Times New Roman"/>
                <w:sz w:val="20"/>
                <w:szCs w:val="20"/>
                <w:lang w:val="cs-CZ"/>
              </w:rPr>
            </w:pPr>
            <w:r w:rsidRPr="00D95127">
              <w:rPr>
                <w:rFonts w:cs="Times New Roman"/>
                <w:sz w:val="20"/>
                <w:szCs w:val="20"/>
                <w:lang w:val="cs-CZ"/>
              </w:rPr>
              <w:t>3</w:t>
            </w:r>
          </w:p>
        </w:tc>
        <w:tc>
          <w:tcPr>
            <w:tcW w:w="1418" w:type="dxa"/>
            <w:tcBorders>
              <w:top w:val="single" w:sz="6" w:space="0" w:color="auto"/>
              <w:left w:val="single" w:sz="6" w:space="0" w:color="auto"/>
              <w:right w:val="single" w:sz="6" w:space="0" w:color="auto"/>
            </w:tcBorders>
            <w:shd w:val="clear" w:color="auto" w:fill="FFFFFF"/>
            <w:noWrap/>
            <w:tcMar>
              <w:top w:w="0" w:type="dxa"/>
              <w:left w:w="70" w:type="dxa"/>
              <w:bottom w:w="0" w:type="dxa"/>
              <w:right w:w="70" w:type="dxa"/>
            </w:tcMar>
            <w:vAlign w:val="center"/>
          </w:tcPr>
          <w:p w14:paraId="13830C37" w14:textId="77777777" w:rsidR="00A16DDB" w:rsidRPr="00D95127" w:rsidRDefault="00A16DDB" w:rsidP="007A627A">
            <w:pPr>
              <w:keepNext/>
              <w:jc w:val="center"/>
              <w:rPr>
                <w:rFonts w:cs="Times New Roman"/>
                <w:sz w:val="20"/>
                <w:szCs w:val="20"/>
                <w:lang w:val="cs-CZ"/>
              </w:rPr>
            </w:pPr>
            <w:r w:rsidRPr="00D95127">
              <w:rPr>
                <w:rFonts w:cs="Times New Roman"/>
                <w:sz w:val="20"/>
                <w:szCs w:val="20"/>
                <w:lang w:val="cs-CZ"/>
              </w:rPr>
              <w:t>0</w:t>
            </w:r>
          </w:p>
        </w:tc>
        <w:tc>
          <w:tcPr>
            <w:tcW w:w="1701" w:type="dxa"/>
            <w:tcBorders>
              <w:top w:val="single" w:sz="6" w:space="0" w:color="auto"/>
              <w:left w:val="single" w:sz="6" w:space="0" w:color="auto"/>
              <w:right w:val="single" w:sz="6" w:space="0" w:color="auto"/>
            </w:tcBorders>
            <w:shd w:val="clear" w:color="auto" w:fill="FFFFFF"/>
            <w:noWrap/>
            <w:tcMar>
              <w:top w:w="0" w:type="dxa"/>
              <w:left w:w="70" w:type="dxa"/>
              <w:bottom w:w="0" w:type="dxa"/>
              <w:right w:w="70" w:type="dxa"/>
            </w:tcMar>
            <w:vAlign w:val="center"/>
          </w:tcPr>
          <w:p w14:paraId="25784537" w14:textId="77777777" w:rsidR="00A16DDB" w:rsidRPr="00D95127" w:rsidRDefault="00A16DDB" w:rsidP="007A627A">
            <w:pPr>
              <w:keepNext/>
              <w:jc w:val="center"/>
              <w:rPr>
                <w:rFonts w:cs="Times New Roman"/>
                <w:sz w:val="20"/>
                <w:szCs w:val="20"/>
                <w:lang w:val="cs-CZ"/>
              </w:rPr>
            </w:pPr>
            <w:r w:rsidRPr="00D95127">
              <w:rPr>
                <w:rFonts w:cs="Times New Roman"/>
                <w:sz w:val="20"/>
                <w:szCs w:val="20"/>
                <w:lang w:val="cs-CZ"/>
              </w:rPr>
              <w:t>259</w:t>
            </w:r>
          </w:p>
        </w:tc>
        <w:tc>
          <w:tcPr>
            <w:tcW w:w="1984" w:type="dxa"/>
            <w:tcBorders>
              <w:top w:val="single" w:sz="6" w:space="0" w:color="auto"/>
              <w:left w:val="single" w:sz="6" w:space="0" w:color="auto"/>
              <w:right w:val="single" w:sz="12" w:space="0" w:color="auto"/>
            </w:tcBorders>
            <w:shd w:val="clear" w:color="auto" w:fill="FFFFFF"/>
            <w:vAlign w:val="center"/>
          </w:tcPr>
          <w:p w14:paraId="12042168" w14:textId="77777777" w:rsidR="00A16DDB" w:rsidRPr="00D95127" w:rsidRDefault="00A16DDB" w:rsidP="007A627A">
            <w:pPr>
              <w:keepNext/>
              <w:jc w:val="center"/>
              <w:rPr>
                <w:rFonts w:cs="Times New Roman"/>
                <w:sz w:val="20"/>
                <w:szCs w:val="20"/>
                <w:lang w:val="cs-CZ"/>
              </w:rPr>
            </w:pPr>
            <w:r w:rsidRPr="00D95127">
              <w:rPr>
                <w:rFonts w:cs="Times New Roman"/>
                <w:sz w:val="20"/>
                <w:szCs w:val="20"/>
                <w:lang w:val="cs-CZ"/>
              </w:rPr>
              <w:t>0</w:t>
            </w:r>
          </w:p>
        </w:tc>
        <w:tc>
          <w:tcPr>
            <w:tcW w:w="969" w:type="dxa"/>
            <w:tcBorders>
              <w:top w:val="single" w:sz="6" w:space="0" w:color="auto"/>
              <w:left w:val="single" w:sz="12" w:space="0" w:color="auto"/>
              <w:right w:val="single" w:sz="18" w:space="0" w:color="auto"/>
            </w:tcBorders>
            <w:shd w:val="clear" w:color="auto" w:fill="FFFFFF"/>
          </w:tcPr>
          <w:p w14:paraId="43823EC4" w14:textId="77777777" w:rsidR="00A16DDB" w:rsidRPr="00D95127" w:rsidRDefault="00A16DDB" w:rsidP="007A627A">
            <w:pPr>
              <w:keepNext/>
              <w:jc w:val="center"/>
              <w:rPr>
                <w:rFonts w:cs="Times New Roman"/>
                <w:b/>
                <w:sz w:val="20"/>
                <w:szCs w:val="20"/>
                <w:lang w:val="cs-CZ"/>
              </w:rPr>
            </w:pPr>
            <w:r w:rsidRPr="00D95127">
              <w:rPr>
                <w:rFonts w:cs="Times New Roman"/>
                <w:b/>
                <w:sz w:val="20"/>
                <w:szCs w:val="20"/>
                <w:lang w:val="cs-CZ"/>
              </w:rPr>
              <w:t>262</w:t>
            </w:r>
          </w:p>
        </w:tc>
      </w:tr>
      <w:tr w:rsidR="00A16DDB" w:rsidRPr="00D95127" w14:paraId="7D4F230D" w14:textId="77777777" w:rsidTr="007A627A">
        <w:trPr>
          <w:trHeight w:val="301"/>
        </w:trPr>
        <w:tc>
          <w:tcPr>
            <w:tcW w:w="1244" w:type="dxa"/>
            <w:tcBorders>
              <w:top w:val="single" w:sz="6" w:space="0" w:color="auto"/>
              <w:left w:val="single" w:sz="18" w:space="0" w:color="auto"/>
              <w:right w:val="single" w:sz="12" w:space="0" w:color="auto"/>
            </w:tcBorders>
            <w:noWrap/>
            <w:tcMar>
              <w:top w:w="0" w:type="dxa"/>
              <w:left w:w="70" w:type="dxa"/>
              <w:bottom w:w="0" w:type="dxa"/>
              <w:right w:w="70" w:type="dxa"/>
            </w:tcMar>
            <w:vAlign w:val="center"/>
            <w:hideMark/>
          </w:tcPr>
          <w:p w14:paraId="26B913A1" w14:textId="77777777" w:rsidR="00A16DDB" w:rsidRPr="00D95127" w:rsidRDefault="00A16DDB" w:rsidP="007A627A">
            <w:pPr>
              <w:keepNext/>
              <w:rPr>
                <w:rFonts w:cs="Times New Roman"/>
                <w:sz w:val="20"/>
                <w:szCs w:val="20"/>
                <w:lang w:val="cs-CZ"/>
              </w:rPr>
            </w:pPr>
            <w:r w:rsidRPr="00D95127">
              <w:rPr>
                <w:rFonts w:cs="Times New Roman"/>
                <w:sz w:val="20"/>
                <w:szCs w:val="20"/>
                <w:lang w:val="cs-CZ"/>
              </w:rPr>
              <w:t>2015/2016</w:t>
            </w:r>
          </w:p>
        </w:tc>
        <w:tc>
          <w:tcPr>
            <w:tcW w:w="1655" w:type="dxa"/>
            <w:tcBorders>
              <w:top w:val="single" w:sz="6" w:space="0" w:color="auto"/>
              <w:left w:val="single" w:sz="12" w:space="0" w:color="auto"/>
              <w:right w:val="single" w:sz="6" w:space="0" w:color="auto"/>
            </w:tcBorders>
            <w:shd w:val="clear" w:color="auto" w:fill="FFFFFF"/>
            <w:noWrap/>
            <w:tcMar>
              <w:top w:w="0" w:type="dxa"/>
              <w:left w:w="70" w:type="dxa"/>
              <w:bottom w:w="0" w:type="dxa"/>
              <w:right w:w="70" w:type="dxa"/>
            </w:tcMar>
            <w:vAlign w:val="center"/>
          </w:tcPr>
          <w:p w14:paraId="2532D6B0" w14:textId="77777777" w:rsidR="00A16DDB" w:rsidRPr="00D95127" w:rsidRDefault="00A16DDB" w:rsidP="007A627A">
            <w:pPr>
              <w:keepNext/>
              <w:jc w:val="center"/>
              <w:rPr>
                <w:rFonts w:cs="Times New Roman"/>
                <w:sz w:val="20"/>
                <w:szCs w:val="20"/>
                <w:lang w:val="cs-CZ"/>
              </w:rPr>
            </w:pPr>
            <w:r w:rsidRPr="00D95127">
              <w:rPr>
                <w:rFonts w:cs="Times New Roman"/>
                <w:sz w:val="20"/>
                <w:szCs w:val="20"/>
                <w:lang w:val="cs-CZ"/>
              </w:rPr>
              <w:t>15</w:t>
            </w:r>
          </w:p>
        </w:tc>
        <w:tc>
          <w:tcPr>
            <w:tcW w:w="1418" w:type="dxa"/>
            <w:tcBorders>
              <w:top w:val="single" w:sz="6" w:space="0" w:color="auto"/>
              <w:left w:val="single" w:sz="6" w:space="0" w:color="auto"/>
              <w:right w:val="single" w:sz="6" w:space="0" w:color="auto"/>
            </w:tcBorders>
            <w:shd w:val="clear" w:color="auto" w:fill="FFFFFF"/>
            <w:noWrap/>
            <w:tcMar>
              <w:top w:w="0" w:type="dxa"/>
              <w:left w:w="70" w:type="dxa"/>
              <w:bottom w:w="0" w:type="dxa"/>
              <w:right w:w="70" w:type="dxa"/>
            </w:tcMar>
            <w:vAlign w:val="center"/>
          </w:tcPr>
          <w:p w14:paraId="2A62F78E" w14:textId="77777777" w:rsidR="00A16DDB" w:rsidRPr="00D95127" w:rsidRDefault="00A16DDB" w:rsidP="007A627A">
            <w:pPr>
              <w:keepNext/>
              <w:jc w:val="center"/>
              <w:rPr>
                <w:rFonts w:cs="Times New Roman"/>
                <w:sz w:val="20"/>
                <w:szCs w:val="20"/>
                <w:lang w:val="cs-CZ"/>
              </w:rPr>
            </w:pPr>
            <w:r w:rsidRPr="00D95127">
              <w:rPr>
                <w:rFonts w:cs="Times New Roman"/>
                <w:sz w:val="20"/>
                <w:szCs w:val="20"/>
                <w:lang w:val="cs-CZ"/>
              </w:rPr>
              <w:t>0</w:t>
            </w:r>
          </w:p>
        </w:tc>
        <w:tc>
          <w:tcPr>
            <w:tcW w:w="1701" w:type="dxa"/>
            <w:tcBorders>
              <w:top w:val="single" w:sz="6" w:space="0" w:color="auto"/>
              <w:left w:val="single" w:sz="6" w:space="0" w:color="auto"/>
              <w:right w:val="single" w:sz="6" w:space="0" w:color="auto"/>
            </w:tcBorders>
            <w:shd w:val="clear" w:color="auto" w:fill="FFFFFF"/>
            <w:noWrap/>
            <w:tcMar>
              <w:top w:w="0" w:type="dxa"/>
              <w:left w:w="70" w:type="dxa"/>
              <w:bottom w:w="0" w:type="dxa"/>
              <w:right w:w="70" w:type="dxa"/>
            </w:tcMar>
            <w:vAlign w:val="center"/>
          </w:tcPr>
          <w:p w14:paraId="31BFBF5B" w14:textId="77777777" w:rsidR="00A16DDB" w:rsidRPr="00D95127" w:rsidRDefault="00A16DDB" w:rsidP="007A627A">
            <w:pPr>
              <w:keepNext/>
              <w:jc w:val="center"/>
              <w:rPr>
                <w:rFonts w:cs="Times New Roman"/>
                <w:sz w:val="20"/>
                <w:szCs w:val="20"/>
                <w:lang w:val="cs-CZ"/>
              </w:rPr>
            </w:pPr>
            <w:r w:rsidRPr="00D95127">
              <w:rPr>
                <w:rFonts w:cs="Times New Roman"/>
                <w:sz w:val="20"/>
                <w:szCs w:val="20"/>
                <w:lang w:val="cs-CZ"/>
              </w:rPr>
              <w:t>284</w:t>
            </w:r>
          </w:p>
        </w:tc>
        <w:tc>
          <w:tcPr>
            <w:tcW w:w="1984" w:type="dxa"/>
            <w:tcBorders>
              <w:top w:val="single" w:sz="6" w:space="0" w:color="auto"/>
              <w:left w:val="single" w:sz="6" w:space="0" w:color="auto"/>
              <w:right w:val="single" w:sz="12" w:space="0" w:color="auto"/>
            </w:tcBorders>
            <w:shd w:val="clear" w:color="auto" w:fill="FFFFFF"/>
            <w:vAlign w:val="center"/>
          </w:tcPr>
          <w:p w14:paraId="241CC573" w14:textId="77777777" w:rsidR="00A16DDB" w:rsidRPr="00D95127" w:rsidRDefault="00A16DDB" w:rsidP="007A627A">
            <w:pPr>
              <w:keepNext/>
              <w:jc w:val="center"/>
              <w:rPr>
                <w:rFonts w:cs="Times New Roman"/>
                <w:sz w:val="20"/>
                <w:szCs w:val="20"/>
                <w:lang w:val="cs-CZ"/>
              </w:rPr>
            </w:pPr>
            <w:r w:rsidRPr="00D95127">
              <w:rPr>
                <w:rFonts w:cs="Times New Roman"/>
                <w:sz w:val="20"/>
                <w:szCs w:val="20"/>
                <w:lang w:val="cs-CZ"/>
              </w:rPr>
              <w:t>0</w:t>
            </w:r>
          </w:p>
        </w:tc>
        <w:tc>
          <w:tcPr>
            <w:tcW w:w="969" w:type="dxa"/>
            <w:tcBorders>
              <w:top w:val="single" w:sz="6" w:space="0" w:color="auto"/>
              <w:left w:val="single" w:sz="12" w:space="0" w:color="auto"/>
              <w:right w:val="single" w:sz="18" w:space="0" w:color="auto"/>
            </w:tcBorders>
            <w:shd w:val="clear" w:color="auto" w:fill="FFFFFF"/>
          </w:tcPr>
          <w:p w14:paraId="7ECF99E0" w14:textId="77777777" w:rsidR="00A16DDB" w:rsidRPr="00D95127" w:rsidRDefault="00A16DDB" w:rsidP="007A627A">
            <w:pPr>
              <w:keepNext/>
              <w:jc w:val="center"/>
              <w:rPr>
                <w:rFonts w:cs="Times New Roman"/>
                <w:b/>
                <w:sz w:val="20"/>
                <w:szCs w:val="20"/>
                <w:lang w:val="cs-CZ"/>
              </w:rPr>
            </w:pPr>
            <w:r w:rsidRPr="00D95127">
              <w:rPr>
                <w:rFonts w:cs="Times New Roman"/>
                <w:b/>
                <w:sz w:val="20"/>
                <w:szCs w:val="20"/>
                <w:lang w:val="cs-CZ"/>
              </w:rPr>
              <w:t>299</w:t>
            </w:r>
          </w:p>
        </w:tc>
      </w:tr>
      <w:tr w:rsidR="00A16DDB" w:rsidRPr="00D95127" w14:paraId="0CDB8712" w14:textId="77777777" w:rsidTr="007A627A">
        <w:trPr>
          <w:trHeight w:val="301"/>
        </w:trPr>
        <w:tc>
          <w:tcPr>
            <w:tcW w:w="1244" w:type="dxa"/>
            <w:tcBorders>
              <w:top w:val="single" w:sz="6" w:space="0" w:color="auto"/>
              <w:left w:val="single" w:sz="18" w:space="0" w:color="auto"/>
              <w:right w:val="single" w:sz="12" w:space="0" w:color="auto"/>
            </w:tcBorders>
            <w:noWrap/>
            <w:tcMar>
              <w:top w:w="0" w:type="dxa"/>
              <w:left w:w="70" w:type="dxa"/>
              <w:bottom w:w="0" w:type="dxa"/>
              <w:right w:w="70" w:type="dxa"/>
            </w:tcMar>
            <w:vAlign w:val="center"/>
            <w:hideMark/>
          </w:tcPr>
          <w:p w14:paraId="6000B384" w14:textId="77777777" w:rsidR="00A16DDB" w:rsidRPr="00D95127" w:rsidRDefault="00A16DDB" w:rsidP="007A627A">
            <w:pPr>
              <w:keepNext/>
              <w:rPr>
                <w:rFonts w:cs="Times New Roman"/>
                <w:sz w:val="20"/>
                <w:szCs w:val="20"/>
                <w:lang w:val="cs-CZ"/>
              </w:rPr>
            </w:pPr>
            <w:r w:rsidRPr="00D95127">
              <w:rPr>
                <w:rFonts w:cs="Times New Roman"/>
                <w:sz w:val="20"/>
                <w:szCs w:val="20"/>
                <w:lang w:val="cs-CZ"/>
              </w:rPr>
              <w:t>2016/2017</w:t>
            </w:r>
          </w:p>
        </w:tc>
        <w:tc>
          <w:tcPr>
            <w:tcW w:w="1655" w:type="dxa"/>
            <w:tcBorders>
              <w:top w:val="single" w:sz="6" w:space="0" w:color="auto"/>
              <w:left w:val="single" w:sz="12" w:space="0" w:color="auto"/>
              <w:right w:val="single" w:sz="6" w:space="0" w:color="auto"/>
            </w:tcBorders>
            <w:shd w:val="clear" w:color="auto" w:fill="FFFFFF"/>
            <w:noWrap/>
            <w:tcMar>
              <w:top w:w="0" w:type="dxa"/>
              <w:left w:w="70" w:type="dxa"/>
              <w:bottom w:w="0" w:type="dxa"/>
              <w:right w:w="70" w:type="dxa"/>
            </w:tcMar>
            <w:vAlign w:val="center"/>
          </w:tcPr>
          <w:p w14:paraId="15F3AA4B" w14:textId="77777777" w:rsidR="00A16DDB" w:rsidRPr="00D95127" w:rsidRDefault="00A16DDB" w:rsidP="007A627A">
            <w:pPr>
              <w:keepNext/>
              <w:jc w:val="center"/>
              <w:rPr>
                <w:rFonts w:cs="Times New Roman"/>
                <w:sz w:val="20"/>
                <w:szCs w:val="20"/>
                <w:lang w:val="cs-CZ"/>
              </w:rPr>
            </w:pPr>
            <w:r w:rsidRPr="00D95127">
              <w:rPr>
                <w:rFonts w:cs="Times New Roman"/>
                <w:sz w:val="20"/>
                <w:szCs w:val="20"/>
                <w:lang w:val="cs-CZ"/>
              </w:rPr>
              <w:t>0</w:t>
            </w:r>
          </w:p>
        </w:tc>
        <w:tc>
          <w:tcPr>
            <w:tcW w:w="1418" w:type="dxa"/>
            <w:tcBorders>
              <w:top w:val="single" w:sz="6" w:space="0" w:color="auto"/>
              <w:left w:val="single" w:sz="6" w:space="0" w:color="auto"/>
              <w:right w:val="single" w:sz="6" w:space="0" w:color="auto"/>
            </w:tcBorders>
            <w:shd w:val="clear" w:color="auto" w:fill="FFFFFF"/>
            <w:noWrap/>
            <w:tcMar>
              <w:top w:w="0" w:type="dxa"/>
              <w:left w:w="70" w:type="dxa"/>
              <w:bottom w:w="0" w:type="dxa"/>
              <w:right w:w="70" w:type="dxa"/>
            </w:tcMar>
            <w:vAlign w:val="center"/>
          </w:tcPr>
          <w:p w14:paraId="3FD8C2D5" w14:textId="77777777" w:rsidR="00A16DDB" w:rsidRPr="00D95127" w:rsidRDefault="00A16DDB" w:rsidP="007A627A">
            <w:pPr>
              <w:keepNext/>
              <w:jc w:val="center"/>
              <w:rPr>
                <w:rFonts w:cs="Times New Roman"/>
                <w:sz w:val="20"/>
                <w:szCs w:val="20"/>
                <w:lang w:val="cs-CZ"/>
              </w:rPr>
            </w:pPr>
            <w:r w:rsidRPr="00D95127">
              <w:rPr>
                <w:rFonts w:cs="Times New Roman"/>
                <w:sz w:val="20"/>
                <w:szCs w:val="20"/>
                <w:lang w:val="cs-CZ"/>
              </w:rPr>
              <w:t>0</w:t>
            </w:r>
          </w:p>
        </w:tc>
        <w:tc>
          <w:tcPr>
            <w:tcW w:w="1701" w:type="dxa"/>
            <w:tcBorders>
              <w:top w:val="single" w:sz="6" w:space="0" w:color="auto"/>
              <w:left w:val="single" w:sz="6" w:space="0" w:color="auto"/>
              <w:right w:val="single" w:sz="6" w:space="0" w:color="auto"/>
            </w:tcBorders>
            <w:shd w:val="clear" w:color="auto" w:fill="FFFFFF"/>
            <w:noWrap/>
            <w:tcMar>
              <w:top w:w="0" w:type="dxa"/>
              <w:left w:w="70" w:type="dxa"/>
              <w:bottom w:w="0" w:type="dxa"/>
              <w:right w:w="70" w:type="dxa"/>
            </w:tcMar>
            <w:vAlign w:val="center"/>
          </w:tcPr>
          <w:p w14:paraId="79B73912" w14:textId="77777777" w:rsidR="00A16DDB" w:rsidRPr="00D95127" w:rsidRDefault="00A16DDB" w:rsidP="007A627A">
            <w:pPr>
              <w:keepNext/>
              <w:jc w:val="center"/>
              <w:rPr>
                <w:rFonts w:cs="Times New Roman"/>
                <w:sz w:val="20"/>
                <w:szCs w:val="20"/>
                <w:lang w:val="cs-CZ"/>
              </w:rPr>
            </w:pPr>
            <w:r w:rsidRPr="00D95127">
              <w:rPr>
                <w:rFonts w:cs="Times New Roman"/>
                <w:sz w:val="20"/>
                <w:szCs w:val="20"/>
                <w:lang w:val="cs-CZ"/>
              </w:rPr>
              <w:t>273</w:t>
            </w:r>
          </w:p>
        </w:tc>
        <w:tc>
          <w:tcPr>
            <w:tcW w:w="1984" w:type="dxa"/>
            <w:tcBorders>
              <w:top w:val="single" w:sz="6" w:space="0" w:color="auto"/>
              <w:left w:val="single" w:sz="6" w:space="0" w:color="auto"/>
              <w:right w:val="single" w:sz="12" w:space="0" w:color="auto"/>
            </w:tcBorders>
            <w:shd w:val="clear" w:color="auto" w:fill="FFFFFF"/>
            <w:vAlign w:val="center"/>
          </w:tcPr>
          <w:p w14:paraId="051563A0" w14:textId="77777777" w:rsidR="00A16DDB" w:rsidRPr="00D95127" w:rsidRDefault="00A16DDB" w:rsidP="007A627A">
            <w:pPr>
              <w:keepNext/>
              <w:jc w:val="center"/>
              <w:rPr>
                <w:rFonts w:cs="Times New Roman"/>
                <w:sz w:val="20"/>
                <w:szCs w:val="20"/>
                <w:lang w:val="cs-CZ"/>
              </w:rPr>
            </w:pPr>
            <w:r w:rsidRPr="00D95127">
              <w:rPr>
                <w:rFonts w:cs="Times New Roman"/>
                <w:sz w:val="20"/>
                <w:szCs w:val="20"/>
                <w:lang w:val="cs-CZ"/>
              </w:rPr>
              <w:t>14</w:t>
            </w:r>
          </w:p>
        </w:tc>
        <w:tc>
          <w:tcPr>
            <w:tcW w:w="969" w:type="dxa"/>
            <w:tcBorders>
              <w:top w:val="single" w:sz="6" w:space="0" w:color="auto"/>
              <w:left w:val="single" w:sz="12" w:space="0" w:color="auto"/>
              <w:right w:val="single" w:sz="18" w:space="0" w:color="auto"/>
            </w:tcBorders>
            <w:shd w:val="clear" w:color="auto" w:fill="FFFFFF"/>
          </w:tcPr>
          <w:p w14:paraId="209B9CCF" w14:textId="77777777" w:rsidR="00A16DDB" w:rsidRPr="00D95127" w:rsidRDefault="00A16DDB" w:rsidP="007A627A">
            <w:pPr>
              <w:keepNext/>
              <w:jc w:val="center"/>
              <w:rPr>
                <w:rFonts w:cs="Times New Roman"/>
                <w:b/>
                <w:sz w:val="20"/>
                <w:szCs w:val="20"/>
                <w:lang w:val="cs-CZ"/>
              </w:rPr>
            </w:pPr>
            <w:r w:rsidRPr="00D95127">
              <w:rPr>
                <w:rFonts w:cs="Times New Roman"/>
                <w:b/>
                <w:sz w:val="20"/>
                <w:szCs w:val="20"/>
                <w:lang w:val="cs-CZ"/>
              </w:rPr>
              <w:t>287</w:t>
            </w:r>
          </w:p>
        </w:tc>
      </w:tr>
      <w:tr w:rsidR="00A16DDB" w:rsidRPr="00D95127" w14:paraId="192B91F5" w14:textId="77777777" w:rsidTr="007A627A">
        <w:trPr>
          <w:trHeight w:val="301"/>
        </w:trPr>
        <w:tc>
          <w:tcPr>
            <w:tcW w:w="1244" w:type="dxa"/>
            <w:tcBorders>
              <w:top w:val="single" w:sz="6" w:space="0" w:color="auto"/>
              <w:left w:val="single" w:sz="18" w:space="0" w:color="auto"/>
              <w:bottom w:val="single" w:sz="12" w:space="0" w:color="auto"/>
              <w:right w:val="single" w:sz="12" w:space="0" w:color="auto"/>
            </w:tcBorders>
            <w:noWrap/>
            <w:tcMar>
              <w:top w:w="0" w:type="dxa"/>
              <w:left w:w="70" w:type="dxa"/>
              <w:bottom w:w="0" w:type="dxa"/>
              <w:right w:w="70" w:type="dxa"/>
            </w:tcMar>
            <w:vAlign w:val="center"/>
          </w:tcPr>
          <w:p w14:paraId="5CD97728" w14:textId="77777777" w:rsidR="00A16DDB" w:rsidRPr="00D95127" w:rsidRDefault="00A16DDB" w:rsidP="007A627A">
            <w:pPr>
              <w:keepNext/>
              <w:rPr>
                <w:rFonts w:cs="Times New Roman"/>
                <w:sz w:val="20"/>
                <w:szCs w:val="20"/>
                <w:lang w:val="cs-CZ"/>
              </w:rPr>
            </w:pPr>
            <w:r w:rsidRPr="00D95127">
              <w:rPr>
                <w:rFonts w:cs="Times New Roman"/>
                <w:sz w:val="20"/>
                <w:szCs w:val="20"/>
                <w:lang w:val="cs-CZ"/>
              </w:rPr>
              <w:t>2017/2018</w:t>
            </w:r>
          </w:p>
        </w:tc>
        <w:tc>
          <w:tcPr>
            <w:tcW w:w="1655" w:type="dxa"/>
            <w:tcBorders>
              <w:top w:val="single" w:sz="6" w:space="0" w:color="auto"/>
              <w:left w:val="single" w:sz="12" w:space="0" w:color="auto"/>
              <w:bottom w:val="single" w:sz="12" w:space="0" w:color="auto"/>
              <w:right w:val="single" w:sz="6" w:space="0" w:color="auto"/>
            </w:tcBorders>
            <w:shd w:val="clear" w:color="auto" w:fill="FFFFFF"/>
            <w:noWrap/>
            <w:tcMar>
              <w:top w:w="0" w:type="dxa"/>
              <w:left w:w="70" w:type="dxa"/>
              <w:bottom w:w="0" w:type="dxa"/>
              <w:right w:w="70" w:type="dxa"/>
            </w:tcMar>
            <w:vAlign w:val="center"/>
          </w:tcPr>
          <w:p w14:paraId="1DBD2D86" w14:textId="77777777" w:rsidR="00A16DDB" w:rsidRPr="00D95127" w:rsidRDefault="00A16DDB" w:rsidP="007A627A">
            <w:pPr>
              <w:keepNext/>
              <w:jc w:val="center"/>
              <w:rPr>
                <w:rFonts w:cs="Times New Roman"/>
                <w:sz w:val="20"/>
                <w:szCs w:val="20"/>
                <w:lang w:val="cs-CZ"/>
              </w:rPr>
            </w:pPr>
            <w:r w:rsidRPr="00D95127">
              <w:rPr>
                <w:rFonts w:cs="Times New Roman"/>
                <w:sz w:val="20"/>
                <w:szCs w:val="20"/>
                <w:lang w:val="cs-CZ"/>
              </w:rPr>
              <w:t>0</w:t>
            </w:r>
          </w:p>
        </w:tc>
        <w:tc>
          <w:tcPr>
            <w:tcW w:w="1418" w:type="dxa"/>
            <w:tcBorders>
              <w:top w:val="single" w:sz="6" w:space="0" w:color="auto"/>
              <w:left w:val="single" w:sz="6" w:space="0" w:color="auto"/>
              <w:bottom w:val="single" w:sz="12" w:space="0" w:color="auto"/>
              <w:right w:val="single" w:sz="6" w:space="0" w:color="auto"/>
            </w:tcBorders>
            <w:shd w:val="clear" w:color="auto" w:fill="FFFFFF"/>
            <w:noWrap/>
            <w:tcMar>
              <w:top w:w="0" w:type="dxa"/>
              <w:left w:w="70" w:type="dxa"/>
              <w:bottom w:w="0" w:type="dxa"/>
              <w:right w:w="70" w:type="dxa"/>
            </w:tcMar>
            <w:vAlign w:val="center"/>
          </w:tcPr>
          <w:p w14:paraId="7D88280C" w14:textId="77777777" w:rsidR="00A16DDB" w:rsidRPr="00D95127" w:rsidRDefault="00A16DDB" w:rsidP="007A627A">
            <w:pPr>
              <w:keepNext/>
              <w:jc w:val="center"/>
              <w:rPr>
                <w:rFonts w:cs="Times New Roman"/>
                <w:sz w:val="20"/>
                <w:szCs w:val="20"/>
                <w:lang w:val="cs-CZ"/>
              </w:rPr>
            </w:pPr>
            <w:r w:rsidRPr="00D95127">
              <w:rPr>
                <w:rFonts w:cs="Times New Roman"/>
                <w:sz w:val="20"/>
                <w:szCs w:val="20"/>
                <w:lang w:val="cs-CZ"/>
              </w:rPr>
              <w:t>0</w:t>
            </w:r>
          </w:p>
        </w:tc>
        <w:tc>
          <w:tcPr>
            <w:tcW w:w="1701" w:type="dxa"/>
            <w:tcBorders>
              <w:top w:val="single" w:sz="6" w:space="0" w:color="auto"/>
              <w:left w:val="single" w:sz="6" w:space="0" w:color="auto"/>
              <w:bottom w:val="single" w:sz="12" w:space="0" w:color="auto"/>
              <w:right w:val="single" w:sz="6" w:space="0" w:color="auto"/>
            </w:tcBorders>
            <w:shd w:val="clear" w:color="auto" w:fill="FFFFFF"/>
            <w:noWrap/>
            <w:tcMar>
              <w:top w:w="0" w:type="dxa"/>
              <w:left w:w="70" w:type="dxa"/>
              <w:bottom w:w="0" w:type="dxa"/>
              <w:right w:w="70" w:type="dxa"/>
            </w:tcMar>
            <w:vAlign w:val="center"/>
          </w:tcPr>
          <w:p w14:paraId="6B75414E" w14:textId="77777777" w:rsidR="00A16DDB" w:rsidRPr="00D95127" w:rsidRDefault="00A16DDB" w:rsidP="007A627A">
            <w:pPr>
              <w:keepNext/>
              <w:jc w:val="center"/>
              <w:rPr>
                <w:rFonts w:cs="Times New Roman"/>
                <w:sz w:val="20"/>
                <w:szCs w:val="20"/>
                <w:lang w:val="cs-CZ"/>
              </w:rPr>
            </w:pPr>
            <w:r w:rsidRPr="00D95127">
              <w:rPr>
                <w:rFonts w:cs="Times New Roman"/>
                <w:sz w:val="20"/>
                <w:szCs w:val="20"/>
                <w:lang w:val="cs-CZ"/>
              </w:rPr>
              <w:t>238</w:t>
            </w:r>
          </w:p>
        </w:tc>
        <w:tc>
          <w:tcPr>
            <w:tcW w:w="1984" w:type="dxa"/>
            <w:tcBorders>
              <w:top w:val="single" w:sz="6" w:space="0" w:color="auto"/>
              <w:left w:val="single" w:sz="6" w:space="0" w:color="auto"/>
              <w:bottom w:val="single" w:sz="12" w:space="0" w:color="auto"/>
              <w:right w:val="single" w:sz="12" w:space="0" w:color="auto"/>
            </w:tcBorders>
            <w:shd w:val="clear" w:color="auto" w:fill="FFFFFF"/>
            <w:vAlign w:val="center"/>
          </w:tcPr>
          <w:p w14:paraId="0C572B60" w14:textId="77777777" w:rsidR="00A16DDB" w:rsidRPr="00D95127" w:rsidRDefault="00A16DDB" w:rsidP="007A627A">
            <w:pPr>
              <w:keepNext/>
              <w:jc w:val="center"/>
              <w:rPr>
                <w:rFonts w:cs="Times New Roman"/>
                <w:sz w:val="20"/>
                <w:szCs w:val="20"/>
                <w:lang w:val="cs-CZ"/>
              </w:rPr>
            </w:pPr>
            <w:r w:rsidRPr="00D95127">
              <w:rPr>
                <w:rFonts w:cs="Times New Roman"/>
                <w:sz w:val="20"/>
                <w:szCs w:val="20"/>
                <w:lang w:val="cs-CZ"/>
              </w:rPr>
              <w:t>22</w:t>
            </w:r>
          </w:p>
        </w:tc>
        <w:tc>
          <w:tcPr>
            <w:tcW w:w="969" w:type="dxa"/>
            <w:tcBorders>
              <w:top w:val="single" w:sz="6" w:space="0" w:color="auto"/>
              <w:left w:val="single" w:sz="12" w:space="0" w:color="auto"/>
              <w:bottom w:val="single" w:sz="12" w:space="0" w:color="auto"/>
              <w:right w:val="single" w:sz="18" w:space="0" w:color="auto"/>
            </w:tcBorders>
            <w:shd w:val="clear" w:color="auto" w:fill="FFFFFF"/>
          </w:tcPr>
          <w:p w14:paraId="0727B3DB" w14:textId="77777777" w:rsidR="00A16DDB" w:rsidRPr="00D95127" w:rsidRDefault="00A16DDB" w:rsidP="007A627A">
            <w:pPr>
              <w:keepNext/>
              <w:jc w:val="center"/>
              <w:rPr>
                <w:rFonts w:cs="Times New Roman"/>
                <w:b/>
                <w:sz w:val="20"/>
                <w:szCs w:val="20"/>
                <w:lang w:val="cs-CZ"/>
              </w:rPr>
            </w:pPr>
            <w:r w:rsidRPr="00D95127">
              <w:rPr>
                <w:rFonts w:cs="Times New Roman"/>
                <w:b/>
                <w:sz w:val="20"/>
                <w:szCs w:val="20"/>
                <w:lang w:val="cs-CZ"/>
              </w:rPr>
              <w:t>260</w:t>
            </w:r>
          </w:p>
        </w:tc>
      </w:tr>
      <w:tr w:rsidR="00A16DDB" w:rsidRPr="00D95127" w14:paraId="7D5C1E58" w14:textId="77777777" w:rsidTr="007A627A">
        <w:trPr>
          <w:trHeight w:val="301"/>
        </w:trPr>
        <w:tc>
          <w:tcPr>
            <w:tcW w:w="1244" w:type="dxa"/>
            <w:tcBorders>
              <w:top w:val="single" w:sz="6" w:space="0" w:color="auto"/>
              <w:left w:val="single" w:sz="18" w:space="0" w:color="auto"/>
              <w:bottom w:val="single" w:sz="12" w:space="0" w:color="auto"/>
              <w:right w:val="single" w:sz="12" w:space="0" w:color="auto"/>
            </w:tcBorders>
            <w:noWrap/>
            <w:tcMar>
              <w:top w:w="0" w:type="dxa"/>
              <w:left w:w="70" w:type="dxa"/>
              <w:bottom w:w="0" w:type="dxa"/>
              <w:right w:w="70" w:type="dxa"/>
            </w:tcMar>
            <w:vAlign w:val="center"/>
          </w:tcPr>
          <w:p w14:paraId="378B1CBA" w14:textId="77777777" w:rsidR="00A16DDB" w:rsidRPr="00D95127" w:rsidRDefault="00A16DDB" w:rsidP="007A627A">
            <w:pPr>
              <w:keepNext/>
              <w:rPr>
                <w:rFonts w:cs="Times New Roman"/>
                <w:sz w:val="20"/>
                <w:szCs w:val="20"/>
                <w:lang w:val="cs-CZ"/>
              </w:rPr>
            </w:pPr>
            <w:r w:rsidRPr="00D95127">
              <w:rPr>
                <w:rFonts w:cs="Times New Roman"/>
                <w:sz w:val="20"/>
                <w:szCs w:val="20"/>
                <w:lang w:val="cs-CZ"/>
              </w:rPr>
              <w:t>2018/2019</w:t>
            </w:r>
          </w:p>
        </w:tc>
        <w:tc>
          <w:tcPr>
            <w:tcW w:w="1655" w:type="dxa"/>
            <w:tcBorders>
              <w:top w:val="single" w:sz="6" w:space="0" w:color="auto"/>
              <w:left w:val="single" w:sz="12" w:space="0" w:color="auto"/>
              <w:bottom w:val="single" w:sz="12" w:space="0" w:color="auto"/>
              <w:right w:val="single" w:sz="6" w:space="0" w:color="auto"/>
            </w:tcBorders>
            <w:shd w:val="clear" w:color="auto" w:fill="FFFFFF"/>
            <w:noWrap/>
            <w:tcMar>
              <w:top w:w="0" w:type="dxa"/>
              <w:left w:w="70" w:type="dxa"/>
              <w:bottom w:w="0" w:type="dxa"/>
              <w:right w:w="70" w:type="dxa"/>
            </w:tcMar>
            <w:vAlign w:val="center"/>
          </w:tcPr>
          <w:p w14:paraId="6ED9D24D" w14:textId="77777777" w:rsidR="00A16DDB" w:rsidRPr="00D95127" w:rsidRDefault="00A16DDB" w:rsidP="007A627A">
            <w:pPr>
              <w:keepNext/>
              <w:jc w:val="center"/>
              <w:rPr>
                <w:rFonts w:cs="Times New Roman"/>
                <w:sz w:val="20"/>
                <w:szCs w:val="20"/>
                <w:lang w:val="cs-CZ"/>
              </w:rPr>
            </w:pPr>
            <w:r w:rsidRPr="00D95127">
              <w:rPr>
                <w:rFonts w:cs="Times New Roman"/>
                <w:sz w:val="20"/>
                <w:szCs w:val="20"/>
                <w:lang w:val="cs-CZ"/>
              </w:rPr>
              <w:t>-</w:t>
            </w:r>
          </w:p>
        </w:tc>
        <w:tc>
          <w:tcPr>
            <w:tcW w:w="1418" w:type="dxa"/>
            <w:tcBorders>
              <w:top w:val="single" w:sz="6" w:space="0" w:color="auto"/>
              <w:left w:val="single" w:sz="6" w:space="0" w:color="auto"/>
              <w:bottom w:val="single" w:sz="12" w:space="0" w:color="auto"/>
              <w:right w:val="single" w:sz="6" w:space="0" w:color="auto"/>
            </w:tcBorders>
            <w:shd w:val="clear" w:color="auto" w:fill="FFFFFF"/>
            <w:noWrap/>
            <w:tcMar>
              <w:top w:w="0" w:type="dxa"/>
              <w:left w:w="70" w:type="dxa"/>
              <w:bottom w:w="0" w:type="dxa"/>
              <w:right w:w="70" w:type="dxa"/>
            </w:tcMar>
            <w:vAlign w:val="center"/>
          </w:tcPr>
          <w:p w14:paraId="3565BFCC" w14:textId="77777777" w:rsidR="00A16DDB" w:rsidRPr="00D95127" w:rsidRDefault="00A16DDB" w:rsidP="007A627A">
            <w:pPr>
              <w:keepNext/>
              <w:jc w:val="center"/>
              <w:rPr>
                <w:rFonts w:cs="Times New Roman"/>
                <w:sz w:val="20"/>
                <w:szCs w:val="20"/>
                <w:lang w:val="cs-CZ"/>
              </w:rPr>
            </w:pPr>
            <w:r w:rsidRPr="00D95127">
              <w:rPr>
                <w:rFonts w:cs="Times New Roman"/>
                <w:sz w:val="20"/>
                <w:szCs w:val="20"/>
                <w:lang w:val="cs-CZ"/>
              </w:rPr>
              <w:t>3,15</w:t>
            </w:r>
          </w:p>
        </w:tc>
        <w:tc>
          <w:tcPr>
            <w:tcW w:w="1701" w:type="dxa"/>
            <w:tcBorders>
              <w:top w:val="single" w:sz="6" w:space="0" w:color="auto"/>
              <w:left w:val="single" w:sz="6" w:space="0" w:color="auto"/>
              <w:bottom w:val="single" w:sz="12" w:space="0" w:color="auto"/>
              <w:right w:val="single" w:sz="6" w:space="0" w:color="auto"/>
            </w:tcBorders>
            <w:shd w:val="clear" w:color="auto" w:fill="FFFFFF"/>
            <w:noWrap/>
            <w:tcMar>
              <w:top w:w="0" w:type="dxa"/>
              <w:left w:w="70" w:type="dxa"/>
              <w:bottom w:w="0" w:type="dxa"/>
              <w:right w:w="70" w:type="dxa"/>
            </w:tcMar>
            <w:vAlign w:val="center"/>
          </w:tcPr>
          <w:p w14:paraId="1B7BB746" w14:textId="77777777" w:rsidR="00A16DDB" w:rsidRPr="00D95127" w:rsidRDefault="00A16DDB" w:rsidP="007A627A">
            <w:pPr>
              <w:keepNext/>
              <w:jc w:val="center"/>
              <w:rPr>
                <w:rFonts w:cs="Times New Roman"/>
                <w:sz w:val="20"/>
                <w:szCs w:val="20"/>
                <w:lang w:val="cs-CZ"/>
              </w:rPr>
            </w:pPr>
            <w:r w:rsidRPr="00D95127">
              <w:rPr>
                <w:rFonts w:cs="Times New Roman"/>
                <w:sz w:val="20"/>
                <w:szCs w:val="20"/>
                <w:lang w:val="cs-CZ"/>
              </w:rPr>
              <w:t>206,16</w:t>
            </w:r>
          </w:p>
        </w:tc>
        <w:tc>
          <w:tcPr>
            <w:tcW w:w="1984" w:type="dxa"/>
            <w:tcBorders>
              <w:top w:val="single" w:sz="6" w:space="0" w:color="auto"/>
              <w:left w:val="single" w:sz="6" w:space="0" w:color="auto"/>
              <w:bottom w:val="single" w:sz="12" w:space="0" w:color="auto"/>
              <w:right w:val="single" w:sz="12" w:space="0" w:color="auto"/>
            </w:tcBorders>
            <w:shd w:val="clear" w:color="auto" w:fill="FFFFFF"/>
            <w:vAlign w:val="center"/>
          </w:tcPr>
          <w:p w14:paraId="7432BAD0" w14:textId="77777777" w:rsidR="00A16DDB" w:rsidRPr="00D95127" w:rsidRDefault="00A16DDB" w:rsidP="007A627A">
            <w:pPr>
              <w:keepNext/>
              <w:jc w:val="center"/>
              <w:rPr>
                <w:rFonts w:cs="Times New Roman"/>
                <w:sz w:val="20"/>
                <w:szCs w:val="20"/>
                <w:lang w:val="cs-CZ"/>
              </w:rPr>
            </w:pPr>
            <w:r w:rsidRPr="00D95127">
              <w:rPr>
                <w:rFonts w:cs="Times New Roman"/>
                <w:sz w:val="20"/>
                <w:szCs w:val="20"/>
                <w:lang w:val="cs-CZ"/>
              </w:rPr>
              <w:t>3,93</w:t>
            </w:r>
          </w:p>
        </w:tc>
        <w:tc>
          <w:tcPr>
            <w:tcW w:w="969" w:type="dxa"/>
            <w:tcBorders>
              <w:top w:val="single" w:sz="6" w:space="0" w:color="auto"/>
              <w:left w:val="single" w:sz="12" w:space="0" w:color="auto"/>
              <w:bottom w:val="single" w:sz="12" w:space="0" w:color="auto"/>
              <w:right w:val="single" w:sz="18" w:space="0" w:color="auto"/>
            </w:tcBorders>
            <w:shd w:val="clear" w:color="auto" w:fill="FFFFFF"/>
          </w:tcPr>
          <w:p w14:paraId="5935BB37" w14:textId="77777777" w:rsidR="00A16DDB" w:rsidRPr="00D95127" w:rsidRDefault="00A16DDB" w:rsidP="007A627A">
            <w:pPr>
              <w:keepNext/>
              <w:jc w:val="center"/>
              <w:rPr>
                <w:rFonts w:cs="Times New Roman"/>
                <w:b/>
                <w:sz w:val="20"/>
                <w:szCs w:val="20"/>
                <w:lang w:val="cs-CZ"/>
              </w:rPr>
            </w:pPr>
            <w:r w:rsidRPr="00D95127">
              <w:rPr>
                <w:rFonts w:cs="Times New Roman"/>
                <w:b/>
                <w:sz w:val="20"/>
                <w:szCs w:val="20"/>
                <w:lang w:val="cs-CZ"/>
              </w:rPr>
              <w:t>213,24</w:t>
            </w:r>
          </w:p>
        </w:tc>
      </w:tr>
      <w:tr w:rsidR="00A16DDB" w:rsidRPr="00D95127" w14:paraId="24D1A47D" w14:textId="77777777" w:rsidTr="007A627A">
        <w:trPr>
          <w:trHeight w:val="301"/>
        </w:trPr>
        <w:tc>
          <w:tcPr>
            <w:tcW w:w="1244" w:type="dxa"/>
            <w:tcBorders>
              <w:top w:val="single" w:sz="6" w:space="0" w:color="auto"/>
              <w:left w:val="single" w:sz="18" w:space="0" w:color="auto"/>
              <w:bottom w:val="single" w:sz="12" w:space="0" w:color="auto"/>
              <w:right w:val="single" w:sz="12" w:space="0" w:color="auto"/>
            </w:tcBorders>
            <w:noWrap/>
            <w:tcMar>
              <w:top w:w="0" w:type="dxa"/>
              <w:left w:w="70" w:type="dxa"/>
              <w:bottom w:w="0" w:type="dxa"/>
              <w:right w:w="70" w:type="dxa"/>
            </w:tcMar>
            <w:vAlign w:val="center"/>
          </w:tcPr>
          <w:p w14:paraId="52050F5A" w14:textId="77777777" w:rsidR="00A16DDB" w:rsidRPr="00D95127" w:rsidRDefault="00A16DDB" w:rsidP="007A627A">
            <w:pPr>
              <w:keepNext/>
              <w:rPr>
                <w:rFonts w:cs="Times New Roman"/>
                <w:sz w:val="20"/>
                <w:szCs w:val="20"/>
                <w:lang w:val="cs-CZ"/>
              </w:rPr>
            </w:pPr>
            <w:r w:rsidRPr="00D95127">
              <w:rPr>
                <w:rFonts w:cs="Times New Roman"/>
                <w:sz w:val="20"/>
                <w:szCs w:val="20"/>
                <w:lang w:val="cs-CZ"/>
              </w:rPr>
              <w:t>2019/2020</w:t>
            </w:r>
          </w:p>
        </w:tc>
        <w:tc>
          <w:tcPr>
            <w:tcW w:w="1655" w:type="dxa"/>
            <w:tcBorders>
              <w:top w:val="single" w:sz="6" w:space="0" w:color="auto"/>
              <w:left w:val="single" w:sz="12" w:space="0" w:color="auto"/>
              <w:bottom w:val="single" w:sz="12" w:space="0" w:color="auto"/>
              <w:right w:val="single" w:sz="6" w:space="0" w:color="auto"/>
            </w:tcBorders>
            <w:shd w:val="clear" w:color="auto" w:fill="FFFFFF"/>
            <w:noWrap/>
            <w:tcMar>
              <w:top w:w="0" w:type="dxa"/>
              <w:left w:w="70" w:type="dxa"/>
              <w:bottom w:w="0" w:type="dxa"/>
              <w:right w:w="70" w:type="dxa"/>
            </w:tcMar>
            <w:vAlign w:val="center"/>
          </w:tcPr>
          <w:p w14:paraId="272AD36D" w14:textId="77777777" w:rsidR="00A16DDB" w:rsidRPr="00D95127" w:rsidRDefault="00A16DDB" w:rsidP="007A627A">
            <w:pPr>
              <w:keepNext/>
              <w:jc w:val="center"/>
              <w:rPr>
                <w:rFonts w:cs="Times New Roman"/>
                <w:sz w:val="20"/>
                <w:szCs w:val="20"/>
                <w:lang w:val="cs-CZ"/>
              </w:rPr>
            </w:pPr>
            <w:r w:rsidRPr="00D95127">
              <w:rPr>
                <w:rFonts w:cs="Times New Roman"/>
                <w:sz w:val="20"/>
                <w:szCs w:val="20"/>
                <w:lang w:val="cs-CZ"/>
              </w:rPr>
              <w:t>-</w:t>
            </w:r>
          </w:p>
        </w:tc>
        <w:tc>
          <w:tcPr>
            <w:tcW w:w="1418" w:type="dxa"/>
            <w:tcBorders>
              <w:top w:val="single" w:sz="6" w:space="0" w:color="auto"/>
              <w:left w:val="single" w:sz="6" w:space="0" w:color="auto"/>
              <w:bottom w:val="single" w:sz="12" w:space="0" w:color="auto"/>
              <w:right w:val="single" w:sz="6" w:space="0" w:color="auto"/>
            </w:tcBorders>
            <w:shd w:val="clear" w:color="auto" w:fill="FFFFFF"/>
            <w:noWrap/>
            <w:tcMar>
              <w:top w:w="0" w:type="dxa"/>
              <w:left w:w="70" w:type="dxa"/>
              <w:bottom w:w="0" w:type="dxa"/>
              <w:right w:w="70" w:type="dxa"/>
            </w:tcMar>
            <w:vAlign w:val="center"/>
          </w:tcPr>
          <w:p w14:paraId="30FDCD5F" w14:textId="77777777" w:rsidR="00A16DDB" w:rsidRPr="00D95127" w:rsidRDefault="00A16DDB" w:rsidP="007A627A">
            <w:pPr>
              <w:keepNext/>
              <w:jc w:val="center"/>
              <w:rPr>
                <w:rFonts w:cs="Times New Roman"/>
                <w:sz w:val="20"/>
                <w:szCs w:val="20"/>
                <w:lang w:val="cs-CZ"/>
              </w:rPr>
            </w:pPr>
            <w:r w:rsidRPr="00D95127">
              <w:rPr>
                <w:rFonts w:cs="Times New Roman"/>
                <w:sz w:val="20"/>
                <w:szCs w:val="20"/>
                <w:lang w:val="cs-CZ"/>
              </w:rPr>
              <w:t>4,95</w:t>
            </w:r>
          </w:p>
        </w:tc>
        <w:tc>
          <w:tcPr>
            <w:tcW w:w="1701" w:type="dxa"/>
            <w:tcBorders>
              <w:top w:val="single" w:sz="6" w:space="0" w:color="auto"/>
              <w:left w:val="single" w:sz="6" w:space="0" w:color="auto"/>
              <w:bottom w:val="single" w:sz="12" w:space="0" w:color="auto"/>
              <w:right w:val="single" w:sz="6" w:space="0" w:color="auto"/>
            </w:tcBorders>
            <w:shd w:val="clear" w:color="auto" w:fill="FFFFFF"/>
            <w:noWrap/>
            <w:tcMar>
              <w:top w:w="0" w:type="dxa"/>
              <w:left w:w="70" w:type="dxa"/>
              <w:bottom w:w="0" w:type="dxa"/>
              <w:right w:w="70" w:type="dxa"/>
            </w:tcMar>
            <w:vAlign w:val="center"/>
          </w:tcPr>
          <w:p w14:paraId="13BC8803" w14:textId="77777777" w:rsidR="00A16DDB" w:rsidRPr="00D95127" w:rsidRDefault="00A16DDB" w:rsidP="007A627A">
            <w:pPr>
              <w:keepNext/>
              <w:jc w:val="center"/>
              <w:rPr>
                <w:rFonts w:cs="Times New Roman"/>
                <w:sz w:val="20"/>
                <w:szCs w:val="20"/>
                <w:lang w:val="cs-CZ"/>
              </w:rPr>
            </w:pPr>
            <w:r w:rsidRPr="00D95127">
              <w:rPr>
                <w:rFonts w:cs="Times New Roman"/>
                <w:sz w:val="20"/>
                <w:szCs w:val="20"/>
                <w:lang w:val="cs-CZ"/>
              </w:rPr>
              <w:t>139,7</w:t>
            </w:r>
          </w:p>
        </w:tc>
        <w:tc>
          <w:tcPr>
            <w:tcW w:w="1984" w:type="dxa"/>
            <w:tcBorders>
              <w:top w:val="single" w:sz="6" w:space="0" w:color="auto"/>
              <w:left w:val="single" w:sz="6" w:space="0" w:color="auto"/>
              <w:bottom w:val="single" w:sz="12" w:space="0" w:color="auto"/>
              <w:right w:val="single" w:sz="12" w:space="0" w:color="auto"/>
            </w:tcBorders>
            <w:shd w:val="clear" w:color="auto" w:fill="FFFFFF"/>
            <w:vAlign w:val="center"/>
          </w:tcPr>
          <w:p w14:paraId="42BA8E0B" w14:textId="77777777" w:rsidR="00A16DDB" w:rsidRPr="00D95127" w:rsidRDefault="00A16DDB" w:rsidP="007A627A">
            <w:pPr>
              <w:keepNext/>
              <w:jc w:val="center"/>
              <w:rPr>
                <w:rFonts w:cs="Times New Roman"/>
                <w:sz w:val="20"/>
                <w:szCs w:val="20"/>
                <w:lang w:val="cs-CZ"/>
              </w:rPr>
            </w:pPr>
            <w:r w:rsidRPr="00D95127">
              <w:rPr>
                <w:rFonts w:cs="Times New Roman"/>
                <w:sz w:val="20"/>
                <w:szCs w:val="20"/>
                <w:lang w:val="cs-CZ"/>
              </w:rPr>
              <w:t>14,78</w:t>
            </w:r>
          </w:p>
        </w:tc>
        <w:tc>
          <w:tcPr>
            <w:tcW w:w="969" w:type="dxa"/>
            <w:tcBorders>
              <w:top w:val="single" w:sz="6" w:space="0" w:color="auto"/>
              <w:left w:val="single" w:sz="12" w:space="0" w:color="auto"/>
              <w:bottom w:val="single" w:sz="12" w:space="0" w:color="auto"/>
              <w:right w:val="single" w:sz="18" w:space="0" w:color="auto"/>
            </w:tcBorders>
            <w:shd w:val="clear" w:color="auto" w:fill="FFFFFF"/>
          </w:tcPr>
          <w:p w14:paraId="09E80342" w14:textId="77777777" w:rsidR="00A16DDB" w:rsidRPr="00D95127" w:rsidRDefault="00A16DDB" w:rsidP="007A627A">
            <w:pPr>
              <w:keepNext/>
              <w:jc w:val="center"/>
              <w:rPr>
                <w:rFonts w:cs="Times New Roman"/>
                <w:b/>
                <w:sz w:val="20"/>
                <w:szCs w:val="20"/>
                <w:lang w:val="cs-CZ"/>
              </w:rPr>
            </w:pPr>
            <w:r w:rsidRPr="00D95127">
              <w:rPr>
                <w:rFonts w:cs="Times New Roman"/>
                <w:b/>
                <w:sz w:val="20"/>
                <w:szCs w:val="20"/>
                <w:lang w:val="cs-CZ"/>
              </w:rPr>
              <w:t>159,43</w:t>
            </w:r>
          </w:p>
        </w:tc>
      </w:tr>
      <w:tr w:rsidR="00A16DDB" w:rsidRPr="00D95127" w14:paraId="62D47226" w14:textId="77777777" w:rsidTr="007A627A">
        <w:trPr>
          <w:trHeight w:val="301"/>
        </w:trPr>
        <w:tc>
          <w:tcPr>
            <w:tcW w:w="1244" w:type="dxa"/>
            <w:tcBorders>
              <w:top w:val="single" w:sz="12" w:space="0" w:color="auto"/>
              <w:left w:val="single" w:sz="18" w:space="0" w:color="auto"/>
              <w:bottom w:val="single" w:sz="18" w:space="0" w:color="auto"/>
              <w:right w:val="single" w:sz="12" w:space="0" w:color="auto"/>
            </w:tcBorders>
            <w:noWrap/>
            <w:tcMar>
              <w:top w:w="0" w:type="dxa"/>
              <w:left w:w="70" w:type="dxa"/>
              <w:bottom w:w="0" w:type="dxa"/>
              <w:right w:w="70" w:type="dxa"/>
            </w:tcMar>
            <w:vAlign w:val="center"/>
          </w:tcPr>
          <w:p w14:paraId="19A01B04" w14:textId="77777777" w:rsidR="00A16DDB" w:rsidRPr="00D95127" w:rsidRDefault="00A16DDB" w:rsidP="007A627A">
            <w:pPr>
              <w:keepNext/>
              <w:rPr>
                <w:rFonts w:cs="Times New Roman"/>
                <w:b/>
                <w:sz w:val="20"/>
                <w:szCs w:val="20"/>
                <w:lang w:val="cs-CZ"/>
              </w:rPr>
            </w:pPr>
            <w:r w:rsidRPr="00D95127">
              <w:rPr>
                <w:rFonts w:cs="Times New Roman"/>
                <w:b/>
                <w:sz w:val="20"/>
                <w:szCs w:val="20"/>
                <w:lang w:val="cs-CZ"/>
              </w:rPr>
              <w:t>CELKEM</w:t>
            </w:r>
          </w:p>
        </w:tc>
        <w:tc>
          <w:tcPr>
            <w:tcW w:w="1655" w:type="dxa"/>
            <w:tcBorders>
              <w:top w:val="single" w:sz="12" w:space="0" w:color="auto"/>
              <w:left w:val="single" w:sz="12" w:space="0" w:color="auto"/>
              <w:bottom w:val="single" w:sz="18" w:space="0" w:color="auto"/>
              <w:right w:val="single" w:sz="6" w:space="0" w:color="auto"/>
            </w:tcBorders>
            <w:shd w:val="clear" w:color="auto" w:fill="FFFFFF"/>
            <w:noWrap/>
            <w:tcMar>
              <w:top w:w="0" w:type="dxa"/>
              <w:left w:w="70" w:type="dxa"/>
              <w:bottom w:w="0" w:type="dxa"/>
              <w:right w:w="70" w:type="dxa"/>
            </w:tcMar>
            <w:vAlign w:val="center"/>
          </w:tcPr>
          <w:p w14:paraId="2E39267F" w14:textId="77777777" w:rsidR="00A16DDB" w:rsidRPr="00D95127" w:rsidRDefault="00A16DDB" w:rsidP="007A627A">
            <w:pPr>
              <w:keepNext/>
              <w:jc w:val="center"/>
              <w:rPr>
                <w:rFonts w:cs="Times New Roman"/>
                <w:b/>
                <w:sz w:val="20"/>
                <w:szCs w:val="20"/>
                <w:lang w:val="cs-CZ"/>
              </w:rPr>
            </w:pPr>
            <w:r w:rsidRPr="00D95127">
              <w:rPr>
                <w:rFonts w:cs="Times New Roman"/>
                <w:b/>
                <w:sz w:val="20"/>
                <w:szCs w:val="20"/>
                <w:lang w:val="cs-CZ"/>
              </w:rPr>
              <w:t>234</w:t>
            </w:r>
          </w:p>
        </w:tc>
        <w:tc>
          <w:tcPr>
            <w:tcW w:w="1418" w:type="dxa"/>
            <w:tcBorders>
              <w:top w:val="single" w:sz="12" w:space="0" w:color="auto"/>
              <w:left w:val="single" w:sz="6" w:space="0" w:color="auto"/>
              <w:bottom w:val="single" w:sz="18" w:space="0" w:color="auto"/>
              <w:right w:val="single" w:sz="6" w:space="0" w:color="auto"/>
            </w:tcBorders>
            <w:shd w:val="clear" w:color="auto" w:fill="FFFFFF"/>
            <w:noWrap/>
            <w:tcMar>
              <w:top w:w="0" w:type="dxa"/>
              <w:left w:w="70" w:type="dxa"/>
              <w:bottom w:w="0" w:type="dxa"/>
              <w:right w:w="70" w:type="dxa"/>
            </w:tcMar>
            <w:vAlign w:val="center"/>
          </w:tcPr>
          <w:p w14:paraId="618698E5" w14:textId="77777777" w:rsidR="00A16DDB" w:rsidRPr="00D95127" w:rsidRDefault="00A16DDB" w:rsidP="007A627A">
            <w:pPr>
              <w:keepNext/>
              <w:jc w:val="center"/>
              <w:rPr>
                <w:rFonts w:cs="Times New Roman"/>
                <w:b/>
                <w:sz w:val="20"/>
                <w:szCs w:val="20"/>
                <w:lang w:val="cs-CZ"/>
              </w:rPr>
            </w:pPr>
            <w:r w:rsidRPr="00D95127">
              <w:rPr>
                <w:rFonts w:cs="Times New Roman"/>
                <w:b/>
                <w:sz w:val="20"/>
                <w:szCs w:val="20"/>
                <w:lang w:val="cs-CZ"/>
              </w:rPr>
              <w:t>8,1</w:t>
            </w:r>
          </w:p>
        </w:tc>
        <w:tc>
          <w:tcPr>
            <w:tcW w:w="1701" w:type="dxa"/>
            <w:tcBorders>
              <w:top w:val="single" w:sz="12" w:space="0" w:color="auto"/>
              <w:left w:val="single" w:sz="6" w:space="0" w:color="auto"/>
              <w:bottom w:val="single" w:sz="18" w:space="0" w:color="auto"/>
              <w:right w:val="single" w:sz="6" w:space="0" w:color="auto"/>
            </w:tcBorders>
            <w:shd w:val="clear" w:color="auto" w:fill="FFFFFF"/>
            <w:noWrap/>
            <w:tcMar>
              <w:top w:w="0" w:type="dxa"/>
              <w:left w:w="70" w:type="dxa"/>
              <w:bottom w:w="0" w:type="dxa"/>
              <w:right w:w="70" w:type="dxa"/>
            </w:tcMar>
            <w:vAlign w:val="center"/>
          </w:tcPr>
          <w:p w14:paraId="03A48354" w14:textId="77777777" w:rsidR="00A16DDB" w:rsidRPr="00D95127" w:rsidRDefault="00A16DDB" w:rsidP="007A627A">
            <w:pPr>
              <w:keepNext/>
              <w:jc w:val="center"/>
              <w:rPr>
                <w:rFonts w:cs="Times New Roman"/>
                <w:b/>
                <w:sz w:val="20"/>
                <w:szCs w:val="20"/>
                <w:lang w:val="cs-CZ"/>
              </w:rPr>
            </w:pPr>
            <w:r w:rsidRPr="00D95127">
              <w:rPr>
                <w:rFonts w:cs="Times New Roman"/>
                <w:b/>
                <w:sz w:val="20"/>
                <w:szCs w:val="20"/>
                <w:lang w:val="cs-CZ"/>
              </w:rPr>
              <w:t>1 662,86</w:t>
            </w:r>
          </w:p>
        </w:tc>
        <w:tc>
          <w:tcPr>
            <w:tcW w:w="1984" w:type="dxa"/>
            <w:tcBorders>
              <w:top w:val="single" w:sz="12" w:space="0" w:color="auto"/>
              <w:left w:val="single" w:sz="6" w:space="0" w:color="auto"/>
              <w:bottom w:val="single" w:sz="18" w:space="0" w:color="auto"/>
              <w:right w:val="single" w:sz="12" w:space="0" w:color="auto"/>
            </w:tcBorders>
            <w:shd w:val="clear" w:color="auto" w:fill="FFFFFF"/>
            <w:vAlign w:val="center"/>
          </w:tcPr>
          <w:p w14:paraId="594EE3D6" w14:textId="77777777" w:rsidR="00A16DDB" w:rsidRPr="00D95127" w:rsidRDefault="00A16DDB" w:rsidP="007A627A">
            <w:pPr>
              <w:keepNext/>
              <w:jc w:val="center"/>
              <w:rPr>
                <w:rFonts w:cs="Times New Roman"/>
                <w:b/>
                <w:sz w:val="20"/>
                <w:szCs w:val="20"/>
                <w:lang w:val="cs-CZ"/>
              </w:rPr>
            </w:pPr>
            <w:r w:rsidRPr="00D95127">
              <w:rPr>
                <w:rFonts w:cs="Times New Roman"/>
                <w:b/>
                <w:sz w:val="20"/>
                <w:szCs w:val="20"/>
                <w:lang w:val="cs-CZ"/>
              </w:rPr>
              <w:t>54,71</w:t>
            </w:r>
          </w:p>
        </w:tc>
        <w:tc>
          <w:tcPr>
            <w:tcW w:w="969" w:type="dxa"/>
            <w:tcBorders>
              <w:top w:val="single" w:sz="12" w:space="0" w:color="auto"/>
              <w:left w:val="single" w:sz="12" w:space="0" w:color="auto"/>
              <w:bottom w:val="single" w:sz="18" w:space="0" w:color="auto"/>
              <w:right w:val="single" w:sz="18" w:space="0" w:color="auto"/>
            </w:tcBorders>
            <w:shd w:val="clear" w:color="auto" w:fill="FFFFFF"/>
          </w:tcPr>
          <w:p w14:paraId="42877D08" w14:textId="77777777" w:rsidR="00A16DDB" w:rsidRPr="00D95127" w:rsidRDefault="00A16DDB" w:rsidP="007A627A">
            <w:pPr>
              <w:keepNext/>
              <w:jc w:val="center"/>
              <w:rPr>
                <w:rFonts w:cs="Times New Roman"/>
                <w:b/>
                <w:sz w:val="20"/>
                <w:szCs w:val="20"/>
                <w:lang w:val="cs-CZ"/>
              </w:rPr>
            </w:pPr>
            <w:r w:rsidRPr="00D95127">
              <w:rPr>
                <w:rFonts w:cs="Times New Roman"/>
                <w:b/>
                <w:sz w:val="20"/>
                <w:szCs w:val="20"/>
                <w:lang w:val="cs-CZ"/>
              </w:rPr>
              <w:t>1 959,67</w:t>
            </w:r>
          </w:p>
        </w:tc>
      </w:tr>
    </w:tbl>
    <w:p w14:paraId="30E02817" w14:textId="7B76C9A0" w:rsidR="00A16DDB" w:rsidRPr="00D95127" w:rsidRDefault="00A16DDB" w:rsidP="007C30B5">
      <w:pPr>
        <w:pStyle w:val="UZEIZdroj"/>
      </w:pPr>
      <w:r w:rsidRPr="00D95127">
        <w:t>Pramen: SZIF</w:t>
      </w:r>
    </w:p>
    <w:p w14:paraId="226EB69A" w14:textId="4B322474" w:rsidR="00A16DDB" w:rsidRPr="00D95127" w:rsidRDefault="00A16DDB" w:rsidP="007C30B5">
      <w:pPr>
        <w:pStyle w:val="UZEIGraf"/>
        <w:rPr>
          <w:rFonts w:cs="Times New Roman"/>
        </w:rPr>
      </w:pPr>
      <w:bookmarkStart w:id="205" w:name="_Toc81738782"/>
      <w:r w:rsidRPr="00D95127">
        <w:rPr>
          <w:rFonts w:cs="Times New Roman"/>
        </w:rPr>
        <w:t>Poměr hektarů vinic dle dotačního titulu v opatření Restrukturalizace za období 2013/14 až 2019/20</w:t>
      </w:r>
      <w:bookmarkEnd w:id="205"/>
    </w:p>
    <w:p w14:paraId="0C5FE6EC" w14:textId="77777777" w:rsidR="00A16DDB" w:rsidRPr="00D95127" w:rsidRDefault="00A16DDB" w:rsidP="00A16DDB">
      <w:pPr>
        <w:rPr>
          <w:rFonts w:cs="Times New Roman"/>
          <w:szCs w:val="24"/>
          <w:lang w:val="cs-CZ"/>
        </w:rPr>
      </w:pPr>
      <w:r w:rsidRPr="00D95127">
        <w:rPr>
          <w:rFonts w:cs="Times New Roman"/>
          <w:noProof/>
          <w:szCs w:val="24"/>
          <w:lang w:val="cs-CZ"/>
        </w:rPr>
        <w:drawing>
          <wp:inline distT="0" distB="0" distL="0" distR="0" wp14:anchorId="2E9FB87C" wp14:editId="407530B5">
            <wp:extent cx="5456555" cy="3255645"/>
            <wp:effectExtent l="0" t="0" r="0" b="1905"/>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56555" cy="3255645"/>
                    </a:xfrm>
                    <a:prstGeom prst="rect">
                      <a:avLst/>
                    </a:prstGeom>
                    <a:noFill/>
                  </pic:spPr>
                </pic:pic>
              </a:graphicData>
            </a:graphic>
          </wp:inline>
        </w:drawing>
      </w:r>
    </w:p>
    <w:p w14:paraId="562AAF52" w14:textId="07E6997F" w:rsidR="00A16DDB" w:rsidRPr="00D95127" w:rsidRDefault="00A16DDB" w:rsidP="007C30B5">
      <w:pPr>
        <w:pStyle w:val="UZEIZdroj"/>
      </w:pPr>
      <w:r w:rsidRPr="00D95127">
        <w:t>Pramen: SZIF, zpracoval ÚZEI</w:t>
      </w:r>
    </w:p>
    <w:p w14:paraId="349B503D" w14:textId="77777777" w:rsidR="007C30B5" w:rsidRPr="00D95127" w:rsidRDefault="007C30B5" w:rsidP="007C30B5">
      <w:pPr>
        <w:pStyle w:val="UZEIZdroj"/>
      </w:pPr>
    </w:p>
    <w:p w14:paraId="3E94B07C" w14:textId="06A876EA" w:rsidR="00A16DDB" w:rsidRPr="00D95127" w:rsidRDefault="007C30B5" w:rsidP="007C30B5">
      <w:pPr>
        <w:pStyle w:val="UZEITaB"/>
        <w:rPr>
          <w:rFonts w:cs="Times New Roman"/>
        </w:rPr>
      </w:pPr>
      <w:r w:rsidRPr="00D95127">
        <w:rPr>
          <w:rFonts w:cs="Times New Roman"/>
        </w:rPr>
        <w:t xml:space="preserve"> </w:t>
      </w:r>
      <w:bookmarkStart w:id="206" w:name="_Toc81738446"/>
      <w:r w:rsidR="00A16DDB" w:rsidRPr="00D95127">
        <w:rPr>
          <w:rFonts w:cs="Times New Roman"/>
        </w:rPr>
        <w:t>Vyplacená podpora na restrukturalizaci a přeměnu vinic (tis. Kč)</w:t>
      </w:r>
      <w:bookmarkEnd w:id="206"/>
    </w:p>
    <w:tbl>
      <w:tblPr>
        <w:tblW w:w="8971" w:type="dxa"/>
        <w:jc w:val="center"/>
        <w:tblBorders>
          <w:top w:val="single" w:sz="12" w:space="0" w:color="auto"/>
          <w:left w:val="single" w:sz="12" w:space="0" w:color="auto"/>
          <w:bottom w:val="single" w:sz="6" w:space="0" w:color="auto"/>
          <w:right w:val="single" w:sz="12"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056"/>
        <w:gridCol w:w="937"/>
        <w:gridCol w:w="997"/>
        <w:gridCol w:w="997"/>
        <w:gridCol w:w="996"/>
        <w:gridCol w:w="997"/>
        <w:gridCol w:w="997"/>
        <w:gridCol w:w="997"/>
        <w:gridCol w:w="997"/>
      </w:tblGrid>
      <w:tr w:rsidR="00A16DDB" w:rsidRPr="00D95127" w14:paraId="29256351" w14:textId="77777777" w:rsidTr="007A627A">
        <w:trPr>
          <w:trHeight w:val="567"/>
          <w:jc w:val="center"/>
        </w:trPr>
        <w:tc>
          <w:tcPr>
            <w:tcW w:w="1056" w:type="dxa"/>
            <w:tcBorders>
              <w:top w:val="single" w:sz="18" w:space="0" w:color="auto"/>
              <w:left w:val="single" w:sz="18" w:space="0" w:color="auto"/>
              <w:bottom w:val="single" w:sz="12" w:space="0" w:color="auto"/>
              <w:right w:val="single" w:sz="12" w:space="0" w:color="auto"/>
            </w:tcBorders>
            <w:noWrap/>
            <w:tcMar>
              <w:top w:w="0" w:type="dxa"/>
              <w:left w:w="70" w:type="dxa"/>
              <w:bottom w:w="0" w:type="dxa"/>
              <w:right w:w="70" w:type="dxa"/>
            </w:tcMar>
            <w:vAlign w:val="center"/>
            <w:hideMark/>
          </w:tcPr>
          <w:p w14:paraId="69435AC3" w14:textId="77777777" w:rsidR="00A16DDB" w:rsidRPr="00D95127" w:rsidRDefault="00A16DDB" w:rsidP="007A627A">
            <w:pPr>
              <w:rPr>
                <w:rFonts w:cs="Times New Roman"/>
                <w:sz w:val="20"/>
                <w:szCs w:val="20"/>
                <w:lang w:val="cs-CZ"/>
              </w:rPr>
            </w:pPr>
            <w:r w:rsidRPr="00D95127">
              <w:rPr>
                <w:rFonts w:cs="Times New Roman"/>
                <w:sz w:val="20"/>
                <w:szCs w:val="20"/>
                <w:lang w:val="cs-CZ"/>
              </w:rPr>
              <w:t>Finanční rok</w:t>
            </w:r>
          </w:p>
        </w:tc>
        <w:tc>
          <w:tcPr>
            <w:tcW w:w="937" w:type="dxa"/>
            <w:tcBorders>
              <w:top w:val="single" w:sz="18" w:space="0" w:color="auto"/>
              <w:left w:val="single" w:sz="12" w:space="0" w:color="auto"/>
              <w:bottom w:val="single" w:sz="12" w:space="0" w:color="auto"/>
              <w:right w:val="single" w:sz="6" w:space="0" w:color="auto"/>
            </w:tcBorders>
            <w:noWrap/>
            <w:tcMar>
              <w:top w:w="0" w:type="dxa"/>
              <w:left w:w="70" w:type="dxa"/>
              <w:bottom w:w="0" w:type="dxa"/>
              <w:right w:w="70" w:type="dxa"/>
            </w:tcMar>
            <w:vAlign w:val="center"/>
          </w:tcPr>
          <w:p w14:paraId="57FDE340" w14:textId="77777777" w:rsidR="00A16DDB" w:rsidRPr="00D95127" w:rsidRDefault="00A16DDB" w:rsidP="007A627A">
            <w:pPr>
              <w:jc w:val="center"/>
              <w:rPr>
                <w:rFonts w:cs="Times New Roman"/>
                <w:b/>
                <w:sz w:val="20"/>
                <w:szCs w:val="20"/>
                <w:lang w:val="cs-CZ"/>
              </w:rPr>
            </w:pPr>
            <w:r w:rsidRPr="00D95127">
              <w:rPr>
                <w:rFonts w:cs="Times New Roman"/>
                <w:b/>
                <w:sz w:val="20"/>
                <w:szCs w:val="20"/>
                <w:lang w:val="cs-CZ"/>
              </w:rPr>
              <w:t>2013/14</w:t>
            </w:r>
          </w:p>
        </w:tc>
        <w:tc>
          <w:tcPr>
            <w:tcW w:w="997" w:type="dxa"/>
            <w:tcBorders>
              <w:top w:val="single" w:sz="18" w:space="0" w:color="auto"/>
              <w:left w:val="single" w:sz="6" w:space="0" w:color="auto"/>
              <w:bottom w:val="single" w:sz="12" w:space="0" w:color="auto"/>
              <w:right w:val="single" w:sz="6" w:space="0" w:color="auto"/>
            </w:tcBorders>
            <w:noWrap/>
            <w:tcMar>
              <w:top w:w="0" w:type="dxa"/>
              <w:left w:w="70" w:type="dxa"/>
              <w:bottom w:w="0" w:type="dxa"/>
              <w:right w:w="70" w:type="dxa"/>
            </w:tcMar>
            <w:vAlign w:val="center"/>
          </w:tcPr>
          <w:p w14:paraId="4203E41E" w14:textId="77777777" w:rsidR="00A16DDB" w:rsidRPr="00D95127" w:rsidRDefault="00A16DDB" w:rsidP="007A627A">
            <w:pPr>
              <w:jc w:val="center"/>
              <w:rPr>
                <w:rFonts w:cs="Times New Roman"/>
                <w:b/>
                <w:sz w:val="20"/>
                <w:szCs w:val="20"/>
                <w:lang w:val="cs-CZ"/>
              </w:rPr>
            </w:pPr>
            <w:r w:rsidRPr="00D95127">
              <w:rPr>
                <w:rFonts w:cs="Times New Roman"/>
                <w:b/>
                <w:sz w:val="20"/>
                <w:szCs w:val="20"/>
                <w:lang w:val="cs-CZ"/>
              </w:rPr>
              <w:t>2014/15</w:t>
            </w:r>
          </w:p>
        </w:tc>
        <w:tc>
          <w:tcPr>
            <w:tcW w:w="997" w:type="dxa"/>
            <w:tcBorders>
              <w:top w:val="single" w:sz="18" w:space="0" w:color="auto"/>
              <w:left w:val="single" w:sz="6" w:space="0" w:color="auto"/>
              <w:bottom w:val="single" w:sz="12" w:space="0" w:color="auto"/>
              <w:right w:val="single" w:sz="6" w:space="0" w:color="auto"/>
            </w:tcBorders>
            <w:vAlign w:val="center"/>
          </w:tcPr>
          <w:p w14:paraId="2A5332E2" w14:textId="77777777" w:rsidR="00A16DDB" w:rsidRPr="00D95127" w:rsidRDefault="00A16DDB" w:rsidP="007A627A">
            <w:pPr>
              <w:jc w:val="center"/>
              <w:rPr>
                <w:rFonts w:cs="Times New Roman"/>
                <w:b/>
                <w:sz w:val="20"/>
                <w:szCs w:val="20"/>
                <w:lang w:val="cs-CZ"/>
              </w:rPr>
            </w:pPr>
            <w:r w:rsidRPr="00D95127">
              <w:rPr>
                <w:rFonts w:cs="Times New Roman"/>
                <w:b/>
                <w:sz w:val="20"/>
                <w:szCs w:val="20"/>
                <w:lang w:val="cs-CZ"/>
              </w:rPr>
              <w:t>2015/</w:t>
            </w:r>
            <w:r w:rsidRPr="00D95127">
              <w:rPr>
                <w:rFonts w:cs="Times New Roman"/>
                <w:b/>
                <w:bCs/>
                <w:sz w:val="20"/>
                <w:szCs w:val="20"/>
                <w:lang w:val="cs-CZ"/>
              </w:rPr>
              <w:t>16</w:t>
            </w:r>
          </w:p>
        </w:tc>
        <w:tc>
          <w:tcPr>
            <w:tcW w:w="996" w:type="dxa"/>
            <w:tcBorders>
              <w:top w:val="single" w:sz="18" w:space="0" w:color="auto"/>
              <w:left w:val="single" w:sz="6" w:space="0" w:color="auto"/>
              <w:bottom w:val="single" w:sz="12" w:space="0" w:color="auto"/>
              <w:right w:val="single" w:sz="6" w:space="0" w:color="auto"/>
            </w:tcBorders>
            <w:noWrap/>
            <w:tcMar>
              <w:top w:w="0" w:type="dxa"/>
              <w:left w:w="70" w:type="dxa"/>
              <w:bottom w:w="0" w:type="dxa"/>
              <w:right w:w="70" w:type="dxa"/>
            </w:tcMar>
            <w:vAlign w:val="center"/>
          </w:tcPr>
          <w:p w14:paraId="54D3D5BA" w14:textId="77777777" w:rsidR="00A16DDB" w:rsidRPr="00D95127" w:rsidRDefault="00A16DDB" w:rsidP="007A627A">
            <w:pPr>
              <w:jc w:val="center"/>
              <w:rPr>
                <w:rFonts w:cs="Times New Roman"/>
                <w:b/>
                <w:sz w:val="20"/>
                <w:szCs w:val="20"/>
                <w:lang w:val="cs-CZ"/>
              </w:rPr>
            </w:pPr>
            <w:r w:rsidRPr="00D95127">
              <w:rPr>
                <w:rFonts w:cs="Times New Roman"/>
                <w:b/>
                <w:sz w:val="20"/>
                <w:szCs w:val="20"/>
                <w:lang w:val="cs-CZ"/>
              </w:rPr>
              <w:t>2016/</w:t>
            </w:r>
            <w:r w:rsidRPr="00D95127">
              <w:rPr>
                <w:rFonts w:cs="Times New Roman"/>
                <w:b/>
                <w:bCs/>
                <w:sz w:val="20"/>
                <w:szCs w:val="20"/>
                <w:lang w:val="cs-CZ"/>
              </w:rPr>
              <w:t>17</w:t>
            </w:r>
          </w:p>
        </w:tc>
        <w:tc>
          <w:tcPr>
            <w:tcW w:w="997" w:type="dxa"/>
            <w:tcBorders>
              <w:top w:val="single" w:sz="18" w:space="0" w:color="auto"/>
              <w:left w:val="single" w:sz="6" w:space="0" w:color="auto"/>
              <w:bottom w:val="single" w:sz="12" w:space="0" w:color="auto"/>
              <w:right w:val="single" w:sz="12" w:space="0" w:color="auto"/>
            </w:tcBorders>
            <w:vAlign w:val="center"/>
          </w:tcPr>
          <w:p w14:paraId="5DBB214D" w14:textId="77777777" w:rsidR="00A16DDB" w:rsidRPr="00D95127" w:rsidRDefault="00A16DDB" w:rsidP="007A627A">
            <w:pPr>
              <w:jc w:val="center"/>
              <w:rPr>
                <w:rFonts w:cs="Times New Roman"/>
                <w:b/>
                <w:sz w:val="20"/>
                <w:szCs w:val="20"/>
                <w:lang w:val="cs-CZ"/>
              </w:rPr>
            </w:pPr>
            <w:r w:rsidRPr="00D95127">
              <w:rPr>
                <w:rFonts w:cs="Times New Roman"/>
                <w:b/>
                <w:sz w:val="20"/>
                <w:szCs w:val="20"/>
                <w:lang w:val="cs-CZ"/>
              </w:rPr>
              <w:t>2017/</w:t>
            </w:r>
            <w:r w:rsidRPr="00D95127">
              <w:rPr>
                <w:rFonts w:cs="Times New Roman"/>
                <w:b/>
                <w:bCs/>
                <w:sz w:val="20"/>
                <w:szCs w:val="20"/>
                <w:lang w:val="cs-CZ"/>
              </w:rPr>
              <w:t>18</w:t>
            </w:r>
          </w:p>
        </w:tc>
        <w:tc>
          <w:tcPr>
            <w:tcW w:w="997" w:type="dxa"/>
            <w:tcBorders>
              <w:top w:val="single" w:sz="18" w:space="0" w:color="auto"/>
              <w:left w:val="single" w:sz="12" w:space="0" w:color="auto"/>
              <w:bottom w:val="single" w:sz="12" w:space="0" w:color="auto"/>
              <w:right w:val="single" w:sz="12" w:space="0" w:color="auto"/>
            </w:tcBorders>
            <w:vAlign w:val="center"/>
          </w:tcPr>
          <w:p w14:paraId="6EF973EA" w14:textId="77777777" w:rsidR="00A16DDB" w:rsidRPr="00D95127" w:rsidRDefault="00A16DDB" w:rsidP="007A627A">
            <w:pPr>
              <w:jc w:val="center"/>
              <w:rPr>
                <w:rFonts w:cs="Times New Roman"/>
                <w:b/>
                <w:sz w:val="20"/>
                <w:szCs w:val="20"/>
                <w:lang w:val="cs-CZ"/>
              </w:rPr>
            </w:pPr>
            <w:r w:rsidRPr="00D95127">
              <w:rPr>
                <w:rFonts w:cs="Times New Roman"/>
                <w:b/>
                <w:sz w:val="20"/>
                <w:szCs w:val="20"/>
                <w:lang w:val="cs-CZ"/>
              </w:rPr>
              <w:t>2018/</w:t>
            </w:r>
            <w:r w:rsidRPr="00D95127">
              <w:rPr>
                <w:rFonts w:cs="Times New Roman"/>
                <w:b/>
                <w:bCs/>
                <w:sz w:val="20"/>
                <w:szCs w:val="20"/>
                <w:lang w:val="cs-CZ"/>
              </w:rPr>
              <w:t>19</w:t>
            </w:r>
          </w:p>
        </w:tc>
        <w:tc>
          <w:tcPr>
            <w:tcW w:w="997" w:type="dxa"/>
            <w:tcBorders>
              <w:top w:val="single" w:sz="18" w:space="0" w:color="auto"/>
              <w:left w:val="single" w:sz="12" w:space="0" w:color="auto"/>
              <w:bottom w:val="single" w:sz="12" w:space="0" w:color="auto"/>
              <w:right w:val="single" w:sz="12" w:space="0" w:color="auto"/>
            </w:tcBorders>
            <w:vAlign w:val="center"/>
          </w:tcPr>
          <w:p w14:paraId="72E0DC41" w14:textId="77777777" w:rsidR="00A16DDB" w:rsidRPr="00D95127" w:rsidRDefault="00A16DDB" w:rsidP="007A627A">
            <w:pPr>
              <w:jc w:val="center"/>
              <w:rPr>
                <w:rFonts w:cs="Times New Roman"/>
                <w:b/>
                <w:sz w:val="20"/>
                <w:szCs w:val="20"/>
                <w:lang w:val="cs-CZ"/>
              </w:rPr>
            </w:pPr>
            <w:r w:rsidRPr="00D95127">
              <w:rPr>
                <w:rFonts w:cs="Times New Roman"/>
                <w:b/>
                <w:sz w:val="20"/>
                <w:szCs w:val="20"/>
                <w:lang w:val="cs-CZ"/>
              </w:rPr>
              <w:t>2019/</w:t>
            </w:r>
            <w:r w:rsidRPr="00D95127">
              <w:rPr>
                <w:rFonts w:cs="Times New Roman"/>
                <w:b/>
                <w:bCs/>
                <w:sz w:val="20"/>
                <w:szCs w:val="20"/>
                <w:lang w:val="cs-CZ"/>
              </w:rPr>
              <w:t>20</w:t>
            </w:r>
          </w:p>
        </w:tc>
        <w:tc>
          <w:tcPr>
            <w:tcW w:w="997" w:type="dxa"/>
            <w:tcBorders>
              <w:top w:val="single" w:sz="18" w:space="0" w:color="auto"/>
              <w:left w:val="single" w:sz="12" w:space="0" w:color="auto"/>
              <w:bottom w:val="single" w:sz="12" w:space="0" w:color="auto"/>
              <w:right w:val="single" w:sz="18" w:space="0" w:color="auto"/>
            </w:tcBorders>
            <w:vAlign w:val="center"/>
          </w:tcPr>
          <w:p w14:paraId="376E9A62" w14:textId="77777777" w:rsidR="00A16DDB" w:rsidRPr="00D95127" w:rsidRDefault="00A16DDB" w:rsidP="007A627A">
            <w:pPr>
              <w:jc w:val="center"/>
              <w:rPr>
                <w:rFonts w:cs="Times New Roman"/>
                <w:b/>
                <w:sz w:val="20"/>
                <w:szCs w:val="20"/>
                <w:lang w:val="cs-CZ"/>
              </w:rPr>
            </w:pPr>
            <w:r w:rsidRPr="00D95127">
              <w:rPr>
                <w:rFonts w:cs="Times New Roman"/>
                <w:b/>
                <w:sz w:val="20"/>
                <w:szCs w:val="20"/>
                <w:lang w:val="cs-CZ"/>
              </w:rPr>
              <w:t>CELKEM</w:t>
            </w:r>
          </w:p>
        </w:tc>
      </w:tr>
      <w:tr w:rsidR="00A16DDB" w:rsidRPr="00D95127" w14:paraId="4C3D470C" w14:textId="77777777" w:rsidTr="007A627A">
        <w:trPr>
          <w:trHeight w:val="454"/>
          <w:jc w:val="center"/>
        </w:trPr>
        <w:tc>
          <w:tcPr>
            <w:tcW w:w="1056" w:type="dxa"/>
            <w:tcBorders>
              <w:top w:val="single" w:sz="12" w:space="0" w:color="auto"/>
              <w:left w:val="single" w:sz="18" w:space="0" w:color="auto"/>
              <w:bottom w:val="single" w:sz="18" w:space="0" w:color="auto"/>
              <w:right w:val="single" w:sz="12" w:space="0" w:color="auto"/>
            </w:tcBorders>
            <w:noWrap/>
            <w:tcMar>
              <w:top w:w="0" w:type="dxa"/>
              <w:left w:w="70" w:type="dxa"/>
              <w:bottom w:w="0" w:type="dxa"/>
              <w:right w:w="70" w:type="dxa"/>
            </w:tcMar>
            <w:vAlign w:val="center"/>
          </w:tcPr>
          <w:p w14:paraId="1A5FD95E" w14:textId="77777777" w:rsidR="00A16DDB" w:rsidRPr="00D95127" w:rsidRDefault="00A16DDB" w:rsidP="007A627A">
            <w:pPr>
              <w:rPr>
                <w:rFonts w:cs="Times New Roman"/>
                <w:i/>
                <w:sz w:val="20"/>
                <w:szCs w:val="20"/>
                <w:lang w:val="cs-CZ"/>
              </w:rPr>
            </w:pPr>
            <w:r w:rsidRPr="00D95127">
              <w:rPr>
                <w:rFonts w:cs="Times New Roman"/>
                <w:i/>
                <w:sz w:val="20"/>
                <w:szCs w:val="20"/>
                <w:lang w:val="cs-CZ"/>
              </w:rPr>
              <w:t>Vyplacená podpora</w:t>
            </w:r>
          </w:p>
        </w:tc>
        <w:tc>
          <w:tcPr>
            <w:tcW w:w="937" w:type="dxa"/>
            <w:tcBorders>
              <w:top w:val="single" w:sz="12" w:space="0" w:color="auto"/>
              <w:left w:val="single" w:sz="12" w:space="0" w:color="auto"/>
              <w:bottom w:val="single" w:sz="18" w:space="0" w:color="auto"/>
              <w:right w:val="single" w:sz="6" w:space="0" w:color="auto"/>
            </w:tcBorders>
            <w:shd w:val="clear" w:color="auto" w:fill="FFFFFF"/>
            <w:noWrap/>
            <w:tcMar>
              <w:top w:w="0" w:type="dxa"/>
              <w:left w:w="70" w:type="dxa"/>
              <w:bottom w:w="0" w:type="dxa"/>
              <w:right w:w="70" w:type="dxa"/>
            </w:tcMar>
            <w:vAlign w:val="center"/>
          </w:tcPr>
          <w:p w14:paraId="6A22B4CD" w14:textId="77777777" w:rsidR="00A16DDB" w:rsidRPr="00D95127" w:rsidRDefault="00A16DDB" w:rsidP="007A627A">
            <w:pPr>
              <w:rPr>
                <w:rFonts w:cs="Times New Roman"/>
                <w:i/>
                <w:sz w:val="20"/>
                <w:szCs w:val="20"/>
                <w:lang w:val="cs-CZ"/>
              </w:rPr>
            </w:pPr>
            <w:r w:rsidRPr="00D95127">
              <w:rPr>
                <w:rFonts w:cs="Times New Roman"/>
                <w:i/>
                <w:sz w:val="20"/>
                <w:szCs w:val="20"/>
                <w:lang w:val="cs-CZ"/>
              </w:rPr>
              <w:t>102 250</w:t>
            </w:r>
          </w:p>
        </w:tc>
        <w:tc>
          <w:tcPr>
            <w:tcW w:w="997" w:type="dxa"/>
            <w:tcBorders>
              <w:top w:val="single" w:sz="12" w:space="0" w:color="auto"/>
              <w:left w:val="single" w:sz="6" w:space="0" w:color="auto"/>
              <w:bottom w:val="single" w:sz="18" w:space="0" w:color="auto"/>
              <w:right w:val="single" w:sz="6" w:space="0" w:color="auto"/>
            </w:tcBorders>
            <w:shd w:val="clear" w:color="auto" w:fill="FFFFFF"/>
            <w:noWrap/>
            <w:tcMar>
              <w:top w:w="0" w:type="dxa"/>
              <w:left w:w="70" w:type="dxa"/>
              <w:bottom w:w="0" w:type="dxa"/>
              <w:right w:w="70" w:type="dxa"/>
            </w:tcMar>
            <w:vAlign w:val="center"/>
          </w:tcPr>
          <w:p w14:paraId="507F0B84" w14:textId="77777777" w:rsidR="00A16DDB" w:rsidRPr="00D95127" w:rsidRDefault="00A16DDB" w:rsidP="007A627A">
            <w:pPr>
              <w:rPr>
                <w:rFonts w:cs="Times New Roman"/>
                <w:i/>
                <w:sz w:val="20"/>
                <w:szCs w:val="20"/>
                <w:lang w:val="cs-CZ"/>
              </w:rPr>
            </w:pPr>
            <w:r w:rsidRPr="00D95127">
              <w:rPr>
                <w:rFonts w:cs="Times New Roman"/>
                <w:i/>
                <w:sz w:val="20"/>
                <w:szCs w:val="20"/>
                <w:lang w:val="cs-CZ"/>
              </w:rPr>
              <w:t>113 602</w:t>
            </w:r>
          </w:p>
        </w:tc>
        <w:tc>
          <w:tcPr>
            <w:tcW w:w="997" w:type="dxa"/>
            <w:tcBorders>
              <w:top w:val="single" w:sz="12" w:space="0" w:color="auto"/>
              <w:left w:val="single" w:sz="6" w:space="0" w:color="auto"/>
              <w:bottom w:val="single" w:sz="18" w:space="0" w:color="auto"/>
              <w:right w:val="single" w:sz="6" w:space="0" w:color="auto"/>
            </w:tcBorders>
            <w:shd w:val="clear" w:color="auto" w:fill="FFFFFF"/>
            <w:vAlign w:val="center"/>
          </w:tcPr>
          <w:p w14:paraId="34E9A823" w14:textId="77777777" w:rsidR="00A16DDB" w:rsidRPr="00D95127" w:rsidRDefault="00A16DDB" w:rsidP="007A627A">
            <w:pPr>
              <w:rPr>
                <w:rFonts w:cs="Times New Roman"/>
                <w:i/>
                <w:sz w:val="20"/>
                <w:szCs w:val="20"/>
                <w:lang w:val="cs-CZ"/>
              </w:rPr>
            </w:pPr>
            <w:r w:rsidRPr="00D95127">
              <w:rPr>
                <w:rFonts w:cs="Times New Roman"/>
                <w:i/>
                <w:sz w:val="20"/>
                <w:szCs w:val="20"/>
                <w:lang w:val="cs-CZ"/>
              </w:rPr>
              <w:t>111 464</w:t>
            </w:r>
          </w:p>
        </w:tc>
        <w:tc>
          <w:tcPr>
            <w:tcW w:w="996" w:type="dxa"/>
            <w:tcBorders>
              <w:top w:val="single" w:sz="12" w:space="0" w:color="auto"/>
              <w:left w:val="single" w:sz="6" w:space="0" w:color="auto"/>
              <w:bottom w:val="single" w:sz="18" w:space="0" w:color="auto"/>
              <w:right w:val="single" w:sz="6" w:space="0" w:color="auto"/>
            </w:tcBorders>
            <w:shd w:val="clear" w:color="auto" w:fill="FFFFFF"/>
            <w:noWrap/>
            <w:tcMar>
              <w:top w:w="0" w:type="dxa"/>
              <w:left w:w="70" w:type="dxa"/>
              <w:bottom w:w="0" w:type="dxa"/>
              <w:right w:w="70" w:type="dxa"/>
            </w:tcMar>
            <w:vAlign w:val="center"/>
          </w:tcPr>
          <w:p w14:paraId="02E410C0" w14:textId="77777777" w:rsidR="00A16DDB" w:rsidRPr="00D95127" w:rsidRDefault="00A16DDB" w:rsidP="007A627A">
            <w:pPr>
              <w:rPr>
                <w:rFonts w:cs="Times New Roman"/>
                <w:i/>
                <w:sz w:val="20"/>
                <w:szCs w:val="20"/>
                <w:lang w:val="cs-CZ"/>
              </w:rPr>
            </w:pPr>
            <w:r w:rsidRPr="00D95127">
              <w:rPr>
                <w:rFonts w:cs="Times New Roman"/>
                <w:i/>
                <w:sz w:val="20"/>
                <w:szCs w:val="20"/>
                <w:lang w:val="cs-CZ"/>
              </w:rPr>
              <w:t>111 447</w:t>
            </w:r>
          </w:p>
        </w:tc>
        <w:tc>
          <w:tcPr>
            <w:tcW w:w="997" w:type="dxa"/>
            <w:tcBorders>
              <w:top w:val="single" w:sz="12" w:space="0" w:color="auto"/>
              <w:left w:val="single" w:sz="6" w:space="0" w:color="auto"/>
              <w:bottom w:val="single" w:sz="18" w:space="0" w:color="auto"/>
              <w:right w:val="single" w:sz="12" w:space="0" w:color="auto"/>
            </w:tcBorders>
            <w:shd w:val="clear" w:color="auto" w:fill="FFFFFF"/>
            <w:vAlign w:val="center"/>
          </w:tcPr>
          <w:p w14:paraId="0263348D" w14:textId="77777777" w:rsidR="00A16DDB" w:rsidRPr="00D95127" w:rsidRDefault="00A16DDB" w:rsidP="007A627A">
            <w:pPr>
              <w:jc w:val="center"/>
              <w:rPr>
                <w:rFonts w:cs="Times New Roman"/>
                <w:i/>
                <w:sz w:val="20"/>
                <w:szCs w:val="20"/>
                <w:lang w:val="cs-CZ"/>
              </w:rPr>
            </w:pPr>
            <w:r w:rsidRPr="00D95127">
              <w:rPr>
                <w:rFonts w:cs="Times New Roman"/>
                <w:i/>
                <w:sz w:val="20"/>
                <w:szCs w:val="20"/>
                <w:lang w:val="cs-CZ"/>
              </w:rPr>
              <w:t>109 590</w:t>
            </w:r>
          </w:p>
        </w:tc>
        <w:tc>
          <w:tcPr>
            <w:tcW w:w="997" w:type="dxa"/>
            <w:tcBorders>
              <w:top w:val="single" w:sz="12" w:space="0" w:color="auto"/>
              <w:left w:val="single" w:sz="12" w:space="0" w:color="auto"/>
              <w:bottom w:val="single" w:sz="18" w:space="0" w:color="auto"/>
              <w:right w:val="single" w:sz="12" w:space="0" w:color="auto"/>
            </w:tcBorders>
            <w:shd w:val="clear" w:color="auto" w:fill="FFFFFF"/>
            <w:vAlign w:val="center"/>
          </w:tcPr>
          <w:p w14:paraId="32E3AB71" w14:textId="77777777" w:rsidR="00A16DDB" w:rsidRPr="00D95127" w:rsidRDefault="00A16DDB" w:rsidP="007A627A">
            <w:pPr>
              <w:jc w:val="center"/>
              <w:rPr>
                <w:rFonts w:cs="Times New Roman"/>
                <w:i/>
                <w:sz w:val="20"/>
                <w:szCs w:val="20"/>
                <w:lang w:val="cs-CZ"/>
              </w:rPr>
            </w:pPr>
            <w:r w:rsidRPr="00D95127">
              <w:rPr>
                <w:rFonts w:cs="Times New Roman"/>
                <w:i/>
                <w:sz w:val="20"/>
                <w:szCs w:val="20"/>
                <w:lang w:val="cs-CZ"/>
              </w:rPr>
              <w:t>91 214</w:t>
            </w:r>
          </w:p>
        </w:tc>
        <w:tc>
          <w:tcPr>
            <w:tcW w:w="997" w:type="dxa"/>
            <w:tcBorders>
              <w:top w:val="single" w:sz="12" w:space="0" w:color="auto"/>
              <w:left w:val="single" w:sz="12" w:space="0" w:color="auto"/>
              <w:bottom w:val="single" w:sz="18" w:space="0" w:color="auto"/>
              <w:right w:val="single" w:sz="12" w:space="0" w:color="auto"/>
            </w:tcBorders>
            <w:shd w:val="clear" w:color="auto" w:fill="FFFFFF"/>
            <w:vAlign w:val="center"/>
          </w:tcPr>
          <w:p w14:paraId="6334CA96" w14:textId="77777777" w:rsidR="00A16DDB" w:rsidRPr="00D95127" w:rsidRDefault="00A16DDB" w:rsidP="007A627A">
            <w:pPr>
              <w:jc w:val="center"/>
              <w:rPr>
                <w:rFonts w:cs="Times New Roman"/>
                <w:i/>
                <w:sz w:val="20"/>
                <w:szCs w:val="20"/>
                <w:lang w:val="cs-CZ"/>
              </w:rPr>
            </w:pPr>
            <w:r w:rsidRPr="00D95127">
              <w:rPr>
                <w:rFonts w:cs="Times New Roman"/>
                <w:i/>
                <w:sz w:val="20"/>
                <w:szCs w:val="20"/>
                <w:lang w:val="cs-CZ"/>
              </w:rPr>
              <w:t>76 259</w:t>
            </w:r>
          </w:p>
        </w:tc>
        <w:tc>
          <w:tcPr>
            <w:tcW w:w="997" w:type="dxa"/>
            <w:tcBorders>
              <w:top w:val="single" w:sz="12" w:space="0" w:color="auto"/>
              <w:left w:val="single" w:sz="12" w:space="0" w:color="auto"/>
              <w:bottom w:val="single" w:sz="18" w:space="0" w:color="auto"/>
              <w:right w:val="single" w:sz="18" w:space="0" w:color="auto"/>
            </w:tcBorders>
            <w:shd w:val="clear" w:color="auto" w:fill="FFFFFF"/>
            <w:vAlign w:val="center"/>
          </w:tcPr>
          <w:p w14:paraId="7B4CCC0F" w14:textId="77777777" w:rsidR="00A16DDB" w:rsidRPr="00D95127" w:rsidRDefault="00A16DDB" w:rsidP="007A627A">
            <w:pPr>
              <w:jc w:val="center"/>
              <w:rPr>
                <w:rFonts w:cs="Times New Roman"/>
                <w:i/>
                <w:sz w:val="20"/>
                <w:szCs w:val="20"/>
                <w:lang w:val="cs-CZ"/>
              </w:rPr>
            </w:pPr>
            <w:r w:rsidRPr="00D95127">
              <w:rPr>
                <w:rFonts w:cs="Times New Roman"/>
                <w:i/>
                <w:sz w:val="20"/>
                <w:szCs w:val="20"/>
                <w:lang w:val="cs-CZ"/>
              </w:rPr>
              <w:t>715 826</w:t>
            </w:r>
          </w:p>
        </w:tc>
      </w:tr>
    </w:tbl>
    <w:p w14:paraId="2DA10E10" w14:textId="7119E5A6" w:rsidR="00A16DDB" w:rsidRPr="00D95127" w:rsidRDefault="00A16DDB" w:rsidP="007C30B5">
      <w:pPr>
        <w:pStyle w:val="UZEIZdroj"/>
      </w:pPr>
      <w:r w:rsidRPr="00D95127">
        <w:t>Pramen: SZIF</w:t>
      </w:r>
    </w:p>
    <w:p w14:paraId="16A5561B" w14:textId="77777777" w:rsidR="00A16DDB" w:rsidRPr="00D95127" w:rsidRDefault="00A16DDB" w:rsidP="007C30B5">
      <w:pPr>
        <w:pStyle w:val="UZEINormaln"/>
        <w:rPr>
          <w:rFonts w:cs="Times New Roman"/>
          <w:u w:val="single"/>
        </w:rPr>
      </w:pPr>
      <w:r w:rsidRPr="00D95127">
        <w:rPr>
          <w:rFonts w:cs="Times New Roman"/>
          <w:u w:val="single"/>
        </w:rPr>
        <w:t>Investice</w:t>
      </w:r>
    </w:p>
    <w:p w14:paraId="6E209356" w14:textId="16AC768D" w:rsidR="00A16DDB" w:rsidRPr="00D95127" w:rsidRDefault="00A16DDB" w:rsidP="007C30B5">
      <w:pPr>
        <w:pStyle w:val="UZEINormaln"/>
        <w:rPr>
          <w:rFonts w:cs="Times New Roman"/>
        </w:rPr>
      </w:pPr>
      <w:r w:rsidRPr="00D95127">
        <w:rPr>
          <w:rFonts w:cs="Times New Roman"/>
        </w:rPr>
        <w:t>V rámci opatření Investice jsou zařazeny dvě akce – Zpracovatelské investice a Investice na zlepšení technologie stáčení vín. Největší zájem vinařů byl o pod-akci 1 Pořízení dřevěného sudu nebo uzavřené dřevěné nádoby na výrobu vína o objemu nejméně 600 l, největší finanční obnos za opatření Investice však čerpala Pod-akce 2 Pořízení speciální kvasné nádoby s aktivním potápěním matolinového klobouku.</w:t>
      </w:r>
    </w:p>
    <w:p w14:paraId="72C14113" w14:textId="30685FE5" w:rsidR="00A16DDB" w:rsidRPr="00D95127" w:rsidRDefault="007C30B5" w:rsidP="007C30B5">
      <w:pPr>
        <w:pStyle w:val="UZEITaB"/>
        <w:rPr>
          <w:rFonts w:cs="Times New Roman"/>
        </w:rPr>
      </w:pPr>
      <w:r w:rsidRPr="00D95127">
        <w:rPr>
          <w:rFonts w:cs="Times New Roman"/>
        </w:rPr>
        <w:t xml:space="preserve"> </w:t>
      </w:r>
      <w:bookmarkStart w:id="207" w:name="_Toc81738447"/>
      <w:r w:rsidR="00A16DDB" w:rsidRPr="00D95127">
        <w:rPr>
          <w:rFonts w:cs="Times New Roman"/>
        </w:rPr>
        <w:t>Počet žádostí a vyplacené částky na jednotlivá podopatření v jednotlivých finančních letech</w:t>
      </w:r>
      <w:bookmarkEnd w:id="2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58"/>
        <w:gridCol w:w="1833"/>
        <w:gridCol w:w="1203"/>
        <w:gridCol w:w="863"/>
        <w:gridCol w:w="1582"/>
        <w:gridCol w:w="1203"/>
        <w:gridCol w:w="1020"/>
      </w:tblGrid>
      <w:tr w:rsidR="00A16DDB" w:rsidRPr="00D95127" w14:paraId="04AEB4D1" w14:textId="77777777" w:rsidTr="007A627A">
        <w:trPr>
          <w:trHeight w:val="315"/>
        </w:trPr>
        <w:tc>
          <w:tcPr>
            <w:tcW w:w="749" w:type="pct"/>
            <w:vMerge w:val="restart"/>
            <w:shd w:val="clear" w:color="auto" w:fill="auto"/>
            <w:noWrap/>
            <w:vAlign w:val="bottom"/>
            <w:hideMark/>
          </w:tcPr>
          <w:p w14:paraId="7AEA7966" w14:textId="77777777" w:rsidR="00A16DDB" w:rsidRPr="00D95127" w:rsidRDefault="00A16DDB" w:rsidP="007A627A">
            <w:pPr>
              <w:keepNext/>
              <w:spacing w:after="360" w:line="240" w:lineRule="atLeast"/>
              <w:jc w:val="center"/>
              <w:rPr>
                <w:rFonts w:cs="Times New Roman"/>
                <w:sz w:val="20"/>
                <w:szCs w:val="20"/>
                <w:lang w:val="cs-CZ"/>
              </w:rPr>
            </w:pPr>
            <w:r w:rsidRPr="00D95127">
              <w:rPr>
                <w:rFonts w:cs="Times New Roman"/>
                <w:b/>
                <w:color w:val="000000"/>
                <w:sz w:val="20"/>
                <w:szCs w:val="20"/>
                <w:lang w:val="cs-CZ"/>
              </w:rPr>
              <w:t>Finanční rok</w:t>
            </w:r>
          </w:p>
        </w:tc>
        <w:tc>
          <w:tcPr>
            <w:tcW w:w="2151" w:type="pct"/>
            <w:gridSpan w:val="3"/>
            <w:shd w:val="clear" w:color="auto" w:fill="auto"/>
            <w:noWrap/>
            <w:vAlign w:val="bottom"/>
            <w:hideMark/>
          </w:tcPr>
          <w:p w14:paraId="104035DE" w14:textId="77777777" w:rsidR="00A16DDB" w:rsidRPr="00D95127" w:rsidRDefault="00A16DDB" w:rsidP="007A627A">
            <w:pPr>
              <w:keepNext/>
              <w:jc w:val="center"/>
              <w:rPr>
                <w:rFonts w:cs="Times New Roman"/>
                <w:b/>
                <w:color w:val="000000"/>
                <w:sz w:val="20"/>
                <w:szCs w:val="20"/>
                <w:lang w:val="cs-CZ"/>
              </w:rPr>
            </w:pPr>
            <w:r w:rsidRPr="00D95127">
              <w:rPr>
                <w:rFonts w:cs="Times New Roman"/>
                <w:b/>
                <w:color w:val="000000"/>
                <w:sz w:val="20"/>
                <w:szCs w:val="20"/>
                <w:lang w:val="cs-CZ"/>
              </w:rPr>
              <w:t>Počet žádostí</w:t>
            </w:r>
          </w:p>
        </w:tc>
        <w:tc>
          <w:tcPr>
            <w:tcW w:w="2101" w:type="pct"/>
            <w:gridSpan w:val="3"/>
            <w:shd w:val="clear" w:color="auto" w:fill="auto"/>
            <w:noWrap/>
            <w:vAlign w:val="bottom"/>
            <w:hideMark/>
          </w:tcPr>
          <w:p w14:paraId="0A5F4A36" w14:textId="77777777" w:rsidR="00A16DDB" w:rsidRPr="00D95127" w:rsidRDefault="00A16DDB" w:rsidP="007A627A">
            <w:pPr>
              <w:keepNext/>
              <w:jc w:val="center"/>
              <w:rPr>
                <w:rFonts w:cs="Times New Roman"/>
                <w:b/>
                <w:color w:val="000000"/>
                <w:sz w:val="20"/>
                <w:szCs w:val="20"/>
                <w:lang w:val="cs-CZ"/>
              </w:rPr>
            </w:pPr>
            <w:r w:rsidRPr="00D95127">
              <w:rPr>
                <w:rFonts w:cs="Times New Roman"/>
                <w:b/>
                <w:color w:val="000000"/>
                <w:sz w:val="20"/>
                <w:szCs w:val="20"/>
                <w:lang w:val="cs-CZ"/>
              </w:rPr>
              <w:t>Vyplacená částka v tis. Kč</w:t>
            </w:r>
          </w:p>
        </w:tc>
      </w:tr>
      <w:tr w:rsidR="00A16DDB" w:rsidRPr="00D95127" w14:paraId="69BC297F" w14:textId="77777777" w:rsidTr="007A627A">
        <w:trPr>
          <w:trHeight w:val="1013"/>
        </w:trPr>
        <w:tc>
          <w:tcPr>
            <w:tcW w:w="749" w:type="pct"/>
            <w:vMerge/>
            <w:shd w:val="clear" w:color="auto" w:fill="auto"/>
            <w:noWrap/>
            <w:vAlign w:val="bottom"/>
            <w:hideMark/>
          </w:tcPr>
          <w:p w14:paraId="3D5B5612" w14:textId="77777777" w:rsidR="00A16DDB" w:rsidRPr="00D95127" w:rsidRDefault="00A16DDB" w:rsidP="007A627A">
            <w:pPr>
              <w:keepNext/>
              <w:jc w:val="center"/>
              <w:rPr>
                <w:rFonts w:cs="Times New Roman"/>
                <w:b/>
                <w:color w:val="000000"/>
                <w:sz w:val="20"/>
                <w:szCs w:val="20"/>
                <w:lang w:val="cs-CZ"/>
              </w:rPr>
            </w:pPr>
          </w:p>
        </w:tc>
        <w:tc>
          <w:tcPr>
            <w:tcW w:w="1011" w:type="pct"/>
            <w:shd w:val="clear" w:color="auto" w:fill="auto"/>
            <w:vAlign w:val="bottom"/>
            <w:hideMark/>
          </w:tcPr>
          <w:p w14:paraId="7401C774" w14:textId="77777777" w:rsidR="00A16DDB" w:rsidRPr="00D95127" w:rsidRDefault="00A16DDB" w:rsidP="007A627A">
            <w:pPr>
              <w:keepNext/>
              <w:spacing w:after="120"/>
              <w:jc w:val="center"/>
              <w:rPr>
                <w:rFonts w:cs="Times New Roman"/>
                <w:b/>
                <w:color w:val="000000"/>
                <w:sz w:val="20"/>
                <w:szCs w:val="20"/>
                <w:lang w:val="cs-CZ"/>
              </w:rPr>
            </w:pPr>
            <w:r w:rsidRPr="00D95127">
              <w:rPr>
                <w:rFonts w:cs="Times New Roman"/>
                <w:b/>
                <w:color w:val="000000"/>
                <w:sz w:val="20"/>
                <w:szCs w:val="20"/>
                <w:lang w:val="cs-CZ"/>
              </w:rPr>
              <w:t>Zpracovatelské investice</w:t>
            </w:r>
          </w:p>
        </w:tc>
        <w:tc>
          <w:tcPr>
            <w:tcW w:w="664" w:type="pct"/>
            <w:shd w:val="clear" w:color="000000" w:fill="FFFFFF"/>
            <w:vAlign w:val="bottom"/>
            <w:hideMark/>
          </w:tcPr>
          <w:p w14:paraId="034DA1F5" w14:textId="77777777" w:rsidR="00A16DDB" w:rsidRPr="00D95127" w:rsidRDefault="00A16DDB" w:rsidP="007A627A">
            <w:pPr>
              <w:keepNext/>
              <w:jc w:val="center"/>
              <w:rPr>
                <w:rFonts w:cs="Times New Roman"/>
                <w:b/>
                <w:color w:val="000000"/>
                <w:sz w:val="20"/>
                <w:szCs w:val="20"/>
                <w:lang w:val="cs-CZ"/>
              </w:rPr>
            </w:pPr>
            <w:r w:rsidRPr="00D95127">
              <w:rPr>
                <w:rFonts w:cs="Times New Roman"/>
                <w:b/>
                <w:color w:val="000000"/>
                <w:sz w:val="20"/>
                <w:szCs w:val="20"/>
                <w:lang w:val="cs-CZ"/>
              </w:rPr>
              <w:t>Investice na zlepšení technologie stáčení vín</w:t>
            </w:r>
          </w:p>
        </w:tc>
        <w:tc>
          <w:tcPr>
            <w:tcW w:w="475" w:type="pct"/>
            <w:shd w:val="clear" w:color="000000" w:fill="FFFFFF"/>
            <w:vAlign w:val="bottom"/>
            <w:hideMark/>
          </w:tcPr>
          <w:p w14:paraId="544AEE5F" w14:textId="77777777" w:rsidR="00A16DDB" w:rsidRPr="00D95127" w:rsidRDefault="00A16DDB" w:rsidP="007A627A">
            <w:pPr>
              <w:keepNext/>
              <w:spacing w:after="120"/>
              <w:jc w:val="center"/>
              <w:rPr>
                <w:rFonts w:cs="Times New Roman"/>
                <w:b/>
                <w:color w:val="000000"/>
                <w:sz w:val="20"/>
                <w:szCs w:val="20"/>
                <w:lang w:val="cs-CZ"/>
              </w:rPr>
            </w:pPr>
            <w:r w:rsidRPr="00D95127">
              <w:rPr>
                <w:rFonts w:cs="Times New Roman"/>
                <w:b/>
                <w:color w:val="000000"/>
                <w:sz w:val="20"/>
                <w:szCs w:val="20"/>
                <w:lang w:val="cs-CZ"/>
              </w:rPr>
              <w:t>Celkem</w:t>
            </w:r>
          </w:p>
        </w:tc>
        <w:tc>
          <w:tcPr>
            <w:tcW w:w="873" w:type="pct"/>
            <w:shd w:val="clear" w:color="auto" w:fill="auto"/>
            <w:vAlign w:val="bottom"/>
            <w:hideMark/>
          </w:tcPr>
          <w:p w14:paraId="59A79F75" w14:textId="77777777" w:rsidR="00A16DDB" w:rsidRPr="00D95127" w:rsidRDefault="00A16DDB" w:rsidP="007A627A">
            <w:pPr>
              <w:keepNext/>
              <w:jc w:val="center"/>
              <w:rPr>
                <w:rFonts w:cs="Times New Roman"/>
                <w:b/>
                <w:color w:val="000000"/>
                <w:sz w:val="20"/>
                <w:szCs w:val="20"/>
                <w:lang w:val="cs-CZ"/>
              </w:rPr>
            </w:pPr>
            <w:r w:rsidRPr="00D95127">
              <w:rPr>
                <w:rFonts w:cs="Times New Roman"/>
                <w:b/>
                <w:color w:val="000000"/>
                <w:sz w:val="20"/>
                <w:szCs w:val="20"/>
                <w:lang w:val="cs-CZ"/>
              </w:rPr>
              <w:t>Zpracovatelské investice</w:t>
            </w:r>
          </w:p>
        </w:tc>
        <w:tc>
          <w:tcPr>
            <w:tcW w:w="664" w:type="pct"/>
            <w:shd w:val="clear" w:color="000000" w:fill="FFFFFF"/>
            <w:vAlign w:val="bottom"/>
            <w:hideMark/>
          </w:tcPr>
          <w:p w14:paraId="0E9D4065" w14:textId="77777777" w:rsidR="00A16DDB" w:rsidRPr="00D95127" w:rsidRDefault="00A16DDB" w:rsidP="007A627A">
            <w:pPr>
              <w:keepNext/>
              <w:jc w:val="center"/>
              <w:rPr>
                <w:rFonts w:cs="Times New Roman"/>
                <w:b/>
                <w:color w:val="000000"/>
                <w:sz w:val="20"/>
                <w:szCs w:val="20"/>
                <w:lang w:val="cs-CZ"/>
              </w:rPr>
            </w:pPr>
            <w:r w:rsidRPr="00D95127">
              <w:rPr>
                <w:rFonts w:cs="Times New Roman"/>
                <w:b/>
                <w:color w:val="000000"/>
                <w:sz w:val="20"/>
                <w:szCs w:val="20"/>
                <w:lang w:val="cs-CZ"/>
              </w:rPr>
              <w:t>Investice na zlepšení technologie stáčení vín</w:t>
            </w:r>
          </w:p>
        </w:tc>
        <w:tc>
          <w:tcPr>
            <w:tcW w:w="563" w:type="pct"/>
            <w:shd w:val="clear" w:color="000000" w:fill="FFFFFF"/>
            <w:vAlign w:val="bottom"/>
            <w:hideMark/>
          </w:tcPr>
          <w:p w14:paraId="41BC23F4" w14:textId="77777777" w:rsidR="00A16DDB" w:rsidRPr="00D95127" w:rsidRDefault="00A16DDB" w:rsidP="007A627A">
            <w:pPr>
              <w:keepNext/>
              <w:spacing w:after="120"/>
              <w:jc w:val="center"/>
              <w:rPr>
                <w:rFonts w:cs="Times New Roman"/>
                <w:b/>
                <w:color w:val="000000"/>
                <w:sz w:val="20"/>
                <w:szCs w:val="20"/>
                <w:lang w:val="cs-CZ"/>
              </w:rPr>
            </w:pPr>
            <w:r w:rsidRPr="00D95127">
              <w:rPr>
                <w:rFonts w:cs="Times New Roman"/>
                <w:b/>
                <w:color w:val="000000"/>
                <w:sz w:val="20"/>
                <w:szCs w:val="20"/>
                <w:lang w:val="cs-CZ"/>
              </w:rPr>
              <w:t>Celkem</w:t>
            </w:r>
          </w:p>
        </w:tc>
      </w:tr>
      <w:tr w:rsidR="00A16DDB" w:rsidRPr="00D95127" w14:paraId="6132A725" w14:textId="77777777" w:rsidTr="007A627A">
        <w:trPr>
          <w:trHeight w:val="300"/>
        </w:trPr>
        <w:tc>
          <w:tcPr>
            <w:tcW w:w="749" w:type="pct"/>
            <w:shd w:val="clear" w:color="auto" w:fill="auto"/>
            <w:noWrap/>
            <w:vAlign w:val="center"/>
            <w:hideMark/>
          </w:tcPr>
          <w:p w14:paraId="7290CF84"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2013/2014</w:t>
            </w:r>
          </w:p>
        </w:tc>
        <w:tc>
          <w:tcPr>
            <w:tcW w:w="1011" w:type="pct"/>
            <w:shd w:val="clear" w:color="000000" w:fill="FFFFFF"/>
            <w:vAlign w:val="center"/>
            <w:hideMark/>
          </w:tcPr>
          <w:p w14:paraId="3875E7C0"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93</w:t>
            </w:r>
          </w:p>
        </w:tc>
        <w:tc>
          <w:tcPr>
            <w:tcW w:w="664" w:type="pct"/>
            <w:shd w:val="clear" w:color="000000" w:fill="FFFFFF"/>
            <w:vAlign w:val="center"/>
            <w:hideMark/>
          </w:tcPr>
          <w:p w14:paraId="1E4880B3"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69</w:t>
            </w:r>
          </w:p>
        </w:tc>
        <w:tc>
          <w:tcPr>
            <w:tcW w:w="475" w:type="pct"/>
            <w:shd w:val="clear" w:color="000000" w:fill="FFFFFF"/>
            <w:vAlign w:val="center"/>
            <w:hideMark/>
          </w:tcPr>
          <w:p w14:paraId="5E7E2599"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162</w:t>
            </w:r>
          </w:p>
        </w:tc>
        <w:tc>
          <w:tcPr>
            <w:tcW w:w="873" w:type="pct"/>
            <w:shd w:val="clear" w:color="000000" w:fill="FFFFFF"/>
            <w:vAlign w:val="center"/>
            <w:hideMark/>
          </w:tcPr>
          <w:p w14:paraId="28753EDE"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10 334,3</w:t>
            </w:r>
          </w:p>
        </w:tc>
        <w:tc>
          <w:tcPr>
            <w:tcW w:w="664" w:type="pct"/>
            <w:shd w:val="clear" w:color="000000" w:fill="FFFFFF"/>
            <w:vAlign w:val="center"/>
            <w:hideMark/>
          </w:tcPr>
          <w:p w14:paraId="34F98DC9"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17 942,8</w:t>
            </w:r>
          </w:p>
        </w:tc>
        <w:tc>
          <w:tcPr>
            <w:tcW w:w="563" w:type="pct"/>
            <w:shd w:val="clear" w:color="auto" w:fill="auto"/>
            <w:noWrap/>
            <w:vAlign w:val="bottom"/>
            <w:hideMark/>
          </w:tcPr>
          <w:p w14:paraId="64C12844"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28 277,1</w:t>
            </w:r>
          </w:p>
        </w:tc>
      </w:tr>
      <w:tr w:rsidR="00A16DDB" w:rsidRPr="00D95127" w14:paraId="343CE79D" w14:textId="77777777" w:rsidTr="007A627A">
        <w:trPr>
          <w:trHeight w:val="300"/>
        </w:trPr>
        <w:tc>
          <w:tcPr>
            <w:tcW w:w="749" w:type="pct"/>
            <w:shd w:val="clear" w:color="auto" w:fill="auto"/>
            <w:noWrap/>
            <w:vAlign w:val="center"/>
            <w:hideMark/>
          </w:tcPr>
          <w:p w14:paraId="6F432C9A"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2014/2015</w:t>
            </w:r>
          </w:p>
        </w:tc>
        <w:tc>
          <w:tcPr>
            <w:tcW w:w="1011" w:type="pct"/>
            <w:shd w:val="clear" w:color="000000" w:fill="FFFFFF"/>
            <w:vAlign w:val="center"/>
            <w:hideMark/>
          </w:tcPr>
          <w:p w14:paraId="7F12FAF0"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58</w:t>
            </w:r>
          </w:p>
        </w:tc>
        <w:tc>
          <w:tcPr>
            <w:tcW w:w="664" w:type="pct"/>
            <w:shd w:val="clear" w:color="000000" w:fill="FFFFFF"/>
            <w:vAlign w:val="center"/>
            <w:hideMark/>
          </w:tcPr>
          <w:p w14:paraId="1631D814"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10</w:t>
            </w:r>
          </w:p>
        </w:tc>
        <w:tc>
          <w:tcPr>
            <w:tcW w:w="475" w:type="pct"/>
            <w:shd w:val="clear" w:color="000000" w:fill="FFFFFF"/>
            <w:vAlign w:val="center"/>
            <w:hideMark/>
          </w:tcPr>
          <w:p w14:paraId="113B39BB"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68</w:t>
            </w:r>
          </w:p>
        </w:tc>
        <w:tc>
          <w:tcPr>
            <w:tcW w:w="873" w:type="pct"/>
            <w:shd w:val="clear" w:color="000000" w:fill="FFFFFF"/>
            <w:vAlign w:val="center"/>
            <w:hideMark/>
          </w:tcPr>
          <w:p w14:paraId="282272D5"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6 793,7</w:t>
            </w:r>
          </w:p>
        </w:tc>
        <w:tc>
          <w:tcPr>
            <w:tcW w:w="664" w:type="pct"/>
            <w:shd w:val="clear" w:color="000000" w:fill="FFFFFF"/>
            <w:vAlign w:val="center"/>
            <w:hideMark/>
          </w:tcPr>
          <w:p w14:paraId="4C9C1C30"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21 800,9</w:t>
            </w:r>
          </w:p>
        </w:tc>
        <w:tc>
          <w:tcPr>
            <w:tcW w:w="563" w:type="pct"/>
            <w:shd w:val="clear" w:color="auto" w:fill="auto"/>
            <w:noWrap/>
            <w:vAlign w:val="bottom"/>
            <w:hideMark/>
          </w:tcPr>
          <w:p w14:paraId="1BF229DE"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28 594,6</w:t>
            </w:r>
          </w:p>
        </w:tc>
      </w:tr>
      <w:tr w:rsidR="00A16DDB" w:rsidRPr="00D95127" w14:paraId="39249131" w14:textId="77777777" w:rsidTr="007A627A">
        <w:trPr>
          <w:trHeight w:val="300"/>
        </w:trPr>
        <w:tc>
          <w:tcPr>
            <w:tcW w:w="749" w:type="pct"/>
            <w:shd w:val="clear" w:color="auto" w:fill="auto"/>
            <w:noWrap/>
            <w:vAlign w:val="center"/>
            <w:hideMark/>
          </w:tcPr>
          <w:p w14:paraId="1F8E5432"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2015/2016</w:t>
            </w:r>
          </w:p>
        </w:tc>
        <w:tc>
          <w:tcPr>
            <w:tcW w:w="1011" w:type="pct"/>
            <w:shd w:val="clear" w:color="000000" w:fill="FFFFFF"/>
            <w:vAlign w:val="center"/>
            <w:hideMark/>
          </w:tcPr>
          <w:p w14:paraId="3240B3B1"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66</w:t>
            </w:r>
          </w:p>
        </w:tc>
        <w:tc>
          <w:tcPr>
            <w:tcW w:w="664" w:type="pct"/>
            <w:shd w:val="clear" w:color="000000" w:fill="FFFFFF"/>
            <w:vAlign w:val="center"/>
            <w:hideMark/>
          </w:tcPr>
          <w:p w14:paraId="773A699C"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12</w:t>
            </w:r>
          </w:p>
        </w:tc>
        <w:tc>
          <w:tcPr>
            <w:tcW w:w="475" w:type="pct"/>
            <w:shd w:val="clear" w:color="000000" w:fill="FFFFFF"/>
            <w:vAlign w:val="center"/>
            <w:hideMark/>
          </w:tcPr>
          <w:p w14:paraId="16F27D7C"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78</w:t>
            </w:r>
          </w:p>
        </w:tc>
        <w:tc>
          <w:tcPr>
            <w:tcW w:w="873" w:type="pct"/>
            <w:shd w:val="clear" w:color="000000" w:fill="FFFFFF"/>
            <w:vAlign w:val="center"/>
            <w:hideMark/>
          </w:tcPr>
          <w:p w14:paraId="6FC4C29B"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10 373,1</w:t>
            </w:r>
          </w:p>
        </w:tc>
        <w:tc>
          <w:tcPr>
            <w:tcW w:w="664" w:type="pct"/>
            <w:shd w:val="clear" w:color="000000" w:fill="FFFFFF"/>
            <w:vAlign w:val="center"/>
            <w:hideMark/>
          </w:tcPr>
          <w:p w14:paraId="6A6A95DD"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17 487,6</w:t>
            </w:r>
          </w:p>
        </w:tc>
        <w:tc>
          <w:tcPr>
            <w:tcW w:w="563" w:type="pct"/>
            <w:shd w:val="clear" w:color="auto" w:fill="auto"/>
            <w:noWrap/>
            <w:vAlign w:val="bottom"/>
            <w:hideMark/>
          </w:tcPr>
          <w:p w14:paraId="16042C4F"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27 860,7</w:t>
            </w:r>
          </w:p>
        </w:tc>
      </w:tr>
      <w:tr w:rsidR="00A16DDB" w:rsidRPr="00D95127" w14:paraId="4BD6EA60" w14:textId="77777777" w:rsidTr="007A627A">
        <w:trPr>
          <w:trHeight w:val="300"/>
        </w:trPr>
        <w:tc>
          <w:tcPr>
            <w:tcW w:w="749" w:type="pct"/>
            <w:shd w:val="clear" w:color="auto" w:fill="auto"/>
            <w:noWrap/>
            <w:vAlign w:val="center"/>
            <w:hideMark/>
          </w:tcPr>
          <w:p w14:paraId="4AE2CB02"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2016/2017</w:t>
            </w:r>
          </w:p>
        </w:tc>
        <w:tc>
          <w:tcPr>
            <w:tcW w:w="1011" w:type="pct"/>
            <w:shd w:val="clear" w:color="000000" w:fill="FFFFFF"/>
            <w:vAlign w:val="center"/>
            <w:hideMark/>
          </w:tcPr>
          <w:p w14:paraId="7992ED21"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86</w:t>
            </w:r>
          </w:p>
        </w:tc>
        <w:tc>
          <w:tcPr>
            <w:tcW w:w="664" w:type="pct"/>
            <w:shd w:val="clear" w:color="000000" w:fill="FFFFFF"/>
            <w:vAlign w:val="center"/>
            <w:hideMark/>
          </w:tcPr>
          <w:p w14:paraId="14A0104A"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11</w:t>
            </w:r>
          </w:p>
        </w:tc>
        <w:tc>
          <w:tcPr>
            <w:tcW w:w="475" w:type="pct"/>
            <w:shd w:val="clear" w:color="000000" w:fill="FFFFFF"/>
            <w:vAlign w:val="center"/>
            <w:hideMark/>
          </w:tcPr>
          <w:p w14:paraId="5B9D9FC1"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97</w:t>
            </w:r>
          </w:p>
        </w:tc>
        <w:tc>
          <w:tcPr>
            <w:tcW w:w="873" w:type="pct"/>
            <w:shd w:val="clear" w:color="000000" w:fill="FFFFFF"/>
            <w:vAlign w:val="center"/>
            <w:hideMark/>
          </w:tcPr>
          <w:p w14:paraId="490683C8"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6 727,1</w:t>
            </w:r>
          </w:p>
        </w:tc>
        <w:tc>
          <w:tcPr>
            <w:tcW w:w="664" w:type="pct"/>
            <w:shd w:val="clear" w:color="000000" w:fill="FFFFFF"/>
            <w:vAlign w:val="center"/>
            <w:hideMark/>
          </w:tcPr>
          <w:p w14:paraId="19FA733D"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21 131,4</w:t>
            </w:r>
          </w:p>
        </w:tc>
        <w:tc>
          <w:tcPr>
            <w:tcW w:w="563" w:type="pct"/>
            <w:shd w:val="clear" w:color="auto" w:fill="auto"/>
            <w:noWrap/>
            <w:vAlign w:val="bottom"/>
            <w:hideMark/>
          </w:tcPr>
          <w:p w14:paraId="3823ADFF"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27 858,5</w:t>
            </w:r>
          </w:p>
        </w:tc>
      </w:tr>
      <w:tr w:rsidR="00A16DDB" w:rsidRPr="00D95127" w14:paraId="0AFA2FAD" w14:textId="77777777" w:rsidTr="007A627A">
        <w:trPr>
          <w:trHeight w:val="315"/>
        </w:trPr>
        <w:tc>
          <w:tcPr>
            <w:tcW w:w="749" w:type="pct"/>
            <w:shd w:val="clear" w:color="auto" w:fill="auto"/>
            <w:noWrap/>
            <w:vAlign w:val="center"/>
            <w:hideMark/>
          </w:tcPr>
          <w:p w14:paraId="0EEA3D72"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2017/2018</w:t>
            </w:r>
          </w:p>
        </w:tc>
        <w:tc>
          <w:tcPr>
            <w:tcW w:w="1011" w:type="pct"/>
            <w:shd w:val="clear" w:color="000000" w:fill="FFFFFF"/>
            <w:vAlign w:val="center"/>
            <w:hideMark/>
          </w:tcPr>
          <w:p w14:paraId="4B43E65A"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53</w:t>
            </w:r>
          </w:p>
        </w:tc>
        <w:tc>
          <w:tcPr>
            <w:tcW w:w="664" w:type="pct"/>
            <w:shd w:val="clear" w:color="000000" w:fill="FFFFFF"/>
            <w:vAlign w:val="center"/>
            <w:hideMark/>
          </w:tcPr>
          <w:p w14:paraId="06E8DD6C"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8</w:t>
            </w:r>
          </w:p>
        </w:tc>
        <w:tc>
          <w:tcPr>
            <w:tcW w:w="475" w:type="pct"/>
            <w:shd w:val="clear" w:color="000000" w:fill="FFFFFF"/>
            <w:vAlign w:val="center"/>
            <w:hideMark/>
          </w:tcPr>
          <w:p w14:paraId="2E8319BB"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61</w:t>
            </w:r>
          </w:p>
        </w:tc>
        <w:tc>
          <w:tcPr>
            <w:tcW w:w="873" w:type="pct"/>
            <w:shd w:val="clear" w:color="000000" w:fill="FFFFFF"/>
            <w:vAlign w:val="center"/>
            <w:hideMark/>
          </w:tcPr>
          <w:p w14:paraId="767ED5D3"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9 435,9</w:t>
            </w:r>
          </w:p>
        </w:tc>
        <w:tc>
          <w:tcPr>
            <w:tcW w:w="664" w:type="pct"/>
            <w:shd w:val="clear" w:color="000000" w:fill="FFFFFF"/>
            <w:vAlign w:val="center"/>
            <w:hideMark/>
          </w:tcPr>
          <w:p w14:paraId="7ADDF703"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14 068,4</w:t>
            </w:r>
          </w:p>
        </w:tc>
        <w:tc>
          <w:tcPr>
            <w:tcW w:w="563" w:type="pct"/>
            <w:shd w:val="clear" w:color="auto" w:fill="auto"/>
            <w:noWrap/>
            <w:vAlign w:val="bottom"/>
            <w:hideMark/>
          </w:tcPr>
          <w:p w14:paraId="305A1591" w14:textId="77777777" w:rsidR="00A16DDB" w:rsidRPr="00D95127" w:rsidRDefault="00A16DDB" w:rsidP="007A627A">
            <w:pPr>
              <w:keepNext/>
              <w:jc w:val="center"/>
              <w:rPr>
                <w:rFonts w:cs="Times New Roman"/>
                <w:color w:val="000000"/>
                <w:sz w:val="20"/>
                <w:szCs w:val="20"/>
                <w:lang w:val="cs-CZ"/>
              </w:rPr>
            </w:pPr>
            <w:r w:rsidRPr="00D95127">
              <w:rPr>
                <w:rFonts w:cs="Times New Roman"/>
                <w:color w:val="000000"/>
                <w:sz w:val="20"/>
                <w:szCs w:val="20"/>
                <w:lang w:val="cs-CZ"/>
              </w:rPr>
              <w:t>23 504,3</w:t>
            </w:r>
          </w:p>
        </w:tc>
      </w:tr>
      <w:tr w:rsidR="00A16DDB" w:rsidRPr="00D95127" w14:paraId="1D23C836" w14:textId="77777777" w:rsidTr="007A627A">
        <w:trPr>
          <w:trHeight w:val="315"/>
        </w:trPr>
        <w:tc>
          <w:tcPr>
            <w:tcW w:w="749" w:type="pct"/>
            <w:shd w:val="clear" w:color="auto" w:fill="auto"/>
            <w:noWrap/>
            <w:vAlign w:val="center"/>
          </w:tcPr>
          <w:p w14:paraId="3B03A4B7" w14:textId="77777777" w:rsidR="00A16DDB" w:rsidRPr="00D95127" w:rsidRDefault="00A16DDB" w:rsidP="007A627A">
            <w:pPr>
              <w:keepNext/>
              <w:jc w:val="center"/>
              <w:rPr>
                <w:rFonts w:cs="Times New Roman"/>
                <w:bCs/>
                <w:color w:val="000000"/>
                <w:sz w:val="20"/>
                <w:szCs w:val="20"/>
                <w:lang w:val="cs-CZ"/>
              </w:rPr>
            </w:pPr>
            <w:r w:rsidRPr="00D95127">
              <w:rPr>
                <w:rFonts w:cs="Times New Roman"/>
                <w:bCs/>
                <w:color w:val="000000"/>
                <w:sz w:val="20"/>
                <w:szCs w:val="20"/>
                <w:lang w:val="cs-CZ"/>
              </w:rPr>
              <w:t>2018/2019</w:t>
            </w:r>
          </w:p>
        </w:tc>
        <w:tc>
          <w:tcPr>
            <w:tcW w:w="1011" w:type="pct"/>
            <w:shd w:val="clear" w:color="000000" w:fill="FFFFFF"/>
            <w:vAlign w:val="center"/>
          </w:tcPr>
          <w:p w14:paraId="15D2C20C" w14:textId="77777777" w:rsidR="00A16DDB" w:rsidRPr="00D95127" w:rsidRDefault="00A16DDB" w:rsidP="007A627A">
            <w:pPr>
              <w:keepNext/>
              <w:jc w:val="center"/>
              <w:rPr>
                <w:rFonts w:cs="Times New Roman"/>
                <w:bCs/>
                <w:color w:val="000000"/>
                <w:sz w:val="20"/>
                <w:szCs w:val="20"/>
                <w:lang w:val="cs-CZ"/>
              </w:rPr>
            </w:pPr>
            <w:r w:rsidRPr="00D95127">
              <w:rPr>
                <w:rFonts w:cs="Times New Roman"/>
                <w:bCs/>
                <w:color w:val="000000"/>
                <w:sz w:val="20"/>
                <w:szCs w:val="20"/>
                <w:lang w:val="cs-CZ"/>
              </w:rPr>
              <w:t>98</w:t>
            </w:r>
          </w:p>
        </w:tc>
        <w:tc>
          <w:tcPr>
            <w:tcW w:w="664" w:type="pct"/>
            <w:shd w:val="clear" w:color="000000" w:fill="FFFFFF"/>
            <w:vAlign w:val="center"/>
          </w:tcPr>
          <w:p w14:paraId="516AF75D" w14:textId="77777777" w:rsidR="00A16DDB" w:rsidRPr="00D95127" w:rsidRDefault="00A16DDB" w:rsidP="007A627A">
            <w:pPr>
              <w:keepNext/>
              <w:jc w:val="center"/>
              <w:rPr>
                <w:rFonts w:cs="Times New Roman"/>
                <w:bCs/>
                <w:color w:val="000000"/>
                <w:sz w:val="20"/>
                <w:szCs w:val="20"/>
                <w:lang w:val="cs-CZ"/>
              </w:rPr>
            </w:pPr>
            <w:r w:rsidRPr="00D95127">
              <w:rPr>
                <w:rFonts w:cs="Times New Roman"/>
                <w:bCs/>
                <w:color w:val="000000"/>
                <w:sz w:val="20"/>
                <w:szCs w:val="20"/>
                <w:lang w:val="cs-CZ"/>
              </w:rPr>
              <w:t>17</w:t>
            </w:r>
          </w:p>
        </w:tc>
        <w:tc>
          <w:tcPr>
            <w:tcW w:w="475" w:type="pct"/>
            <w:shd w:val="clear" w:color="000000" w:fill="FFFFFF"/>
            <w:vAlign w:val="center"/>
          </w:tcPr>
          <w:p w14:paraId="0FA07CAF" w14:textId="77777777" w:rsidR="00A16DDB" w:rsidRPr="00D95127" w:rsidRDefault="00A16DDB" w:rsidP="007A627A">
            <w:pPr>
              <w:keepNext/>
              <w:jc w:val="center"/>
              <w:rPr>
                <w:rFonts w:cs="Times New Roman"/>
                <w:bCs/>
                <w:color w:val="000000"/>
                <w:sz w:val="20"/>
                <w:szCs w:val="20"/>
                <w:lang w:val="cs-CZ"/>
              </w:rPr>
            </w:pPr>
            <w:r w:rsidRPr="00D95127">
              <w:rPr>
                <w:rFonts w:cs="Times New Roman"/>
                <w:bCs/>
                <w:color w:val="000000"/>
                <w:sz w:val="20"/>
                <w:szCs w:val="20"/>
                <w:lang w:val="cs-CZ"/>
              </w:rPr>
              <w:t>115</w:t>
            </w:r>
          </w:p>
        </w:tc>
        <w:tc>
          <w:tcPr>
            <w:tcW w:w="873" w:type="pct"/>
            <w:shd w:val="clear" w:color="000000" w:fill="FFFFFF"/>
            <w:vAlign w:val="center"/>
          </w:tcPr>
          <w:p w14:paraId="1ADC0D82" w14:textId="77777777" w:rsidR="00A16DDB" w:rsidRPr="00D95127" w:rsidRDefault="00A16DDB" w:rsidP="007A627A">
            <w:pPr>
              <w:keepNext/>
              <w:jc w:val="center"/>
              <w:rPr>
                <w:rFonts w:cs="Times New Roman"/>
                <w:bCs/>
                <w:color w:val="000000"/>
                <w:sz w:val="20"/>
                <w:szCs w:val="20"/>
                <w:lang w:val="cs-CZ"/>
              </w:rPr>
            </w:pPr>
            <w:r w:rsidRPr="00D95127">
              <w:rPr>
                <w:rFonts w:cs="Times New Roman"/>
                <w:bCs/>
                <w:color w:val="000000"/>
                <w:sz w:val="20"/>
                <w:szCs w:val="20"/>
                <w:lang w:val="cs-CZ"/>
              </w:rPr>
              <w:t>28 105,4</w:t>
            </w:r>
          </w:p>
        </w:tc>
        <w:tc>
          <w:tcPr>
            <w:tcW w:w="664" w:type="pct"/>
            <w:shd w:val="clear" w:color="000000" w:fill="FFFFFF"/>
            <w:vAlign w:val="center"/>
          </w:tcPr>
          <w:p w14:paraId="06FEF618" w14:textId="77777777" w:rsidR="00A16DDB" w:rsidRPr="00D95127" w:rsidRDefault="00A16DDB" w:rsidP="007A627A">
            <w:pPr>
              <w:keepNext/>
              <w:jc w:val="center"/>
              <w:rPr>
                <w:rFonts w:cs="Times New Roman"/>
                <w:bCs/>
                <w:color w:val="000000"/>
                <w:sz w:val="20"/>
                <w:szCs w:val="20"/>
                <w:lang w:val="cs-CZ"/>
              </w:rPr>
            </w:pPr>
            <w:r w:rsidRPr="00D95127">
              <w:rPr>
                <w:rFonts w:cs="Times New Roman"/>
                <w:bCs/>
                <w:color w:val="000000"/>
                <w:sz w:val="20"/>
                <w:szCs w:val="20"/>
                <w:lang w:val="cs-CZ"/>
              </w:rPr>
              <w:t>11 676,5</w:t>
            </w:r>
          </w:p>
        </w:tc>
        <w:tc>
          <w:tcPr>
            <w:tcW w:w="563" w:type="pct"/>
            <w:shd w:val="clear" w:color="auto" w:fill="auto"/>
            <w:noWrap/>
            <w:vAlign w:val="bottom"/>
          </w:tcPr>
          <w:p w14:paraId="7E339D3A" w14:textId="77777777" w:rsidR="00A16DDB" w:rsidRPr="00D95127" w:rsidRDefault="00A16DDB" w:rsidP="007A627A">
            <w:pPr>
              <w:keepNext/>
              <w:jc w:val="center"/>
              <w:rPr>
                <w:rFonts w:cs="Times New Roman"/>
                <w:bCs/>
                <w:color w:val="000000"/>
                <w:sz w:val="20"/>
                <w:szCs w:val="20"/>
                <w:lang w:val="cs-CZ"/>
              </w:rPr>
            </w:pPr>
            <w:r w:rsidRPr="00D95127">
              <w:rPr>
                <w:rFonts w:cs="Times New Roman"/>
                <w:bCs/>
                <w:color w:val="000000"/>
                <w:sz w:val="20"/>
                <w:szCs w:val="20"/>
                <w:lang w:val="cs-CZ"/>
              </w:rPr>
              <w:t>39 781,9</w:t>
            </w:r>
          </w:p>
        </w:tc>
      </w:tr>
      <w:tr w:rsidR="00A16DDB" w:rsidRPr="00D95127" w14:paraId="5CA9E915" w14:textId="77777777" w:rsidTr="007A627A">
        <w:trPr>
          <w:trHeight w:val="315"/>
        </w:trPr>
        <w:tc>
          <w:tcPr>
            <w:tcW w:w="749" w:type="pct"/>
            <w:shd w:val="clear" w:color="auto" w:fill="auto"/>
            <w:noWrap/>
            <w:vAlign w:val="center"/>
          </w:tcPr>
          <w:p w14:paraId="00C48920" w14:textId="77777777" w:rsidR="00A16DDB" w:rsidRPr="00D95127" w:rsidRDefault="00A16DDB" w:rsidP="007A627A">
            <w:pPr>
              <w:keepNext/>
              <w:jc w:val="center"/>
              <w:rPr>
                <w:rFonts w:cs="Times New Roman"/>
                <w:bCs/>
                <w:color w:val="000000"/>
                <w:sz w:val="20"/>
                <w:szCs w:val="20"/>
                <w:lang w:val="cs-CZ"/>
              </w:rPr>
            </w:pPr>
            <w:r w:rsidRPr="00D95127">
              <w:rPr>
                <w:rFonts w:cs="Times New Roman"/>
                <w:bCs/>
                <w:color w:val="000000"/>
                <w:sz w:val="20"/>
                <w:szCs w:val="20"/>
                <w:lang w:val="cs-CZ"/>
              </w:rPr>
              <w:t>2019/2020</w:t>
            </w:r>
          </w:p>
        </w:tc>
        <w:tc>
          <w:tcPr>
            <w:tcW w:w="1011" w:type="pct"/>
            <w:shd w:val="clear" w:color="000000" w:fill="FFFFFF"/>
            <w:vAlign w:val="center"/>
          </w:tcPr>
          <w:p w14:paraId="0ECD4B5F" w14:textId="77777777" w:rsidR="00A16DDB" w:rsidRPr="00D95127" w:rsidRDefault="00A16DDB" w:rsidP="007A627A">
            <w:pPr>
              <w:keepNext/>
              <w:jc w:val="center"/>
              <w:rPr>
                <w:rFonts w:cs="Times New Roman"/>
                <w:bCs/>
                <w:color w:val="000000"/>
                <w:sz w:val="20"/>
                <w:szCs w:val="20"/>
                <w:lang w:val="cs-CZ"/>
              </w:rPr>
            </w:pPr>
            <w:r w:rsidRPr="00D95127">
              <w:rPr>
                <w:rFonts w:cs="Times New Roman"/>
                <w:bCs/>
                <w:color w:val="000000"/>
                <w:sz w:val="20"/>
                <w:szCs w:val="20"/>
                <w:lang w:val="cs-CZ"/>
              </w:rPr>
              <w:t>85</w:t>
            </w:r>
          </w:p>
        </w:tc>
        <w:tc>
          <w:tcPr>
            <w:tcW w:w="664" w:type="pct"/>
            <w:shd w:val="clear" w:color="000000" w:fill="FFFFFF"/>
            <w:vAlign w:val="center"/>
          </w:tcPr>
          <w:p w14:paraId="74D13E92" w14:textId="77777777" w:rsidR="00A16DDB" w:rsidRPr="00D95127" w:rsidRDefault="00A16DDB" w:rsidP="007A627A">
            <w:pPr>
              <w:keepNext/>
              <w:jc w:val="center"/>
              <w:rPr>
                <w:rFonts w:cs="Times New Roman"/>
                <w:bCs/>
                <w:color w:val="000000"/>
                <w:sz w:val="20"/>
                <w:szCs w:val="20"/>
                <w:lang w:val="cs-CZ"/>
              </w:rPr>
            </w:pPr>
            <w:r w:rsidRPr="00D95127">
              <w:rPr>
                <w:rFonts w:cs="Times New Roman"/>
                <w:bCs/>
                <w:color w:val="000000"/>
                <w:sz w:val="20"/>
                <w:szCs w:val="20"/>
                <w:lang w:val="cs-CZ"/>
              </w:rPr>
              <w:t>7</w:t>
            </w:r>
          </w:p>
        </w:tc>
        <w:tc>
          <w:tcPr>
            <w:tcW w:w="475" w:type="pct"/>
            <w:shd w:val="clear" w:color="000000" w:fill="FFFFFF"/>
            <w:vAlign w:val="center"/>
          </w:tcPr>
          <w:p w14:paraId="1A5A6230" w14:textId="77777777" w:rsidR="00A16DDB" w:rsidRPr="00D95127" w:rsidRDefault="00A16DDB" w:rsidP="007A627A">
            <w:pPr>
              <w:keepNext/>
              <w:jc w:val="center"/>
              <w:rPr>
                <w:rFonts w:cs="Times New Roman"/>
                <w:bCs/>
                <w:color w:val="000000"/>
                <w:sz w:val="20"/>
                <w:szCs w:val="20"/>
                <w:lang w:val="cs-CZ"/>
              </w:rPr>
            </w:pPr>
            <w:r w:rsidRPr="00D95127">
              <w:rPr>
                <w:rFonts w:cs="Times New Roman"/>
                <w:bCs/>
                <w:color w:val="000000"/>
                <w:sz w:val="20"/>
                <w:szCs w:val="20"/>
                <w:lang w:val="cs-CZ"/>
              </w:rPr>
              <w:t>92</w:t>
            </w:r>
          </w:p>
        </w:tc>
        <w:tc>
          <w:tcPr>
            <w:tcW w:w="873" w:type="pct"/>
            <w:shd w:val="clear" w:color="000000" w:fill="FFFFFF"/>
            <w:vAlign w:val="center"/>
          </w:tcPr>
          <w:p w14:paraId="18757FF7" w14:textId="77777777" w:rsidR="00A16DDB" w:rsidRPr="00D95127" w:rsidRDefault="00A16DDB" w:rsidP="007A627A">
            <w:pPr>
              <w:keepNext/>
              <w:jc w:val="center"/>
              <w:rPr>
                <w:rFonts w:cs="Times New Roman"/>
                <w:bCs/>
                <w:color w:val="000000"/>
                <w:sz w:val="20"/>
                <w:szCs w:val="20"/>
                <w:lang w:val="cs-CZ"/>
              </w:rPr>
            </w:pPr>
            <w:r w:rsidRPr="00D95127">
              <w:rPr>
                <w:rFonts w:cs="Times New Roman"/>
                <w:bCs/>
                <w:color w:val="000000"/>
                <w:sz w:val="20"/>
                <w:szCs w:val="20"/>
                <w:lang w:val="cs-CZ"/>
              </w:rPr>
              <w:t>37 783,5</w:t>
            </w:r>
          </w:p>
        </w:tc>
        <w:tc>
          <w:tcPr>
            <w:tcW w:w="664" w:type="pct"/>
            <w:shd w:val="clear" w:color="000000" w:fill="FFFFFF"/>
            <w:vAlign w:val="center"/>
          </w:tcPr>
          <w:p w14:paraId="6EBAE6DE" w14:textId="77777777" w:rsidR="00A16DDB" w:rsidRPr="00D95127" w:rsidRDefault="00A16DDB" w:rsidP="007A627A">
            <w:pPr>
              <w:keepNext/>
              <w:jc w:val="center"/>
              <w:rPr>
                <w:rFonts w:cs="Times New Roman"/>
                <w:bCs/>
                <w:color w:val="000000"/>
                <w:sz w:val="20"/>
                <w:szCs w:val="20"/>
                <w:lang w:val="cs-CZ"/>
              </w:rPr>
            </w:pPr>
            <w:r w:rsidRPr="00D95127">
              <w:rPr>
                <w:rFonts w:cs="Times New Roman"/>
                <w:bCs/>
                <w:color w:val="000000"/>
                <w:sz w:val="20"/>
                <w:szCs w:val="20"/>
                <w:lang w:val="cs-CZ"/>
              </w:rPr>
              <w:t>6 941,1</w:t>
            </w:r>
          </w:p>
        </w:tc>
        <w:tc>
          <w:tcPr>
            <w:tcW w:w="563" w:type="pct"/>
            <w:shd w:val="clear" w:color="auto" w:fill="auto"/>
            <w:noWrap/>
            <w:vAlign w:val="bottom"/>
          </w:tcPr>
          <w:p w14:paraId="1337BF13" w14:textId="77777777" w:rsidR="00A16DDB" w:rsidRPr="00D95127" w:rsidRDefault="00A16DDB" w:rsidP="007A627A">
            <w:pPr>
              <w:keepNext/>
              <w:jc w:val="center"/>
              <w:rPr>
                <w:rFonts w:cs="Times New Roman"/>
                <w:bCs/>
                <w:color w:val="000000"/>
                <w:sz w:val="20"/>
                <w:szCs w:val="20"/>
                <w:lang w:val="cs-CZ"/>
              </w:rPr>
            </w:pPr>
            <w:r w:rsidRPr="00D95127">
              <w:rPr>
                <w:rFonts w:cs="Times New Roman"/>
                <w:bCs/>
                <w:color w:val="000000"/>
                <w:sz w:val="20"/>
                <w:szCs w:val="20"/>
                <w:lang w:val="cs-CZ"/>
              </w:rPr>
              <w:t>44 724,6</w:t>
            </w:r>
          </w:p>
        </w:tc>
      </w:tr>
      <w:tr w:rsidR="00A16DDB" w:rsidRPr="00D95127" w14:paraId="588DC40F" w14:textId="77777777" w:rsidTr="007A627A">
        <w:trPr>
          <w:trHeight w:val="315"/>
        </w:trPr>
        <w:tc>
          <w:tcPr>
            <w:tcW w:w="749" w:type="pct"/>
            <w:shd w:val="clear" w:color="auto" w:fill="auto"/>
            <w:noWrap/>
            <w:vAlign w:val="center"/>
            <w:hideMark/>
          </w:tcPr>
          <w:p w14:paraId="7D5FB8C5" w14:textId="77777777" w:rsidR="00A16DDB" w:rsidRPr="00D95127" w:rsidRDefault="00A16DDB" w:rsidP="007A627A">
            <w:pPr>
              <w:keepNext/>
              <w:jc w:val="center"/>
              <w:rPr>
                <w:rFonts w:cs="Times New Roman"/>
                <w:b/>
                <w:color w:val="000000"/>
                <w:sz w:val="20"/>
                <w:szCs w:val="20"/>
                <w:lang w:val="cs-CZ"/>
              </w:rPr>
            </w:pPr>
            <w:r w:rsidRPr="00D95127">
              <w:rPr>
                <w:rFonts w:cs="Times New Roman"/>
                <w:b/>
                <w:color w:val="000000"/>
                <w:sz w:val="20"/>
                <w:szCs w:val="20"/>
                <w:lang w:val="cs-CZ"/>
              </w:rPr>
              <w:t>CELKEM</w:t>
            </w:r>
          </w:p>
        </w:tc>
        <w:tc>
          <w:tcPr>
            <w:tcW w:w="1011" w:type="pct"/>
            <w:shd w:val="clear" w:color="000000" w:fill="FFFFFF"/>
            <w:vAlign w:val="center"/>
            <w:hideMark/>
          </w:tcPr>
          <w:p w14:paraId="5C405E38" w14:textId="77777777" w:rsidR="00A16DDB" w:rsidRPr="00D95127" w:rsidRDefault="00A16DDB" w:rsidP="007A627A">
            <w:pPr>
              <w:keepNext/>
              <w:jc w:val="center"/>
              <w:rPr>
                <w:rFonts w:cs="Times New Roman"/>
                <w:b/>
                <w:color w:val="000000"/>
                <w:sz w:val="20"/>
                <w:szCs w:val="20"/>
                <w:lang w:val="cs-CZ"/>
              </w:rPr>
            </w:pPr>
            <w:r w:rsidRPr="00D95127">
              <w:rPr>
                <w:rFonts w:cs="Times New Roman"/>
                <w:b/>
                <w:color w:val="000000"/>
                <w:sz w:val="20"/>
                <w:szCs w:val="20"/>
                <w:lang w:val="cs-CZ"/>
              </w:rPr>
              <w:t>539</w:t>
            </w:r>
          </w:p>
        </w:tc>
        <w:tc>
          <w:tcPr>
            <w:tcW w:w="664" w:type="pct"/>
            <w:shd w:val="clear" w:color="000000" w:fill="FFFFFF"/>
            <w:vAlign w:val="center"/>
            <w:hideMark/>
          </w:tcPr>
          <w:p w14:paraId="2C6B5F8A" w14:textId="77777777" w:rsidR="00A16DDB" w:rsidRPr="00D95127" w:rsidRDefault="00A16DDB" w:rsidP="007A627A">
            <w:pPr>
              <w:keepNext/>
              <w:jc w:val="center"/>
              <w:rPr>
                <w:rFonts w:cs="Times New Roman"/>
                <w:b/>
                <w:color w:val="000000"/>
                <w:sz w:val="20"/>
                <w:szCs w:val="20"/>
                <w:lang w:val="cs-CZ"/>
              </w:rPr>
            </w:pPr>
            <w:r w:rsidRPr="00D95127">
              <w:rPr>
                <w:rFonts w:cs="Times New Roman"/>
                <w:b/>
                <w:color w:val="000000"/>
                <w:sz w:val="20"/>
                <w:szCs w:val="20"/>
                <w:lang w:val="cs-CZ"/>
              </w:rPr>
              <w:t>134</w:t>
            </w:r>
          </w:p>
        </w:tc>
        <w:tc>
          <w:tcPr>
            <w:tcW w:w="475" w:type="pct"/>
            <w:shd w:val="clear" w:color="000000" w:fill="FFFFFF"/>
            <w:vAlign w:val="center"/>
            <w:hideMark/>
          </w:tcPr>
          <w:p w14:paraId="2E3CF8C4" w14:textId="77777777" w:rsidR="00A16DDB" w:rsidRPr="00D95127" w:rsidRDefault="00A16DDB" w:rsidP="007A627A">
            <w:pPr>
              <w:keepNext/>
              <w:jc w:val="center"/>
              <w:rPr>
                <w:rFonts w:cs="Times New Roman"/>
                <w:b/>
                <w:color w:val="000000"/>
                <w:sz w:val="20"/>
                <w:szCs w:val="20"/>
                <w:lang w:val="cs-CZ"/>
              </w:rPr>
            </w:pPr>
            <w:r w:rsidRPr="00D95127">
              <w:rPr>
                <w:rFonts w:cs="Times New Roman"/>
                <w:b/>
                <w:color w:val="000000"/>
                <w:sz w:val="20"/>
                <w:szCs w:val="20"/>
                <w:lang w:val="cs-CZ"/>
              </w:rPr>
              <w:t>673</w:t>
            </w:r>
          </w:p>
        </w:tc>
        <w:tc>
          <w:tcPr>
            <w:tcW w:w="873" w:type="pct"/>
            <w:shd w:val="clear" w:color="000000" w:fill="FFFFFF"/>
            <w:vAlign w:val="center"/>
            <w:hideMark/>
          </w:tcPr>
          <w:p w14:paraId="7420438D" w14:textId="77777777" w:rsidR="00A16DDB" w:rsidRPr="00D95127" w:rsidRDefault="00A16DDB" w:rsidP="007A627A">
            <w:pPr>
              <w:keepNext/>
              <w:jc w:val="center"/>
              <w:rPr>
                <w:rFonts w:cs="Times New Roman"/>
                <w:b/>
                <w:color w:val="000000"/>
                <w:sz w:val="20"/>
                <w:szCs w:val="20"/>
                <w:lang w:val="cs-CZ"/>
              </w:rPr>
            </w:pPr>
            <w:r w:rsidRPr="00D95127">
              <w:rPr>
                <w:rFonts w:cs="Times New Roman"/>
                <w:b/>
                <w:color w:val="000000"/>
                <w:sz w:val="20"/>
                <w:szCs w:val="20"/>
                <w:lang w:val="cs-CZ"/>
              </w:rPr>
              <w:t>109 553,0</w:t>
            </w:r>
          </w:p>
        </w:tc>
        <w:tc>
          <w:tcPr>
            <w:tcW w:w="664" w:type="pct"/>
            <w:shd w:val="clear" w:color="000000" w:fill="FFFFFF"/>
            <w:vAlign w:val="center"/>
            <w:hideMark/>
          </w:tcPr>
          <w:p w14:paraId="14CC7BF3" w14:textId="77777777" w:rsidR="00A16DDB" w:rsidRPr="00D95127" w:rsidRDefault="00A16DDB" w:rsidP="007A627A">
            <w:pPr>
              <w:keepNext/>
              <w:jc w:val="center"/>
              <w:rPr>
                <w:rFonts w:cs="Times New Roman"/>
                <w:b/>
                <w:color w:val="000000"/>
                <w:sz w:val="20"/>
                <w:szCs w:val="20"/>
                <w:lang w:val="cs-CZ"/>
              </w:rPr>
            </w:pPr>
            <w:r w:rsidRPr="00D95127">
              <w:rPr>
                <w:rFonts w:cs="Times New Roman"/>
                <w:b/>
                <w:color w:val="000000"/>
                <w:sz w:val="20"/>
                <w:szCs w:val="20"/>
                <w:lang w:val="cs-CZ"/>
              </w:rPr>
              <w:t>111 048,7</w:t>
            </w:r>
          </w:p>
        </w:tc>
        <w:tc>
          <w:tcPr>
            <w:tcW w:w="563" w:type="pct"/>
            <w:shd w:val="clear" w:color="auto" w:fill="auto"/>
            <w:noWrap/>
            <w:vAlign w:val="bottom"/>
            <w:hideMark/>
          </w:tcPr>
          <w:p w14:paraId="03BBD958" w14:textId="77777777" w:rsidR="00A16DDB" w:rsidRPr="00D95127" w:rsidRDefault="00A16DDB" w:rsidP="007A627A">
            <w:pPr>
              <w:keepNext/>
              <w:jc w:val="center"/>
              <w:rPr>
                <w:rFonts w:cs="Times New Roman"/>
                <w:b/>
                <w:color w:val="000000"/>
                <w:sz w:val="20"/>
                <w:szCs w:val="20"/>
                <w:lang w:val="cs-CZ"/>
              </w:rPr>
            </w:pPr>
            <w:r w:rsidRPr="00D95127">
              <w:rPr>
                <w:rFonts w:cs="Times New Roman"/>
                <w:b/>
                <w:color w:val="000000"/>
                <w:sz w:val="20"/>
                <w:szCs w:val="20"/>
                <w:lang w:val="cs-CZ"/>
              </w:rPr>
              <w:t>220 601,7</w:t>
            </w:r>
          </w:p>
        </w:tc>
      </w:tr>
    </w:tbl>
    <w:p w14:paraId="51A74B0A" w14:textId="469C176B" w:rsidR="00A16DDB" w:rsidRDefault="00A16DDB" w:rsidP="00D95127">
      <w:pPr>
        <w:pStyle w:val="UZEIZdroj"/>
      </w:pPr>
      <w:r w:rsidRPr="00D95127">
        <w:t>Pramen: SZIF</w:t>
      </w:r>
    </w:p>
    <w:p w14:paraId="6D3B4F8A" w14:textId="17676203" w:rsidR="00D95127" w:rsidRDefault="00D95127" w:rsidP="00D95127">
      <w:pPr>
        <w:pStyle w:val="UZEIZdroj"/>
      </w:pPr>
    </w:p>
    <w:p w14:paraId="7427D0BF" w14:textId="3680306A" w:rsidR="00D95127" w:rsidRDefault="00D95127" w:rsidP="00D95127">
      <w:pPr>
        <w:pStyle w:val="UZEIZdroj"/>
      </w:pPr>
    </w:p>
    <w:p w14:paraId="6ECE2441" w14:textId="7551B1F8" w:rsidR="00D95127" w:rsidRDefault="00D95127" w:rsidP="00D95127">
      <w:pPr>
        <w:pStyle w:val="UZEIZdroj"/>
      </w:pPr>
    </w:p>
    <w:p w14:paraId="5A2567B6" w14:textId="68088B41" w:rsidR="00D95127" w:rsidRDefault="00D95127" w:rsidP="00D95127">
      <w:pPr>
        <w:pStyle w:val="UZEIZdroj"/>
      </w:pPr>
    </w:p>
    <w:p w14:paraId="2AD32A29" w14:textId="02052FCE" w:rsidR="00D95127" w:rsidRDefault="00D95127" w:rsidP="00D95127">
      <w:pPr>
        <w:pStyle w:val="UZEIZdroj"/>
      </w:pPr>
    </w:p>
    <w:p w14:paraId="1C079B33" w14:textId="6AD9B132" w:rsidR="00D95127" w:rsidRDefault="00D95127" w:rsidP="00D95127">
      <w:pPr>
        <w:pStyle w:val="UZEIZdroj"/>
      </w:pPr>
    </w:p>
    <w:p w14:paraId="3C6FA873" w14:textId="229E232A" w:rsidR="00D95127" w:rsidRDefault="00D95127" w:rsidP="00D95127">
      <w:pPr>
        <w:pStyle w:val="UZEIZdroj"/>
      </w:pPr>
    </w:p>
    <w:p w14:paraId="27B7BE81" w14:textId="4F140FD6" w:rsidR="00D95127" w:rsidRDefault="00D95127" w:rsidP="00D95127">
      <w:pPr>
        <w:pStyle w:val="UZEIZdroj"/>
      </w:pPr>
    </w:p>
    <w:p w14:paraId="4FB06EB1" w14:textId="3E934FFF" w:rsidR="00D95127" w:rsidRDefault="00D95127" w:rsidP="00D95127">
      <w:pPr>
        <w:pStyle w:val="UZEIZdroj"/>
      </w:pPr>
    </w:p>
    <w:p w14:paraId="3470BF5B" w14:textId="6469D81A" w:rsidR="00D95127" w:rsidRDefault="00D95127" w:rsidP="00D95127">
      <w:pPr>
        <w:pStyle w:val="UZEIZdroj"/>
      </w:pPr>
    </w:p>
    <w:p w14:paraId="4B9459AD" w14:textId="154121D5" w:rsidR="00D95127" w:rsidRDefault="00D95127" w:rsidP="00D95127">
      <w:pPr>
        <w:pStyle w:val="UZEIZdroj"/>
      </w:pPr>
    </w:p>
    <w:p w14:paraId="7EBBB600" w14:textId="0242251A" w:rsidR="00D95127" w:rsidRDefault="00D95127" w:rsidP="00D95127">
      <w:pPr>
        <w:pStyle w:val="UZEIZdroj"/>
      </w:pPr>
    </w:p>
    <w:p w14:paraId="3E95F6BD" w14:textId="1A279585" w:rsidR="00D95127" w:rsidRDefault="00D95127" w:rsidP="00D95127">
      <w:pPr>
        <w:pStyle w:val="UZEIZdroj"/>
      </w:pPr>
    </w:p>
    <w:p w14:paraId="7B9FC629" w14:textId="3B821199" w:rsidR="00D95127" w:rsidRDefault="00D95127" w:rsidP="00D95127">
      <w:pPr>
        <w:pStyle w:val="UZEIZdroj"/>
      </w:pPr>
    </w:p>
    <w:p w14:paraId="07E9FA6B" w14:textId="77777777" w:rsidR="00D95127" w:rsidRPr="00D95127" w:rsidRDefault="00D95127" w:rsidP="00D95127">
      <w:pPr>
        <w:pStyle w:val="UZEIZdroj"/>
      </w:pPr>
    </w:p>
    <w:p w14:paraId="19F6A570" w14:textId="10BE8693" w:rsidR="00A16DDB" w:rsidRPr="00D95127" w:rsidRDefault="00A16DDB" w:rsidP="00D95127">
      <w:pPr>
        <w:pStyle w:val="UZEIGraf"/>
      </w:pPr>
      <w:bookmarkStart w:id="208" w:name="_Toc81738783"/>
      <w:r w:rsidRPr="00D95127">
        <w:t>Poměr počtů vyplacených žádostí za období 2013/2014 až 2019/2020 dle typu podpory v opatření Investice</w:t>
      </w:r>
      <w:bookmarkEnd w:id="208"/>
    </w:p>
    <w:p w14:paraId="26357542" w14:textId="77777777" w:rsidR="00A16DDB" w:rsidRPr="00D95127" w:rsidRDefault="00A16DDB" w:rsidP="00A16DDB">
      <w:pPr>
        <w:rPr>
          <w:rFonts w:cs="Times New Roman"/>
          <w:lang w:val="cs-CZ"/>
        </w:rPr>
      </w:pPr>
      <w:r w:rsidRPr="00D95127">
        <w:rPr>
          <w:rFonts w:cs="Times New Roman"/>
          <w:noProof/>
          <w:lang w:val="cs-CZ" w:eastAsia="cs-CZ"/>
        </w:rPr>
        <w:drawing>
          <wp:inline distT="0" distB="0" distL="0" distR="0" wp14:anchorId="6ADA6A6A" wp14:editId="58315C78">
            <wp:extent cx="5772150" cy="3469686"/>
            <wp:effectExtent l="0" t="0" r="0" b="0"/>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73679" cy="3470605"/>
                    </a:xfrm>
                    <a:prstGeom prst="rect">
                      <a:avLst/>
                    </a:prstGeom>
                    <a:noFill/>
                  </pic:spPr>
                </pic:pic>
              </a:graphicData>
            </a:graphic>
          </wp:inline>
        </w:drawing>
      </w:r>
    </w:p>
    <w:p w14:paraId="6BE027F6" w14:textId="77777777" w:rsidR="00A16DDB" w:rsidRPr="00D95127" w:rsidRDefault="00A16DDB" w:rsidP="00D95127">
      <w:pPr>
        <w:pStyle w:val="UZEIZdroj"/>
      </w:pPr>
      <w:r w:rsidRPr="00D95127">
        <w:t>Pozn.: *titul ukončen v roce 2013/14</w:t>
      </w:r>
    </w:p>
    <w:p w14:paraId="1169F10C" w14:textId="77777777" w:rsidR="00A16DDB" w:rsidRPr="00D95127" w:rsidRDefault="00A16DDB" w:rsidP="00D95127">
      <w:pPr>
        <w:pStyle w:val="UZEIZdroj"/>
      </w:pPr>
      <w:r w:rsidRPr="00D95127">
        <w:t>** titul zaveden od roku 2014/15</w:t>
      </w:r>
    </w:p>
    <w:p w14:paraId="28510365" w14:textId="77777777" w:rsidR="00A16DDB" w:rsidRPr="00D95127" w:rsidRDefault="00A16DDB" w:rsidP="00D95127">
      <w:pPr>
        <w:pStyle w:val="UZEIZdroj"/>
      </w:pPr>
      <w:r w:rsidRPr="00D95127">
        <w:t>***filtr na víno byl pouze v roce 2013/14, od roku 2014/15 je to cross-flow filtr</w:t>
      </w:r>
    </w:p>
    <w:p w14:paraId="46FC0FB6" w14:textId="77777777" w:rsidR="00A16DDB" w:rsidRPr="00D95127" w:rsidRDefault="00A16DDB" w:rsidP="00D95127">
      <w:pPr>
        <w:pStyle w:val="UZEIZdroj"/>
      </w:pPr>
      <w:r w:rsidRPr="00D95127">
        <w:t>Pramen: SZIF</w:t>
      </w:r>
    </w:p>
    <w:p w14:paraId="4EF380AC" w14:textId="77777777" w:rsidR="00A16DDB" w:rsidRPr="00D95127" w:rsidRDefault="00A16DDB" w:rsidP="00D95127">
      <w:pPr>
        <w:pStyle w:val="UZEINormaln"/>
      </w:pPr>
      <w:r w:rsidRPr="00D95127">
        <w:t xml:space="preserve">Vinná réva není podporována dotací VCS. Dotována je vybranými přímými platbami, národními dotacemi, v rámci PRV je dotována na integrovanou a ekologickou produkci a dále je možné čerpat finance v rámci SOT. </w:t>
      </w:r>
    </w:p>
    <w:p w14:paraId="6E9C323B" w14:textId="77777777" w:rsidR="00A16DDB" w:rsidRPr="00D95127" w:rsidRDefault="00A16DDB" w:rsidP="00D95127">
      <w:pPr>
        <w:pStyle w:val="UZEINormaln"/>
      </w:pPr>
      <w:r w:rsidRPr="00D95127">
        <w:t xml:space="preserve">Investiční deficit odvětví byl částečně řešen projekty z opatření M121 – Modernizace zemědělských podniků v rámci PRV 2007-13 a z opatření 4.1.1 – Investice do zemědělských podniků 2014–2020 (dále jen PRV). Projekty financované v rámci PRV 2007-2013 zaměřené do rostlinné výroby přispěly k obnově nebo nové výstavbě nosných konstrukcí pro přibližně 449 hektarů vinic, což odpovídá přibližně 3,1 % výměry vinic evidovaných v ČR v LPIS v roce 2016. V programovém období 2014-20 </w:t>
      </w:r>
      <w:r w:rsidRPr="00D95127">
        <w:rPr>
          <w:u w:val="single"/>
        </w:rPr>
        <w:t xml:space="preserve">přispěly projekty k obnově 39 ha vinic.  </w:t>
      </w:r>
    </w:p>
    <w:p w14:paraId="793FE2EA" w14:textId="77777777" w:rsidR="00A16DDB" w:rsidRPr="00D95127" w:rsidRDefault="00A16DDB" w:rsidP="00D95127">
      <w:pPr>
        <w:pStyle w:val="UZEINormaln"/>
      </w:pPr>
      <w:r w:rsidRPr="00D95127">
        <w:t>Plochy vinic pomalu rostou. Tempo růstu však není dostačující pro dosažení strategických cílů v letech 2025 a 2030. Pravděpodobně se jim však plochy přiblíží.</w:t>
      </w:r>
    </w:p>
    <w:p w14:paraId="22F110FD" w14:textId="77777777" w:rsidR="00A16DDB" w:rsidRPr="00D95127" w:rsidRDefault="00A16DDB" w:rsidP="00D95127">
      <w:pPr>
        <w:pStyle w:val="Nadpis2"/>
      </w:pPr>
      <w:bookmarkStart w:id="209" w:name="_Toc23401546"/>
      <w:bookmarkStart w:id="210" w:name="_Toc23473618"/>
      <w:bookmarkStart w:id="211" w:name="_Toc23475072"/>
      <w:bookmarkStart w:id="212" w:name="_Toc23509690"/>
      <w:bookmarkStart w:id="213" w:name="_Toc23509844"/>
      <w:bookmarkStart w:id="214" w:name="_Toc15304043"/>
      <w:bookmarkStart w:id="215" w:name="_Toc23509845"/>
      <w:bookmarkStart w:id="216" w:name="_Toc76137355"/>
      <w:bookmarkStart w:id="217" w:name="_Toc76637554"/>
      <w:bookmarkStart w:id="218" w:name="_Toc80953233"/>
      <w:bookmarkStart w:id="219" w:name="_Toc81739189"/>
      <w:bookmarkEnd w:id="209"/>
      <w:bookmarkEnd w:id="210"/>
      <w:bookmarkEnd w:id="211"/>
      <w:bookmarkEnd w:id="212"/>
      <w:bookmarkEnd w:id="213"/>
      <w:r w:rsidRPr="00D95127">
        <w:t>Míra současného řešení problému jinými politikami</w:t>
      </w:r>
      <w:bookmarkEnd w:id="214"/>
      <w:bookmarkEnd w:id="215"/>
      <w:bookmarkEnd w:id="216"/>
      <w:bookmarkEnd w:id="217"/>
      <w:bookmarkEnd w:id="218"/>
      <w:bookmarkEnd w:id="219"/>
    </w:p>
    <w:p w14:paraId="152575A2" w14:textId="06CEB372" w:rsidR="00A16DDB" w:rsidRDefault="00A16DDB" w:rsidP="00D95127">
      <w:pPr>
        <w:pStyle w:val="UZEINormaln"/>
      </w:pPr>
      <w:r w:rsidRPr="00D95127">
        <w:t>Réva vinná je podporována vybranými přímými platbami (SAPS, Ozelenění, Top-Up), které se podílejí na podporách v rozsahu 1/3-1/4, vzhledem k vysokému podílu vinic v integrované produkci je dále podpořena v rámci PRV prostřednictvím integrované a ekologické produkce, která tvoří až 2/3 veškerých příjmových podpor. Není však podporována prostřednictvím VCS.</w:t>
      </w:r>
    </w:p>
    <w:p w14:paraId="42C6DFC6" w14:textId="62839415" w:rsidR="00D95127" w:rsidRDefault="00D95127" w:rsidP="00D95127">
      <w:pPr>
        <w:pStyle w:val="UZEINormaln"/>
      </w:pPr>
    </w:p>
    <w:p w14:paraId="6CD4CBB5" w14:textId="3A97D60A" w:rsidR="00D95127" w:rsidRDefault="00D95127" w:rsidP="00D95127">
      <w:pPr>
        <w:pStyle w:val="UZEINormaln"/>
      </w:pPr>
    </w:p>
    <w:p w14:paraId="6DFB1E10" w14:textId="55BD433F" w:rsidR="00D95127" w:rsidRDefault="00D95127" w:rsidP="00D95127">
      <w:pPr>
        <w:pStyle w:val="UZEINormaln"/>
      </w:pPr>
    </w:p>
    <w:p w14:paraId="58C9B668" w14:textId="77777777" w:rsidR="00D95127" w:rsidRPr="00D95127" w:rsidRDefault="00D95127" w:rsidP="00D95127">
      <w:pPr>
        <w:pStyle w:val="UZEINormaln"/>
      </w:pPr>
    </w:p>
    <w:p w14:paraId="591E7269" w14:textId="78FC6C2B" w:rsidR="00A16DDB" w:rsidRPr="00D95127" w:rsidRDefault="00A16DDB" w:rsidP="00D95127">
      <w:pPr>
        <w:pStyle w:val="UZEIGraf"/>
      </w:pPr>
      <w:bookmarkStart w:id="220" w:name="_Toc81738784"/>
      <w:r w:rsidRPr="00D95127">
        <w:t>Vývoj struktury provozních podpor u pěstování hroznového vína 2011 až 2020</w:t>
      </w:r>
      <w:bookmarkEnd w:id="220"/>
    </w:p>
    <w:p w14:paraId="00180695" w14:textId="77777777" w:rsidR="00A16DDB" w:rsidRPr="00D95127" w:rsidRDefault="00A16DDB" w:rsidP="00A16DDB">
      <w:pPr>
        <w:rPr>
          <w:rFonts w:cs="Times New Roman"/>
          <w:szCs w:val="24"/>
          <w:lang w:val="cs-CZ"/>
        </w:rPr>
      </w:pPr>
      <w:r w:rsidRPr="00D95127">
        <w:rPr>
          <w:rFonts w:cs="Times New Roman"/>
          <w:noProof/>
          <w:lang w:val="cs-CZ"/>
        </w:rPr>
        <w:drawing>
          <wp:inline distT="0" distB="0" distL="0" distR="0" wp14:anchorId="78B53A16" wp14:editId="5B825DAB">
            <wp:extent cx="5760720" cy="3268345"/>
            <wp:effectExtent l="0" t="0" r="0" b="8255"/>
            <wp:docPr id="60" name="Obráze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60720" cy="3268345"/>
                    </a:xfrm>
                    <a:prstGeom prst="rect">
                      <a:avLst/>
                    </a:prstGeom>
                    <a:noFill/>
                    <a:ln>
                      <a:noFill/>
                    </a:ln>
                  </pic:spPr>
                </pic:pic>
              </a:graphicData>
            </a:graphic>
          </wp:inline>
        </w:drawing>
      </w:r>
    </w:p>
    <w:p w14:paraId="71E1FC1C" w14:textId="2B0B2C33" w:rsidR="00A16DDB" w:rsidRPr="00D95127" w:rsidRDefault="00A16DDB" w:rsidP="00D95127">
      <w:pPr>
        <w:pStyle w:val="UZEIZdroj"/>
        <w:rPr>
          <w:lang w:eastAsia="cs-CZ"/>
        </w:rPr>
      </w:pPr>
      <w:r w:rsidRPr="00D95127">
        <w:t>Pramen: ÚZEI</w:t>
      </w:r>
    </w:p>
    <w:p w14:paraId="42BFE084" w14:textId="1AEC1E0B" w:rsidR="00A16DDB" w:rsidRPr="00D95127" w:rsidRDefault="00A16DDB" w:rsidP="00D95127">
      <w:pPr>
        <w:pStyle w:val="UZEINormaln"/>
      </w:pPr>
      <w:r w:rsidRPr="00D95127">
        <w:t>V rámci PRV bylo v roce 2019 v titulu IP révy vinné – základní ochrana vinic podpořeno 2 133,4 ha. V rámci titulu IP révy vinné – nadstavbová ochrana vinic bylo podpořeno 10 120,6 ha. Celkem se jednalo o 12 254 ha, což představuje 67,4 % z celkového počtu osázených vinic.</w:t>
      </w:r>
    </w:p>
    <w:p w14:paraId="561508E9" w14:textId="77777777" w:rsidR="00A16DDB" w:rsidRPr="00D95127" w:rsidRDefault="00A16DDB" w:rsidP="00D95127">
      <w:pPr>
        <w:pStyle w:val="UZEINormaln"/>
      </w:pPr>
      <w:r w:rsidRPr="00D95127">
        <w:t>V České republice je zavedena poměrně přísná imigrační politika, která částečně brání zajištění dostatečného počtu sezonních zahraničních pracovníků.</w:t>
      </w:r>
    </w:p>
    <w:p w14:paraId="0003AE23" w14:textId="77777777" w:rsidR="00A16DDB" w:rsidRPr="00D95127" w:rsidRDefault="00A16DDB" w:rsidP="00D95127">
      <w:pPr>
        <w:pStyle w:val="UZEINormaln"/>
      </w:pPr>
      <w:r w:rsidRPr="00D95127">
        <w:t>Národní podpora směřující na sektor vína je 1.I – vybudování kapkové závlahy.</w:t>
      </w:r>
    </w:p>
    <w:p w14:paraId="283C1FE0" w14:textId="245FC1FA" w:rsidR="00A16DDB" w:rsidRPr="00D95127" w:rsidRDefault="00D95127" w:rsidP="00D95127">
      <w:pPr>
        <w:pStyle w:val="UZEITaB"/>
        <w:ind w:left="0" w:firstLine="0"/>
      </w:pPr>
      <w:r>
        <w:t xml:space="preserve"> </w:t>
      </w:r>
      <w:bookmarkStart w:id="221" w:name="_Toc81738448"/>
      <w:r w:rsidR="00A16DDB" w:rsidRPr="00D95127">
        <w:t>Přehled čerpání dotace 1.I (Podpora vybudování kapkové závlahy v ovocných sadech, chmelnicích, vinicích a ve školkách) v letech 2010-2018</w:t>
      </w:r>
      <w:bookmarkEnd w:id="221"/>
    </w:p>
    <w:tbl>
      <w:tblPr>
        <w:tblW w:w="5600" w:type="pct"/>
        <w:tblCellMar>
          <w:left w:w="70" w:type="dxa"/>
          <w:right w:w="70" w:type="dxa"/>
        </w:tblCellMar>
        <w:tblLook w:val="04A0" w:firstRow="1" w:lastRow="0" w:firstColumn="1" w:lastColumn="0" w:noHBand="0" w:noVBand="1"/>
      </w:tblPr>
      <w:tblGrid>
        <w:gridCol w:w="1230"/>
        <w:gridCol w:w="717"/>
        <w:gridCol w:w="745"/>
        <w:gridCol w:w="745"/>
        <w:gridCol w:w="745"/>
        <w:gridCol w:w="745"/>
        <w:gridCol w:w="745"/>
        <w:gridCol w:w="745"/>
        <w:gridCol w:w="745"/>
        <w:gridCol w:w="744"/>
        <w:gridCol w:w="744"/>
        <w:gridCol w:w="744"/>
        <w:gridCol w:w="744"/>
      </w:tblGrid>
      <w:tr w:rsidR="00A16DDB" w:rsidRPr="00D95127" w14:paraId="2B88198C" w14:textId="77777777" w:rsidTr="007A627A">
        <w:trPr>
          <w:trHeight w:val="300"/>
        </w:trPr>
        <w:tc>
          <w:tcPr>
            <w:tcW w:w="606" w:type="pct"/>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259F9FD5" w14:textId="77777777" w:rsidR="00A16DDB" w:rsidRPr="00D95127" w:rsidRDefault="00A16DDB" w:rsidP="007A627A">
            <w:pPr>
              <w:rPr>
                <w:rFonts w:cs="Times New Roman"/>
                <w:color w:val="000000"/>
                <w:sz w:val="20"/>
                <w:szCs w:val="20"/>
                <w:lang w:val="cs-CZ"/>
              </w:rPr>
            </w:pPr>
            <w:r w:rsidRPr="00D95127">
              <w:rPr>
                <w:rFonts w:cs="Times New Roman"/>
                <w:color w:val="000000"/>
                <w:sz w:val="20"/>
                <w:szCs w:val="20"/>
                <w:lang w:val="cs-CZ"/>
              </w:rPr>
              <w:t> </w:t>
            </w:r>
          </w:p>
        </w:tc>
        <w:tc>
          <w:tcPr>
            <w:tcW w:w="353" w:type="pct"/>
            <w:tcBorders>
              <w:top w:val="single" w:sz="8" w:space="0" w:color="auto"/>
              <w:left w:val="nil"/>
              <w:bottom w:val="single" w:sz="4" w:space="0" w:color="auto"/>
              <w:right w:val="single" w:sz="4" w:space="0" w:color="auto"/>
            </w:tcBorders>
            <w:shd w:val="clear" w:color="auto" w:fill="auto"/>
            <w:noWrap/>
            <w:vAlign w:val="bottom"/>
            <w:hideMark/>
          </w:tcPr>
          <w:p w14:paraId="77C36C4E" w14:textId="77777777" w:rsidR="00A16DDB" w:rsidRPr="00D95127" w:rsidRDefault="00A16DDB" w:rsidP="007A627A">
            <w:pPr>
              <w:jc w:val="center"/>
              <w:rPr>
                <w:rFonts w:cs="Times New Roman"/>
                <w:b/>
                <w:color w:val="000000"/>
                <w:sz w:val="20"/>
                <w:szCs w:val="20"/>
                <w:lang w:val="cs-CZ"/>
              </w:rPr>
            </w:pPr>
            <w:r w:rsidRPr="00D95127">
              <w:rPr>
                <w:rFonts w:cs="Times New Roman"/>
                <w:b/>
                <w:color w:val="000000"/>
                <w:sz w:val="20"/>
                <w:szCs w:val="20"/>
                <w:lang w:val="cs-CZ"/>
              </w:rPr>
              <w:t>MJ</w:t>
            </w:r>
          </w:p>
        </w:tc>
        <w:tc>
          <w:tcPr>
            <w:tcW w:w="367" w:type="pct"/>
            <w:tcBorders>
              <w:top w:val="single" w:sz="8" w:space="0" w:color="auto"/>
              <w:left w:val="nil"/>
              <w:bottom w:val="single" w:sz="4" w:space="0" w:color="auto"/>
              <w:right w:val="single" w:sz="4" w:space="0" w:color="auto"/>
            </w:tcBorders>
            <w:shd w:val="clear" w:color="auto" w:fill="auto"/>
            <w:noWrap/>
            <w:vAlign w:val="bottom"/>
            <w:hideMark/>
          </w:tcPr>
          <w:p w14:paraId="1F1EDE31" w14:textId="77777777" w:rsidR="00A16DDB" w:rsidRPr="00D95127" w:rsidRDefault="00A16DDB" w:rsidP="007A627A">
            <w:pPr>
              <w:jc w:val="center"/>
              <w:rPr>
                <w:rFonts w:cs="Times New Roman"/>
                <w:b/>
                <w:color w:val="000000"/>
                <w:sz w:val="20"/>
                <w:szCs w:val="20"/>
                <w:lang w:val="cs-CZ"/>
              </w:rPr>
            </w:pPr>
            <w:r w:rsidRPr="00D95127">
              <w:rPr>
                <w:rFonts w:cs="Times New Roman"/>
                <w:b/>
                <w:color w:val="000000"/>
                <w:sz w:val="20"/>
                <w:szCs w:val="20"/>
                <w:lang w:val="cs-CZ"/>
              </w:rPr>
              <w:t>2010</w:t>
            </w:r>
          </w:p>
        </w:tc>
        <w:tc>
          <w:tcPr>
            <w:tcW w:w="367" w:type="pct"/>
            <w:tcBorders>
              <w:top w:val="single" w:sz="8" w:space="0" w:color="auto"/>
              <w:left w:val="nil"/>
              <w:bottom w:val="single" w:sz="4" w:space="0" w:color="auto"/>
              <w:right w:val="single" w:sz="4" w:space="0" w:color="auto"/>
            </w:tcBorders>
            <w:shd w:val="clear" w:color="auto" w:fill="auto"/>
            <w:noWrap/>
            <w:vAlign w:val="bottom"/>
            <w:hideMark/>
          </w:tcPr>
          <w:p w14:paraId="7E3EC49B" w14:textId="77777777" w:rsidR="00A16DDB" w:rsidRPr="00D95127" w:rsidRDefault="00A16DDB" w:rsidP="007A627A">
            <w:pPr>
              <w:jc w:val="center"/>
              <w:rPr>
                <w:rFonts w:cs="Times New Roman"/>
                <w:b/>
                <w:color w:val="000000"/>
                <w:sz w:val="20"/>
                <w:szCs w:val="20"/>
                <w:lang w:val="cs-CZ"/>
              </w:rPr>
            </w:pPr>
            <w:r w:rsidRPr="00D95127">
              <w:rPr>
                <w:rFonts w:cs="Times New Roman"/>
                <w:b/>
                <w:color w:val="000000"/>
                <w:sz w:val="20"/>
                <w:szCs w:val="20"/>
                <w:lang w:val="cs-CZ"/>
              </w:rPr>
              <w:t>2011</w:t>
            </w:r>
          </w:p>
        </w:tc>
        <w:tc>
          <w:tcPr>
            <w:tcW w:w="367" w:type="pct"/>
            <w:tcBorders>
              <w:top w:val="single" w:sz="8" w:space="0" w:color="auto"/>
              <w:left w:val="nil"/>
              <w:bottom w:val="single" w:sz="4" w:space="0" w:color="auto"/>
              <w:right w:val="single" w:sz="4" w:space="0" w:color="auto"/>
            </w:tcBorders>
            <w:shd w:val="clear" w:color="auto" w:fill="auto"/>
            <w:noWrap/>
            <w:vAlign w:val="bottom"/>
            <w:hideMark/>
          </w:tcPr>
          <w:p w14:paraId="49096119" w14:textId="77777777" w:rsidR="00A16DDB" w:rsidRPr="00D95127" w:rsidRDefault="00A16DDB" w:rsidP="007A627A">
            <w:pPr>
              <w:jc w:val="center"/>
              <w:rPr>
                <w:rFonts w:cs="Times New Roman"/>
                <w:b/>
                <w:color w:val="000000"/>
                <w:sz w:val="20"/>
                <w:szCs w:val="20"/>
                <w:lang w:val="cs-CZ"/>
              </w:rPr>
            </w:pPr>
            <w:r w:rsidRPr="00D95127">
              <w:rPr>
                <w:rFonts w:cs="Times New Roman"/>
                <w:b/>
                <w:color w:val="000000"/>
                <w:sz w:val="20"/>
                <w:szCs w:val="20"/>
                <w:lang w:val="cs-CZ"/>
              </w:rPr>
              <w:t>2012</w:t>
            </w:r>
          </w:p>
        </w:tc>
        <w:tc>
          <w:tcPr>
            <w:tcW w:w="367" w:type="pct"/>
            <w:tcBorders>
              <w:top w:val="single" w:sz="8" w:space="0" w:color="auto"/>
              <w:left w:val="nil"/>
              <w:bottom w:val="single" w:sz="4" w:space="0" w:color="auto"/>
              <w:right w:val="single" w:sz="4" w:space="0" w:color="auto"/>
            </w:tcBorders>
            <w:shd w:val="clear" w:color="auto" w:fill="auto"/>
            <w:noWrap/>
            <w:vAlign w:val="bottom"/>
            <w:hideMark/>
          </w:tcPr>
          <w:p w14:paraId="07DEE06A" w14:textId="77777777" w:rsidR="00A16DDB" w:rsidRPr="00D95127" w:rsidRDefault="00A16DDB" w:rsidP="007A627A">
            <w:pPr>
              <w:jc w:val="center"/>
              <w:rPr>
                <w:rFonts w:cs="Times New Roman"/>
                <w:b/>
                <w:color w:val="000000"/>
                <w:sz w:val="20"/>
                <w:szCs w:val="20"/>
                <w:lang w:val="cs-CZ"/>
              </w:rPr>
            </w:pPr>
            <w:r w:rsidRPr="00D95127">
              <w:rPr>
                <w:rFonts w:cs="Times New Roman"/>
                <w:b/>
                <w:color w:val="000000"/>
                <w:sz w:val="20"/>
                <w:szCs w:val="20"/>
                <w:lang w:val="cs-CZ"/>
              </w:rPr>
              <w:t>2013</w:t>
            </w:r>
          </w:p>
        </w:tc>
        <w:tc>
          <w:tcPr>
            <w:tcW w:w="367" w:type="pct"/>
            <w:tcBorders>
              <w:top w:val="single" w:sz="8" w:space="0" w:color="auto"/>
              <w:left w:val="nil"/>
              <w:bottom w:val="single" w:sz="4" w:space="0" w:color="auto"/>
              <w:right w:val="single" w:sz="4" w:space="0" w:color="auto"/>
            </w:tcBorders>
            <w:shd w:val="clear" w:color="auto" w:fill="auto"/>
            <w:noWrap/>
            <w:vAlign w:val="bottom"/>
            <w:hideMark/>
          </w:tcPr>
          <w:p w14:paraId="0C53FE4E" w14:textId="77777777" w:rsidR="00A16DDB" w:rsidRPr="00D95127" w:rsidRDefault="00A16DDB" w:rsidP="007A627A">
            <w:pPr>
              <w:jc w:val="center"/>
              <w:rPr>
                <w:rFonts w:cs="Times New Roman"/>
                <w:b/>
                <w:color w:val="000000"/>
                <w:sz w:val="20"/>
                <w:szCs w:val="20"/>
                <w:lang w:val="cs-CZ"/>
              </w:rPr>
            </w:pPr>
            <w:r w:rsidRPr="00D95127">
              <w:rPr>
                <w:rFonts w:cs="Times New Roman"/>
                <w:b/>
                <w:color w:val="000000"/>
                <w:sz w:val="20"/>
                <w:szCs w:val="20"/>
                <w:lang w:val="cs-CZ"/>
              </w:rPr>
              <w:t>2014</w:t>
            </w:r>
          </w:p>
        </w:tc>
        <w:tc>
          <w:tcPr>
            <w:tcW w:w="367" w:type="pct"/>
            <w:tcBorders>
              <w:top w:val="single" w:sz="8" w:space="0" w:color="auto"/>
              <w:left w:val="nil"/>
              <w:bottom w:val="single" w:sz="4" w:space="0" w:color="auto"/>
              <w:right w:val="single" w:sz="4" w:space="0" w:color="auto"/>
            </w:tcBorders>
            <w:shd w:val="clear" w:color="auto" w:fill="auto"/>
            <w:noWrap/>
            <w:vAlign w:val="bottom"/>
            <w:hideMark/>
          </w:tcPr>
          <w:p w14:paraId="0D4FA7DE" w14:textId="77777777" w:rsidR="00A16DDB" w:rsidRPr="00D95127" w:rsidRDefault="00A16DDB" w:rsidP="007A627A">
            <w:pPr>
              <w:jc w:val="center"/>
              <w:rPr>
                <w:rFonts w:cs="Times New Roman"/>
                <w:b/>
                <w:color w:val="000000"/>
                <w:sz w:val="20"/>
                <w:szCs w:val="20"/>
                <w:lang w:val="cs-CZ"/>
              </w:rPr>
            </w:pPr>
            <w:r w:rsidRPr="00D95127">
              <w:rPr>
                <w:rFonts w:cs="Times New Roman"/>
                <w:b/>
                <w:color w:val="000000"/>
                <w:sz w:val="20"/>
                <w:szCs w:val="20"/>
                <w:lang w:val="cs-CZ"/>
              </w:rPr>
              <w:t>2015</w:t>
            </w:r>
          </w:p>
        </w:tc>
        <w:tc>
          <w:tcPr>
            <w:tcW w:w="367" w:type="pct"/>
            <w:tcBorders>
              <w:top w:val="single" w:sz="8" w:space="0" w:color="auto"/>
              <w:left w:val="nil"/>
              <w:bottom w:val="single" w:sz="4" w:space="0" w:color="auto"/>
              <w:right w:val="single" w:sz="4" w:space="0" w:color="auto"/>
            </w:tcBorders>
            <w:shd w:val="clear" w:color="auto" w:fill="auto"/>
            <w:noWrap/>
            <w:vAlign w:val="bottom"/>
            <w:hideMark/>
          </w:tcPr>
          <w:p w14:paraId="43E7A599" w14:textId="77777777" w:rsidR="00A16DDB" w:rsidRPr="00D95127" w:rsidRDefault="00A16DDB" w:rsidP="007A627A">
            <w:pPr>
              <w:jc w:val="center"/>
              <w:rPr>
                <w:rFonts w:cs="Times New Roman"/>
                <w:b/>
                <w:color w:val="000000"/>
                <w:sz w:val="20"/>
                <w:szCs w:val="20"/>
                <w:lang w:val="cs-CZ"/>
              </w:rPr>
            </w:pPr>
            <w:r w:rsidRPr="00D95127">
              <w:rPr>
                <w:rFonts w:cs="Times New Roman"/>
                <w:b/>
                <w:color w:val="000000"/>
                <w:sz w:val="20"/>
                <w:szCs w:val="20"/>
                <w:lang w:val="cs-CZ"/>
              </w:rPr>
              <w:t>2016</w:t>
            </w:r>
          </w:p>
        </w:tc>
        <w:tc>
          <w:tcPr>
            <w:tcW w:w="367" w:type="pct"/>
            <w:tcBorders>
              <w:top w:val="single" w:sz="8" w:space="0" w:color="auto"/>
              <w:left w:val="nil"/>
              <w:bottom w:val="single" w:sz="4" w:space="0" w:color="auto"/>
              <w:right w:val="single" w:sz="4" w:space="0" w:color="auto"/>
            </w:tcBorders>
            <w:shd w:val="clear" w:color="auto" w:fill="auto"/>
            <w:noWrap/>
            <w:vAlign w:val="bottom"/>
            <w:hideMark/>
          </w:tcPr>
          <w:p w14:paraId="28C8B008" w14:textId="77777777" w:rsidR="00A16DDB" w:rsidRPr="00D95127" w:rsidRDefault="00A16DDB" w:rsidP="007A627A">
            <w:pPr>
              <w:jc w:val="center"/>
              <w:rPr>
                <w:rFonts w:cs="Times New Roman"/>
                <w:b/>
                <w:color w:val="000000"/>
                <w:sz w:val="20"/>
                <w:szCs w:val="20"/>
                <w:lang w:val="cs-CZ"/>
              </w:rPr>
            </w:pPr>
            <w:r w:rsidRPr="00D95127">
              <w:rPr>
                <w:rFonts w:cs="Times New Roman"/>
                <w:b/>
                <w:color w:val="000000"/>
                <w:sz w:val="20"/>
                <w:szCs w:val="20"/>
                <w:lang w:val="cs-CZ"/>
              </w:rPr>
              <w:t>2017</w:t>
            </w:r>
          </w:p>
        </w:tc>
        <w:tc>
          <w:tcPr>
            <w:tcW w:w="367" w:type="pct"/>
            <w:tcBorders>
              <w:top w:val="single" w:sz="8" w:space="0" w:color="auto"/>
              <w:left w:val="nil"/>
              <w:bottom w:val="single" w:sz="4" w:space="0" w:color="auto"/>
              <w:right w:val="single" w:sz="8" w:space="0" w:color="auto"/>
            </w:tcBorders>
            <w:shd w:val="clear" w:color="auto" w:fill="auto"/>
            <w:noWrap/>
            <w:vAlign w:val="bottom"/>
            <w:hideMark/>
          </w:tcPr>
          <w:p w14:paraId="3615E764" w14:textId="77777777" w:rsidR="00A16DDB" w:rsidRPr="00D95127" w:rsidRDefault="00A16DDB" w:rsidP="007A627A">
            <w:pPr>
              <w:jc w:val="center"/>
              <w:rPr>
                <w:rFonts w:cs="Times New Roman"/>
                <w:b/>
                <w:color w:val="000000"/>
                <w:sz w:val="20"/>
                <w:szCs w:val="20"/>
                <w:lang w:val="cs-CZ"/>
              </w:rPr>
            </w:pPr>
            <w:r w:rsidRPr="00D95127">
              <w:rPr>
                <w:rFonts w:cs="Times New Roman"/>
                <w:b/>
                <w:color w:val="000000"/>
                <w:sz w:val="20"/>
                <w:szCs w:val="20"/>
                <w:lang w:val="cs-CZ"/>
              </w:rPr>
              <w:t>2018</w:t>
            </w:r>
          </w:p>
        </w:tc>
        <w:tc>
          <w:tcPr>
            <w:tcW w:w="367" w:type="pct"/>
            <w:tcBorders>
              <w:top w:val="single" w:sz="8" w:space="0" w:color="auto"/>
              <w:left w:val="nil"/>
              <w:bottom w:val="single" w:sz="4" w:space="0" w:color="auto"/>
              <w:right w:val="single" w:sz="8" w:space="0" w:color="auto"/>
            </w:tcBorders>
            <w:vAlign w:val="bottom"/>
          </w:tcPr>
          <w:p w14:paraId="015AC1EC" w14:textId="77777777" w:rsidR="00A16DDB" w:rsidRPr="00D95127" w:rsidRDefault="00A16DDB" w:rsidP="007A627A">
            <w:pPr>
              <w:jc w:val="center"/>
              <w:rPr>
                <w:rFonts w:cs="Times New Roman"/>
                <w:b/>
                <w:bCs/>
                <w:color w:val="000000"/>
                <w:sz w:val="20"/>
                <w:szCs w:val="20"/>
                <w:lang w:val="cs-CZ"/>
              </w:rPr>
            </w:pPr>
            <w:r w:rsidRPr="00D95127">
              <w:rPr>
                <w:rFonts w:cs="Times New Roman"/>
                <w:b/>
                <w:bCs/>
                <w:color w:val="000000"/>
                <w:sz w:val="20"/>
                <w:szCs w:val="20"/>
                <w:lang w:val="cs-CZ"/>
              </w:rPr>
              <w:t>2019</w:t>
            </w:r>
          </w:p>
        </w:tc>
        <w:tc>
          <w:tcPr>
            <w:tcW w:w="367" w:type="pct"/>
            <w:tcBorders>
              <w:top w:val="single" w:sz="8" w:space="0" w:color="auto"/>
              <w:left w:val="nil"/>
              <w:bottom w:val="single" w:sz="4" w:space="0" w:color="auto"/>
              <w:right w:val="single" w:sz="8" w:space="0" w:color="auto"/>
            </w:tcBorders>
            <w:vAlign w:val="bottom"/>
          </w:tcPr>
          <w:p w14:paraId="11CE1F01" w14:textId="77777777" w:rsidR="00A16DDB" w:rsidRPr="00D95127" w:rsidRDefault="00A16DDB" w:rsidP="007A627A">
            <w:pPr>
              <w:jc w:val="center"/>
              <w:rPr>
                <w:rFonts w:cs="Times New Roman"/>
                <w:b/>
                <w:bCs/>
                <w:color w:val="000000"/>
                <w:sz w:val="20"/>
                <w:szCs w:val="20"/>
                <w:lang w:val="cs-CZ"/>
              </w:rPr>
            </w:pPr>
            <w:r w:rsidRPr="00D95127">
              <w:rPr>
                <w:rFonts w:cs="Times New Roman"/>
                <w:b/>
                <w:bCs/>
                <w:color w:val="000000"/>
                <w:sz w:val="20"/>
                <w:szCs w:val="20"/>
                <w:lang w:val="cs-CZ"/>
              </w:rPr>
              <w:t>2020</w:t>
            </w:r>
          </w:p>
        </w:tc>
      </w:tr>
      <w:tr w:rsidR="00A16DDB" w:rsidRPr="00D95127" w14:paraId="6FB059F9" w14:textId="77777777" w:rsidTr="007A627A">
        <w:trPr>
          <w:trHeight w:val="300"/>
        </w:trPr>
        <w:tc>
          <w:tcPr>
            <w:tcW w:w="606" w:type="pct"/>
            <w:tcBorders>
              <w:top w:val="nil"/>
              <w:left w:val="single" w:sz="8" w:space="0" w:color="auto"/>
              <w:bottom w:val="single" w:sz="4" w:space="0" w:color="auto"/>
              <w:right w:val="single" w:sz="4" w:space="0" w:color="auto"/>
            </w:tcBorders>
            <w:shd w:val="clear" w:color="auto" w:fill="auto"/>
            <w:noWrap/>
            <w:vAlign w:val="bottom"/>
            <w:hideMark/>
          </w:tcPr>
          <w:p w14:paraId="1F48C6F9" w14:textId="77777777" w:rsidR="00A16DDB" w:rsidRPr="00D95127" w:rsidRDefault="00A16DDB" w:rsidP="007A627A">
            <w:pPr>
              <w:rPr>
                <w:rFonts w:cs="Times New Roman"/>
                <w:color w:val="000000"/>
                <w:sz w:val="20"/>
                <w:szCs w:val="20"/>
                <w:lang w:val="cs-CZ"/>
              </w:rPr>
            </w:pPr>
            <w:r w:rsidRPr="00D95127">
              <w:rPr>
                <w:rFonts w:cs="Times New Roman"/>
                <w:color w:val="000000"/>
                <w:sz w:val="20"/>
                <w:szCs w:val="20"/>
                <w:lang w:val="cs-CZ"/>
              </w:rPr>
              <w:t>přijatých</w:t>
            </w:r>
          </w:p>
        </w:tc>
        <w:tc>
          <w:tcPr>
            <w:tcW w:w="353" w:type="pct"/>
            <w:tcBorders>
              <w:top w:val="nil"/>
              <w:left w:val="nil"/>
              <w:bottom w:val="single" w:sz="4" w:space="0" w:color="auto"/>
              <w:right w:val="single" w:sz="4" w:space="0" w:color="auto"/>
            </w:tcBorders>
            <w:shd w:val="clear" w:color="auto" w:fill="auto"/>
            <w:noWrap/>
            <w:vAlign w:val="bottom"/>
            <w:hideMark/>
          </w:tcPr>
          <w:p w14:paraId="4605F5A4"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ks</w:t>
            </w:r>
          </w:p>
        </w:tc>
        <w:tc>
          <w:tcPr>
            <w:tcW w:w="367" w:type="pct"/>
            <w:tcBorders>
              <w:top w:val="nil"/>
              <w:left w:val="nil"/>
              <w:bottom w:val="single" w:sz="4" w:space="0" w:color="auto"/>
              <w:right w:val="single" w:sz="4" w:space="0" w:color="auto"/>
            </w:tcBorders>
            <w:shd w:val="clear" w:color="auto" w:fill="auto"/>
            <w:noWrap/>
            <w:vAlign w:val="bottom"/>
            <w:hideMark/>
          </w:tcPr>
          <w:p w14:paraId="6DAD7918"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38</w:t>
            </w:r>
          </w:p>
        </w:tc>
        <w:tc>
          <w:tcPr>
            <w:tcW w:w="367" w:type="pct"/>
            <w:tcBorders>
              <w:top w:val="nil"/>
              <w:left w:val="nil"/>
              <w:bottom w:val="single" w:sz="4" w:space="0" w:color="auto"/>
              <w:right w:val="single" w:sz="4" w:space="0" w:color="auto"/>
            </w:tcBorders>
            <w:shd w:val="clear" w:color="auto" w:fill="auto"/>
            <w:noWrap/>
            <w:vAlign w:val="bottom"/>
            <w:hideMark/>
          </w:tcPr>
          <w:p w14:paraId="330B6E14"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29</w:t>
            </w:r>
          </w:p>
        </w:tc>
        <w:tc>
          <w:tcPr>
            <w:tcW w:w="367" w:type="pct"/>
            <w:tcBorders>
              <w:top w:val="nil"/>
              <w:left w:val="nil"/>
              <w:bottom w:val="single" w:sz="4" w:space="0" w:color="auto"/>
              <w:right w:val="single" w:sz="4" w:space="0" w:color="auto"/>
            </w:tcBorders>
            <w:shd w:val="clear" w:color="auto" w:fill="auto"/>
            <w:noWrap/>
            <w:vAlign w:val="bottom"/>
            <w:hideMark/>
          </w:tcPr>
          <w:p w14:paraId="588ABF85"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38</w:t>
            </w:r>
          </w:p>
        </w:tc>
        <w:tc>
          <w:tcPr>
            <w:tcW w:w="367" w:type="pct"/>
            <w:tcBorders>
              <w:top w:val="nil"/>
              <w:left w:val="nil"/>
              <w:bottom w:val="single" w:sz="4" w:space="0" w:color="auto"/>
              <w:right w:val="single" w:sz="4" w:space="0" w:color="auto"/>
            </w:tcBorders>
            <w:shd w:val="clear" w:color="auto" w:fill="auto"/>
            <w:noWrap/>
            <w:vAlign w:val="bottom"/>
            <w:hideMark/>
          </w:tcPr>
          <w:p w14:paraId="5DE22B61"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28</w:t>
            </w:r>
          </w:p>
        </w:tc>
        <w:tc>
          <w:tcPr>
            <w:tcW w:w="367" w:type="pct"/>
            <w:tcBorders>
              <w:top w:val="nil"/>
              <w:left w:val="nil"/>
              <w:bottom w:val="single" w:sz="4" w:space="0" w:color="auto"/>
              <w:right w:val="single" w:sz="4" w:space="0" w:color="auto"/>
            </w:tcBorders>
            <w:shd w:val="clear" w:color="auto" w:fill="auto"/>
            <w:noWrap/>
            <w:vAlign w:val="bottom"/>
            <w:hideMark/>
          </w:tcPr>
          <w:p w14:paraId="48A70ED1"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38</w:t>
            </w:r>
          </w:p>
        </w:tc>
        <w:tc>
          <w:tcPr>
            <w:tcW w:w="367" w:type="pct"/>
            <w:tcBorders>
              <w:top w:val="nil"/>
              <w:left w:val="nil"/>
              <w:bottom w:val="single" w:sz="4" w:space="0" w:color="auto"/>
              <w:right w:val="single" w:sz="4" w:space="0" w:color="auto"/>
            </w:tcBorders>
            <w:shd w:val="clear" w:color="auto" w:fill="auto"/>
            <w:noWrap/>
            <w:vAlign w:val="bottom"/>
            <w:hideMark/>
          </w:tcPr>
          <w:p w14:paraId="4BF034F4"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37</w:t>
            </w:r>
          </w:p>
        </w:tc>
        <w:tc>
          <w:tcPr>
            <w:tcW w:w="367" w:type="pct"/>
            <w:tcBorders>
              <w:top w:val="nil"/>
              <w:left w:val="nil"/>
              <w:bottom w:val="single" w:sz="4" w:space="0" w:color="auto"/>
              <w:right w:val="single" w:sz="4" w:space="0" w:color="auto"/>
            </w:tcBorders>
            <w:shd w:val="clear" w:color="auto" w:fill="auto"/>
            <w:noWrap/>
            <w:vAlign w:val="bottom"/>
            <w:hideMark/>
          </w:tcPr>
          <w:p w14:paraId="592C43FD"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42</w:t>
            </w:r>
          </w:p>
        </w:tc>
        <w:tc>
          <w:tcPr>
            <w:tcW w:w="367" w:type="pct"/>
            <w:tcBorders>
              <w:top w:val="nil"/>
              <w:left w:val="nil"/>
              <w:bottom w:val="single" w:sz="4" w:space="0" w:color="auto"/>
              <w:right w:val="single" w:sz="4" w:space="0" w:color="auto"/>
            </w:tcBorders>
            <w:shd w:val="clear" w:color="auto" w:fill="auto"/>
            <w:noWrap/>
            <w:vAlign w:val="bottom"/>
            <w:hideMark/>
          </w:tcPr>
          <w:p w14:paraId="12392877"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51</w:t>
            </w:r>
          </w:p>
        </w:tc>
        <w:tc>
          <w:tcPr>
            <w:tcW w:w="367" w:type="pct"/>
            <w:tcBorders>
              <w:top w:val="nil"/>
              <w:left w:val="nil"/>
              <w:bottom w:val="single" w:sz="4" w:space="0" w:color="auto"/>
              <w:right w:val="single" w:sz="8" w:space="0" w:color="auto"/>
            </w:tcBorders>
            <w:shd w:val="clear" w:color="auto" w:fill="auto"/>
            <w:noWrap/>
            <w:vAlign w:val="bottom"/>
            <w:hideMark/>
          </w:tcPr>
          <w:p w14:paraId="35D211C2"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63</w:t>
            </w:r>
          </w:p>
        </w:tc>
        <w:tc>
          <w:tcPr>
            <w:tcW w:w="367" w:type="pct"/>
            <w:tcBorders>
              <w:top w:val="nil"/>
              <w:left w:val="nil"/>
              <w:bottom w:val="single" w:sz="4" w:space="0" w:color="auto"/>
              <w:right w:val="single" w:sz="8" w:space="0" w:color="auto"/>
            </w:tcBorders>
            <w:vAlign w:val="bottom"/>
          </w:tcPr>
          <w:p w14:paraId="56FFFF9D"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78</w:t>
            </w:r>
          </w:p>
        </w:tc>
        <w:tc>
          <w:tcPr>
            <w:tcW w:w="367" w:type="pct"/>
            <w:tcBorders>
              <w:top w:val="nil"/>
              <w:left w:val="nil"/>
              <w:bottom w:val="single" w:sz="4" w:space="0" w:color="auto"/>
              <w:right w:val="single" w:sz="8" w:space="0" w:color="auto"/>
            </w:tcBorders>
            <w:vAlign w:val="bottom"/>
          </w:tcPr>
          <w:p w14:paraId="35FE1675"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57</w:t>
            </w:r>
          </w:p>
        </w:tc>
      </w:tr>
      <w:tr w:rsidR="00A16DDB" w:rsidRPr="00D95127" w14:paraId="4E3BD3EA" w14:textId="77777777" w:rsidTr="007A627A">
        <w:trPr>
          <w:trHeight w:val="300"/>
        </w:trPr>
        <w:tc>
          <w:tcPr>
            <w:tcW w:w="606" w:type="pct"/>
            <w:tcBorders>
              <w:top w:val="nil"/>
              <w:left w:val="single" w:sz="8" w:space="0" w:color="auto"/>
              <w:bottom w:val="single" w:sz="4" w:space="0" w:color="auto"/>
              <w:right w:val="single" w:sz="4" w:space="0" w:color="auto"/>
            </w:tcBorders>
            <w:shd w:val="clear" w:color="auto" w:fill="auto"/>
            <w:noWrap/>
            <w:vAlign w:val="bottom"/>
            <w:hideMark/>
          </w:tcPr>
          <w:p w14:paraId="5B788CA2" w14:textId="77777777" w:rsidR="00A16DDB" w:rsidRPr="00D95127" w:rsidRDefault="00A16DDB" w:rsidP="007A627A">
            <w:pPr>
              <w:rPr>
                <w:rFonts w:cs="Times New Roman"/>
                <w:color w:val="000000"/>
                <w:sz w:val="20"/>
                <w:szCs w:val="20"/>
                <w:lang w:val="cs-CZ"/>
              </w:rPr>
            </w:pPr>
            <w:r w:rsidRPr="00D95127">
              <w:rPr>
                <w:rFonts w:cs="Times New Roman"/>
                <w:color w:val="000000"/>
                <w:sz w:val="20"/>
                <w:szCs w:val="20"/>
                <w:lang w:val="cs-CZ"/>
              </w:rPr>
              <w:t>schválených</w:t>
            </w:r>
          </w:p>
        </w:tc>
        <w:tc>
          <w:tcPr>
            <w:tcW w:w="353" w:type="pct"/>
            <w:tcBorders>
              <w:top w:val="nil"/>
              <w:left w:val="nil"/>
              <w:bottom w:val="single" w:sz="4" w:space="0" w:color="auto"/>
              <w:right w:val="single" w:sz="4" w:space="0" w:color="auto"/>
            </w:tcBorders>
            <w:shd w:val="clear" w:color="auto" w:fill="auto"/>
            <w:noWrap/>
            <w:vAlign w:val="bottom"/>
            <w:hideMark/>
          </w:tcPr>
          <w:p w14:paraId="3AB80156"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ks</w:t>
            </w:r>
          </w:p>
        </w:tc>
        <w:tc>
          <w:tcPr>
            <w:tcW w:w="367" w:type="pct"/>
            <w:tcBorders>
              <w:top w:val="nil"/>
              <w:left w:val="nil"/>
              <w:bottom w:val="single" w:sz="4" w:space="0" w:color="auto"/>
              <w:right w:val="single" w:sz="4" w:space="0" w:color="auto"/>
            </w:tcBorders>
            <w:shd w:val="clear" w:color="auto" w:fill="auto"/>
            <w:noWrap/>
            <w:vAlign w:val="bottom"/>
            <w:hideMark/>
          </w:tcPr>
          <w:p w14:paraId="40181BF4"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37</w:t>
            </w:r>
          </w:p>
        </w:tc>
        <w:tc>
          <w:tcPr>
            <w:tcW w:w="367" w:type="pct"/>
            <w:tcBorders>
              <w:top w:val="nil"/>
              <w:left w:val="nil"/>
              <w:bottom w:val="single" w:sz="4" w:space="0" w:color="auto"/>
              <w:right w:val="single" w:sz="4" w:space="0" w:color="auto"/>
            </w:tcBorders>
            <w:shd w:val="clear" w:color="auto" w:fill="auto"/>
            <w:noWrap/>
            <w:vAlign w:val="bottom"/>
            <w:hideMark/>
          </w:tcPr>
          <w:p w14:paraId="77F54611"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27</w:t>
            </w:r>
          </w:p>
        </w:tc>
        <w:tc>
          <w:tcPr>
            <w:tcW w:w="367" w:type="pct"/>
            <w:tcBorders>
              <w:top w:val="nil"/>
              <w:left w:val="nil"/>
              <w:bottom w:val="single" w:sz="4" w:space="0" w:color="auto"/>
              <w:right w:val="single" w:sz="4" w:space="0" w:color="auto"/>
            </w:tcBorders>
            <w:shd w:val="clear" w:color="auto" w:fill="auto"/>
            <w:noWrap/>
            <w:vAlign w:val="bottom"/>
            <w:hideMark/>
          </w:tcPr>
          <w:p w14:paraId="178DDFA2"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33</w:t>
            </w:r>
          </w:p>
        </w:tc>
        <w:tc>
          <w:tcPr>
            <w:tcW w:w="367" w:type="pct"/>
            <w:tcBorders>
              <w:top w:val="nil"/>
              <w:left w:val="nil"/>
              <w:bottom w:val="single" w:sz="4" w:space="0" w:color="auto"/>
              <w:right w:val="single" w:sz="4" w:space="0" w:color="auto"/>
            </w:tcBorders>
            <w:shd w:val="clear" w:color="auto" w:fill="auto"/>
            <w:noWrap/>
            <w:vAlign w:val="bottom"/>
            <w:hideMark/>
          </w:tcPr>
          <w:p w14:paraId="38C8FB3B"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27</w:t>
            </w:r>
          </w:p>
        </w:tc>
        <w:tc>
          <w:tcPr>
            <w:tcW w:w="367" w:type="pct"/>
            <w:tcBorders>
              <w:top w:val="nil"/>
              <w:left w:val="nil"/>
              <w:bottom w:val="single" w:sz="4" w:space="0" w:color="auto"/>
              <w:right w:val="single" w:sz="4" w:space="0" w:color="auto"/>
            </w:tcBorders>
            <w:shd w:val="clear" w:color="auto" w:fill="auto"/>
            <w:noWrap/>
            <w:vAlign w:val="bottom"/>
            <w:hideMark/>
          </w:tcPr>
          <w:p w14:paraId="115AD4D0"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37</w:t>
            </w:r>
          </w:p>
        </w:tc>
        <w:tc>
          <w:tcPr>
            <w:tcW w:w="367" w:type="pct"/>
            <w:tcBorders>
              <w:top w:val="nil"/>
              <w:left w:val="nil"/>
              <w:bottom w:val="single" w:sz="4" w:space="0" w:color="auto"/>
              <w:right w:val="single" w:sz="4" w:space="0" w:color="auto"/>
            </w:tcBorders>
            <w:shd w:val="clear" w:color="auto" w:fill="auto"/>
            <w:noWrap/>
            <w:vAlign w:val="bottom"/>
            <w:hideMark/>
          </w:tcPr>
          <w:p w14:paraId="64A2E2E3"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37</w:t>
            </w:r>
          </w:p>
        </w:tc>
        <w:tc>
          <w:tcPr>
            <w:tcW w:w="367" w:type="pct"/>
            <w:tcBorders>
              <w:top w:val="nil"/>
              <w:left w:val="nil"/>
              <w:bottom w:val="single" w:sz="4" w:space="0" w:color="auto"/>
              <w:right w:val="single" w:sz="4" w:space="0" w:color="auto"/>
            </w:tcBorders>
            <w:shd w:val="clear" w:color="auto" w:fill="auto"/>
            <w:noWrap/>
            <w:vAlign w:val="bottom"/>
            <w:hideMark/>
          </w:tcPr>
          <w:p w14:paraId="57E70890"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41</w:t>
            </w:r>
          </w:p>
        </w:tc>
        <w:tc>
          <w:tcPr>
            <w:tcW w:w="367" w:type="pct"/>
            <w:tcBorders>
              <w:top w:val="nil"/>
              <w:left w:val="nil"/>
              <w:bottom w:val="single" w:sz="4" w:space="0" w:color="auto"/>
              <w:right w:val="single" w:sz="4" w:space="0" w:color="auto"/>
            </w:tcBorders>
            <w:shd w:val="clear" w:color="auto" w:fill="auto"/>
            <w:noWrap/>
            <w:vAlign w:val="bottom"/>
            <w:hideMark/>
          </w:tcPr>
          <w:p w14:paraId="55405DF1"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51</w:t>
            </w:r>
          </w:p>
        </w:tc>
        <w:tc>
          <w:tcPr>
            <w:tcW w:w="367" w:type="pct"/>
            <w:tcBorders>
              <w:top w:val="nil"/>
              <w:left w:val="nil"/>
              <w:bottom w:val="single" w:sz="4" w:space="0" w:color="auto"/>
              <w:right w:val="single" w:sz="8" w:space="0" w:color="auto"/>
            </w:tcBorders>
            <w:shd w:val="clear" w:color="auto" w:fill="auto"/>
            <w:noWrap/>
            <w:vAlign w:val="bottom"/>
            <w:hideMark/>
          </w:tcPr>
          <w:p w14:paraId="2160DA64"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61</w:t>
            </w:r>
          </w:p>
        </w:tc>
        <w:tc>
          <w:tcPr>
            <w:tcW w:w="367" w:type="pct"/>
            <w:tcBorders>
              <w:top w:val="nil"/>
              <w:left w:val="nil"/>
              <w:bottom w:val="single" w:sz="4" w:space="0" w:color="auto"/>
              <w:right w:val="single" w:sz="8" w:space="0" w:color="auto"/>
            </w:tcBorders>
            <w:vAlign w:val="bottom"/>
          </w:tcPr>
          <w:p w14:paraId="1BA70120"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63</w:t>
            </w:r>
          </w:p>
        </w:tc>
        <w:tc>
          <w:tcPr>
            <w:tcW w:w="367" w:type="pct"/>
            <w:tcBorders>
              <w:top w:val="nil"/>
              <w:left w:val="nil"/>
              <w:bottom w:val="single" w:sz="4" w:space="0" w:color="auto"/>
              <w:right w:val="single" w:sz="8" w:space="0" w:color="auto"/>
            </w:tcBorders>
            <w:vAlign w:val="bottom"/>
          </w:tcPr>
          <w:p w14:paraId="70E2F772"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44</w:t>
            </w:r>
          </w:p>
        </w:tc>
      </w:tr>
      <w:tr w:rsidR="00A16DDB" w:rsidRPr="00D95127" w14:paraId="536C8C46" w14:textId="77777777" w:rsidTr="007A627A">
        <w:trPr>
          <w:trHeight w:val="300"/>
        </w:trPr>
        <w:tc>
          <w:tcPr>
            <w:tcW w:w="606" w:type="pct"/>
            <w:tcBorders>
              <w:top w:val="nil"/>
              <w:left w:val="single" w:sz="8" w:space="0" w:color="auto"/>
              <w:bottom w:val="single" w:sz="4" w:space="0" w:color="auto"/>
              <w:right w:val="single" w:sz="4" w:space="0" w:color="auto"/>
            </w:tcBorders>
            <w:shd w:val="clear" w:color="auto" w:fill="auto"/>
            <w:noWrap/>
            <w:vAlign w:val="bottom"/>
            <w:hideMark/>
          </w:tcPr>
          <w:p w14:paraId="683D8974" w14:textId="77777777" w:rsidR="00A16DDB" w:rsidRPr="00D95127" w:rsidRDefault="00A16DDB" w:rsidP="007A627A">
            <w:pPr>
              <w:rPr>
                <w:rFonts w:cs="Times New Roman"/>
                <w:color w:val="000000"/>
                <w:sz w:val="20"/>
                <w:szCs w:val="20"/>
                <w:lang w:val="cs-CZ"/>
              </w:rPr>
            </w:pPr>
            <w:r w:rsidRPr="00D95127">
              <w:rPr>
                <w:rFonts w:cs="Times New Roman"/>
                <w:color w:val="000000"/>
                <w:sz w:val="20"/>
                <w:szCs w:val="20"/>
                <w:lang w:val="cs-CZ"/>
              </w:rPr>
              <w:t>vinice</w:t>
            </w:r>
          </w:p>
        </w:tc>
        <w:tc>
          <w:tcPr>
            <w:tcW w:w="353" w:type="pct"/>
            <w:tcBorders>
              <w:top w:val="nil"/>
              <w:left w:val="nil"/>
              <w:bottom w:val="single" w:sz="4" w:space="0" w:color="auto"/>
              <w:right w:val="single" w:sz="4" w:space="0" w:color="auto"/>
            </w:tcBorders>
            <w:shd w:val="clear" w:color="auto" w:fill="auto"/>
            <w:noWrap/>
            <w:vAlign w:val="bottom"/>
            <w:hideMark/>
          </w:tcPr>
          <w:p w14:paraId="1BCF11FE"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ha</w:t>
            </w:r>
          </w:p>
        </w:tc>
        <w:tc>
          <w:tcPr>
            <w:tcW w:w="367" w:type="pct"/>
            <w:tcBorders>
              <w:top w:val="nil"/>
              <w:left w:val="nil"/>
              <w:bottom w:val="single" w:sz="4" w:space="0" w:color="auto"/>
              <w:right w:val="single" w:sz="4" w:space="0" w:color="auto"/>
            </w:tcBorders>
            <w:shd w:val="clear" w:color="auto" w:fill="auto"/>
            <w:noWrap/>
            <w:vAlign w:val="bottom"/>
            <w:hideMark/>
          </w:tcPr>
          <w:p w14:paraId="71F1F17F"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1,14</w:t>
            </w:r>
          </w:p>
        </w:tc>
        <w:tc>
          <w:tcPr>
            <w:tcW w:w="367" w:type="pct"/>
            <w:tcBorders>
              <w:top w:val="nil"/>
              <w:left w:val="nil"/>
              <w:bottom w:val="single" w:sz="4" w:space="0" w:color="auto"/>
              <w:right w:val="single" w:sz="4" w:space="0" w:color="auto"/>
            </w:tcBorders>
            <w:shd w:val="clear" w:color="auto" w:fill="auto"/>
            <w:noWrap/>
            <w:vAlign w:val="bottom"/>
            <w:hideMark/>
          </w:tcPr>
          <w:p w14:paraId="69CA8620"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35</w:t>
            </w:r>
          </w:p>
        </w:tc>
        <w:tc>
          <w:tcPr>
            <w:tcW w:w="367" w:type="pct"/>
            <w:tcBorders>
              <w:top w:val="nil"/>
              <w:left w:val="nil"/>
              <w:bottom w:val="single" w:sz="4" w:space="0" w:color="auto"/>
              <w:right w:val="single" w:sz="4" w:space="0" w:color="auto"/>
            </w:tcBorders>
            <w:shd w:val="clear" w:color="auto" w:fill="auto"/>
            <w:noWrap/>
            <w:vAlign w:val="bottom"/>
            <w:hideMark/>
          </w:tcPr>
          <w:p w14:paraId="19887688"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75</w:t>
            </w:r>
          </w:p>
        </w:tc>
        <w:tc>
          <w:tcPr>
            <w:tcW w:w="367" w:type="pct"/>
            <w:tcBorders>
              <w:top w:val="nil"/>
              <w:left w:val="nil"/>
              <w:bottom w:val="single" w:sz="4" w:space="0" w:color="auto"/>
              <w:right w:val="single" w:sz="4" w:space="0" w:color="auto"/>
            </w:tcBorders>
            <w:shd w:val="clear" w:color="auto" w:fill="auto"/>
            <w:noWrap/>
            <w:vAlign w:val="bottom"/>
            <w:hideMark/>
          </w:tcPr>
          <w:p w14:paraId="23381161"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44</w:t>
            </w:r>
          </w:p>
        </w:tc>
        <w:tc>
          <w:tcPr>
            <w:tcW w:w="367" w:type="pct"/>
            <w:tcBorders>
              <w:top w:val="nil"/>
              <w:left w:val="nil"/>
              <w:bottom w:val="single" w:sz="4" w:space="0" w:color="auto"/>
              <w:right w:val="single" w:sz="4" w:space="0" w:color="auto"/>
            </w:tcBorders>
            <w:shd w:val="clear" w:color="auto" w:fill="auto"/>
            <w:noWrap/>
            <w:vAlign w:val="bottom"/>
            <w:hideMark/>
          </w:tcPr>
          <w:p w14:paraId="38FF8523"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24,6</w:t>
            </w:r>
          </w:p>
        </w:tc>
        <w:tc>
          <w:tcPr>
            <w:tcW w:w="367" w:type="pct"/>
            <w:tcBorders>
              <w:top w:val="nil"/>
              <w:left w:val="nil"/>
              <w:bottom w:val="single" w:sz="4" w:space="0" w:color="auto"/>
              <w:right w:val="single" w:sz="4" w:space="0" w:color="auto"/>
            </w:tcBorders>
            <w:shd w:val="clear" w:color="auto" w:fill="auto"/>
            <w:noWrap/>
            <w:vAlign w:val="bottom"/>
            <w:hideMark/>
          </w:tcPr>
          <w:p w14:paraId="3DA373D2"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68</w:t>
            </w:r>
          </w:p>
        </w:tc>
        <w:tc>
          <w:tcPr>
            <w:tcW w:w="367" w:type="pct"/>
            <w:tcBorders>
              <w:top w:val="nil"/>
              <w:left w:val="nil"/>
              <w:bottom w:val="single" w:sz="4" w:space="0" w:color="auto"/>
              <w:right w:val="single" w:sz="4" w:space="0" w:color="auto"/>
            </w:tcBorders>
            <w:shd w:val="clear" w:color="auto" w:fill="auto"/>
            <w:noWrap/>
            <w:vAlign w:val="bottom"/>
            <w:hideMark/>
          </w:tcPr>
          <w:p w14:paraId="429F0C8A"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158</w:t>
            </w:r>
          </w:p>
        </w:tc>
        <w:tc>
          <w:tcPr>
            <w:tcW w:w="367" w:type="pct"/>
            <w:tcBorders>
              <w:top w:val="nil"/>
              <w:left w:val="nil"/>
              <w:bottom w:val="single" w:sz="4" w:space="0" w:color="auto"/>
              <w:right w:val="single" w:sz="4" w:space="0" w:color="auto"/>
            </w:tcBorders>
            <w:shd w:val="clear" w:color="auto" w:fill="auto"/>
            <w:noWrap/>
            <w:vAlign w:val="bottom"/>
            <w:hideMark/>
          </w:tcPr>
          <w:p w14:paraId="6AB0EE62"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85</w:t>
            </w:r>
          </w:p>
        </w:tc>
        <w:tc>
          <w:tcPr>
            <w:tcW w:w="367" w:type="pct"/>
            <w:tcBorders>
              <w:top w:val="nil"/>
              <w:left w:val="nil"/>
              <w:bottom w:val="single" w:sz="4" w:space="0" w:color="auto"/>
              <w:right w:val="single" w:sz="8" w:space="0" w:color="auto"/>
            </w:tcBorders>
            <w:shd w:val="clear" w:color="auto" w:fill="auto"/>
            <w:noWrap/>
            <w:vAlign w:val="bottom"/>
            <w:hideMark/>
          </w:tcPr>
          <w:p w14:paraId="20B62728"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134,74</w:t>
            </w:r>
          </w:p>
        </w:tc>
        <w:tc>
          <w:tcPr>
            <w:tcW w:w="367" w:type="pct"/>
            <w:tcBorders>
              <w:top w:val="nil"/>
              <w:left w:val="nil"/>
              <w:bottom w:val="single" w:sz="4" w:space="0" w:color="auto"/>
              <w:right w:val="single" w:sz="8" w:space="0" w:color="auto"/>
            </w:tcBorders>
            <w:vAlign w:val="bottom"/>
          </w:tcPr>
          <w:p w14:paraId="0708DF2F"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170,77</w:t>
            </w:r>
          </w:p>
        </w:tc>
        <w:tc>
          <w:tcPr>
            <w:tcW w:w="367" w:type="pct"/>
            <w:tcBorders>
              <w:top w:val="nil"/>
              <w:left w:val="nil"/>
              <w:bottom w:val="single" w:sz="4" w:space="0" w:color="auto"/>
              <w:right w:val="single" w:sz="8" w:space="0" w:color="auto"/>
            </w:tcBorders>
            <w:vAlign w:val="bottom"/>
          </w:tcPr>
          <w:p w14:paraId="7A66C3A5"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72,32</w:t>
            </w:r>
          </w:p>
        </w:tc>
      </w:tr>
      <w:tr w:rsidR="00A16DDB" w:rsidRPr="00D95127" w14:paraId="788A349E" w14:textId="77777777" w:rsidTr="007A627A">
        <w:trPr>
          <w:trHeight w:val="300"/>
        </w:trPr>
        <w:tc>
          <w:tcPr>
            <w:tcW w:w="606" w:type="pct"/>
            <w:tcBorders>
              <w:top w:val="nil"/>
              <w:left w:val="single" w:sz="8" w:space="0" w:color="auto"/>
              <w:bottom w:val="single" w:sz="4" w:space="0" w:color="auto"/>
              <w:right w:val="single" w:sz="4" w:space="0" w:color="auto"/>
            </w:tcBorders>
            <w:shd w:val="clear" w:color="auto" w:fill="auto"/>
            <w:noWrap/>
            <w:vAlign w:val="bottom"/>
            <w:hideMark/>
          </w:tcPr>
          <w:p w14:paraId="064E32AC" w14:textId="77777777" w:rsidR="00A16DDB" w:rsidRPr="00D95127" w:rsidRDefault="00A16DDB" w:rsidP="007A627A">
            <w:pPr>
              <w:rPr>
                <w:rFonts w:cs="Times New Roman"/>
                <w:color w:val="000000"/>
                <w:sz w:val="20"/>
                <w:szCs w:val="20"/>
                <w:lang w:val="cs-CZ"/>
              </w:rPr>
            </w:pPr>
            <w:r w:rsidRPr="00D95127">
              <w:rPr>
                <w:rFonts w:cs="Times New Roman"/>
                <w:color w:val="000000"/>
                <w:sz w:val="20"/>
                <w:szCs w:val="20"/>
                <w:lang w:val="cs-CZ"/>
              </w:rPr>
              <w:t>chmelnice</w:t>
            </w:r>
          </w:p>
        </w:tc>
        <w:tc>
          <w:tcPr>
            <w:tcW w:w="353" w:type="pct"/>
            <w:tcBorders>
              <w:top w:val="nil"/>
              <w:left w:val="nil"/>
              <w:bottom w:val="single" w:sz="4" w:space="0" w:color="auto"/>
              <w:right w:val="single" w:sz="4" w:space="0" w:color="auto"/>
            </w:tcBorders>
            <w:shd w:val="clear" w:color="auto" w:fill="auto"/>
            <w:noWrap/>
            <w:vAlign w:val="bottom"/>
            <w:hideMark/>
          </w:tcPr>
          <w:p w14:paraId="00FAB0C7"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ha</w:t>
            </w:r>
          </w:p>
        </w:tc>
        <w:tc>
          <w:tcPr>
            <w:tcW w:w="367" w:type="pct"/>
            <w:tcBorders>
              <w:top w:val="nil"/>
              <w:left w:val="nil"/>
              <w:bottom w:val="single" w:sz="4" w:space="0" w:color="auto"/>
              <w:right w:val="single" w:sz="4" w:space="0" w:color="auto"/>
            </w:tcBorders>
            <w:shd w:val="clear" w:color="auto" w:fill="auto"/>
            <w:noWrap/>
            <w:vAlign w:val="bottom"/>
            <w:hideMark/>
          </w:tcPr>
          <w:p w14:paraId="2C5C6FED"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44</w:t>
            </w:r>
          </w:p>
        </w:tc>
        <w:tc>
          <w:tcPr>
            <w:tcW w:w="367" w:type="pct"/>
            <w:tcBorders>
              <w:top w:val="nil"/>
              <w:left w:val="nil"/>
              <w:bottom w:val="single" w:sz="4" w:space="0" w:color="auto"/>
              <w:right w:val="single" w:sz="4" w:space="0" w:color="auto"/>
            </w:tcBorders>
            <w:shd w:val="clear" w:color="auto" w:fill="auto"/>
            <w:noWrap/>
            <w:vAlign w:val="bottom"/>
            <w:hideMark/>
          </w:tcPr>
          <w:p w14:paraId="713EA253"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25</w:t>
            </w:r>
          </w:p>
        </w:tc>
        <w:tc>
          <w:tcPr>
            <w:tcW w:w="367" w:type="pct"/>
            <w:tcBorders>
              <w:top w:val="nil"/>
              <w:left w:val="nil"/>
              <w:bottom w:val="single" w:sz="4" w:space="0" w:color="auto"/>
              <w:right w:val="single" w:sz="4" w:space="0" w:color="auto"/>
            </w:tcBorders>
            <w:shd w:val="clear" w:color="auto" w:fill="auto"/>
            <w:noWrap/>
            <w:vAlign w:val="bottom"/>
            <w:hideMark/>
          </w:tcPr>
          <w:p w14:paraId="0AE63D95"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14,5</w:t>
            </w:r>
          </w:p>
        </w:tc>
        <w:tc>
          <w:tcPr>
            <w:tcW w:w="367" w:type="pct"/>
            <w:tcBorders>
              <w:top w:val="nil"/>
              <w:left w:val="nil"/>
              <w:bottom w:val="single" w:sz="4" w:space="0" w:color="auto"/>
              <w:right w:val="single" w:sz="4" w:space="0" w:color="auto"/>
            </w:tcBorders>
            <w:shd w:val="clear" w:color="auto" w:fill="auto"/>
            <w:noWrap/>
            <w:vAlign w:val="bottom"/>
            <w:hideMark/>
          </w:tcPr>
          <w:p w14:paraId="3DD53CE5"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6,8</w:t>
            </w:r>
          </w:p>
        </w:tc>
        <w:tc>
          <w:tcPr>
            <w:tcW w:w="367" w:type="pct"/>
            <w:tcBorders>
              <w:top w:val="nil"/>
              <w:left w:val="nil"/>
              <w:bottom w:val="single" w:sz="4" w:space="0" w:color="auto"/>
              <w:right w:val="single" w:sz="4" w:space="0" w:color="auto"/>
            </w:tcBorders>
            <w:shd w:val="clear" w:color="auto" w:fill="auto"/>
            <w:noWrap/>
            <w:vAlign w:val="bottom"/>
            <w:hideMark/>
          </w:tcPr>
          <w:p w14:paraId="388DE6C6"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27,5</w:t>
            </w:r>
          </w:p>
        </w:tc>
        <w:tc>
          <w:tcPr>
            <w:tcW w:w="367" w:type="pct"/>
            <w:tcBorders>
              <w:top w:val="nil"/>
              <w:left w:val="nil"/>
              <w:bottom w:val="single" w:sz="4" w:space="0" w:color="auto"/>
              <w:right w:val="single" w:sz="4" w:space="0" w:color="auto"/>
            </w:tcBorders>
            <w:shd w:val="clear" w:color="auto" w:fill="auto"/>
            <w:noWrap/>
            <w:vAlign w:val="bottom"/>
            <w:hideMark/>
          </w:tcPr>
          <w:p w14:paraId="36DAFBA5"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27,9</w:t>
            </w:r>
          </w:p>
        </w:tc>
        <w:tc>
          <w:tcPr>
            <w:tcW w:w="367" w:type="pct"/>
            <w:tcBorders>
              <w:top w:val="nil"/>
              <w:left w:val="nil"/>
              <w:bottom w:val="single" w:sz="4" w:space="0" w:color="auto"/>
              <w:right w:val="single" w:sz="4" w:space="0" w:color="auto"/>
            </w:tcBorders>
            <w:shd w:val="clear" w:color="auto" w:fill="auto"/>
            <w:noWrap/>
            <w:vAlign w:val="bottom"/>
            <w:hideMark/>
          </w:tcPr>
          <w:p w14:paraId="09F4A7E3"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24</w:t>
            </w:r>
          </w:p>
        </w:tc>
        <w:tc>
          <w:tcPr>
            <w:tcW w:w="367" w:type="pct"/>
            <w:tcBorders>
              <w:top w:val="nil"/>
              <w:left w:val="nil"/>
              <w:bottom w:val="single" w:sz="4" w:space="0" w:color="auto"/>
              <w:right w:val="single" w:sz="4" w:space="0" w:color="auto"/>
            </w:tcBorders>
            <w:shd w:val="clear" w:color="auto" w:fill="auto"/>
            <w:noWrap/>
            <w:vAlign w:val="bottom"/>
            <w:hideMark/>
          </w:tcPr>
          <w:p w14:paraId="09D952C2"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62,46</w:t>
            </w:r>
          </w:p>
        </w:tc>
        <w:tc>
          <w:tcPr>
            <w:tcW w:w="367" w:type="pct"/>
            <w:tcBorders>
              <w:top w:val="nil"/>
              <w:left w:val="nil"/>
              <w:bottom w:val="single" w:sz="4" w:space="0" w:color="auto"/>
              <w:right w:val="single" w:sz="8" w:space="0" w:color="auto"/>
            </w:tcBorders>
            <w:shd w:val="clear" w:color="auto" w:fill="auto"/>
            <w:noWrap/>
            <w:vAlign w:val="bottom"/>
            <w:hideMark/>
          </w:tcPr>
          <w:p w14:paraId="7148A528"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66,02</w:t>
            </w:r>
          </w:p>
        </w:tc>
        <w:tc>
          <w:tcPr>
            <w:tcW w:w="367" w:type="pct"/>
            <w:tcBorders>
              <w:top w:val="nil"/>
              <w:left w:val="nil"/>
              <w:bottom w:val="single" w:sz="4" w:space="0" w:color="auto"/>
              <w:right w:val="single" w:sz="8" w:space="0" w:color="auto"/>
            </w:tcBorders>
            <w:vAlign w:val="bottom"/>
          </w:tcPr>
          <w:p w14:paraId="0AF4D0B8"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94,30</w:t>
            </w:r>
          </w:p>
        </w:tc>
        <w:tc>
          <w:tcPr>
            <w:tcW w:w="367" w:type="pct"/>
            <w:tcBorders>
              <w:top w:val="nil"/>
              <w:left w:val="nil"/>
              <w:bottom w:val="single" w:sz="4" w:space="0" w:color="auto"/>
              <w:right w:val="single" w:sz="8" w:space="0" w:color="auto"/>
            </w:tcBorders>
            <w:vAlign w:val="bottom"/>
          </w:tcPr>
          <w:p w14:paraId="6CF7C695"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78,79</w:t>
            </w:r>
          </w:p>
        </w:tc>
      </w:tr>
      <w:tr w:rsidR="00A16DDB" w:rsidRPr="00D95127" w14:paraId="3AC77BFA" w14:textId="77777777" w:rsidTr="007A627A">
        <w:trPr>
          <w:trHeight w:val="300"/>
        </w:trPr>
        <w:tc>
          <w:tcPr>
            <w:tcW w:w="606" w:type="pct"/>
            <w:tcBorders>
              <w:top w:val="nil"/>
              <w:left w:val="single" w:sz="8" w:space="0" w:color="auto"/>
              <w:bottom w:val="single" w:sz="4" w:space="0" w:color="auto"/>
              <w:right w:val="single" w:sz="4" w:space="0" w:color="auto"/>
            </w:tcBorders>
            <w:shd w:val="clear" w:color="auto" w:fill="auto"/>
            <w:noWrap/>
            <w:vAlign w:val="bottom"/>
            <w:hideMark/>
          </w:tcPr>
          <w:p w14:paraId="69118037" w14:textId="77777777" w:rsidR="00A16DDB" w:rsidRPr="00D95127" w:rsidRDefault="00A16DDB" w:rsidP="007A627A">
            <w:pPr>
              <w:rPr>
                <w:rFonts w:cs="Times New Roman"/>
                <w:color w:val="000000"/>
                <w:sz w:val="20"/>
                <w:szCs w:val="20"/>
                <w:lang w:val="cs-CZ"/>
              </w:rPr>
            </w:pPr>
            <w:r w:rsidRPr="00D95127">
              <w:rPr>
                <w:rFonts w:cs="Times New Roman"/>
                <w:color w:val="000000"/>
                <w:sz w:val="20"/>
                <w:szCs w:val="20"/>
                <w:lang w:val="cs-CZ"/>
              </w:rPr>
              <w:t>sady</w:t>
            </w:r>
          </w:p>
        </w:tc>
        <w:tc>
          <w:tcPr>
            <w:tcW w:w="353" w:type="pct"/>
            <w:tcBorders>
              <w:top w:val="nil"/>
              <w:left w:val="nil"/>
              <w:bottom w:val="single" w:sz="4" w:space="0" w:color="auto"/>
              <w:right w:val="single" w:sz="4" w:space="0" w:color="auto"/>
            </w:tcBorders>
            <w:shd w:val="clear" w:color="auto" w:fill="auto"/>
            <w:noWrap/>
            <w:vAlign w:val="bottom"/>
            <w:hideMark/>
          </w:tcPr>
          <w:p w14:paraId="5F70B0B2"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ha</w:t>
            </w:r>
          </w:p>
        </w:tc>
        <w:tc>
          <w:tcPr>
            <w:tcW w:w="367" w:type="pct"/>
            <w:tcBorders>
              <w:top w:val="nil"/>
              <w:left w:val="nil"/>
              <w:bottom w:val="single" w:sz="4" w:space="0" w:color="auto"/>
              <w:right w:val="single" w:sz="4" w:space="0" w:color="auto"/>
            </w:tcBorders>
            <w:shd w:val="clear" w:color="auto" w:fill="auto"/>
            <w:noWrap/>
            <w:vAlign w:val="bottom"/>
            <w:hideMark/>
          </w:tcPr>
          <w:p w14:paraId="01377A07"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272</w:t>
            </w:r>
          </w:p>
        </w:tc>
        <w:tc>
          <w:tcPr>
            <w:tcW w:w="367" w:type="pct"/>
            <w:tcBorders>
              <w:top w:val="nil"/>
              <w:left w:val="nil"/>
              <w:bottom w:val="single" w:sz="4" w:space="0" w:color="auto"/>
              <w:right w:val="single" w:sz="4" w:space="0" w:color="auto"/>
            </w:tcBorders>
            <w:shd w:val="clear" w:color="auto" w:fill="auto"/>
            <w:noWrap/>
            <w:vAlign w:val="bottom"/>
            <w:hideMark/>
          </w:tcPr>
          <w:p w14:paraId="48511E75"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267</w:t>
            </w:r>
          </w:p>
        </w:tc>
        <w:tc>
          <w:tcPr>
            <w:tcW w:w="367" w:type="pct"/>
            <w:tcBorders>
              <w:top w:val="nil"/>
              <w:left w:val="nil"/>
              <w:bottom w:val="single" w:sz="4" w:space="0" w:color="auto"/>
              <w:right w:val="single" w:sz="4" w:space="0" w:color="auto"/>
            </w:tcBorders>
            <w:shd w:val="clear" w:color="auto" w:fill="auto"/>
            <w:noWrap/>
            <w:vAlign w:val="bottom"/>
            <w:hideMark/>
          </w:tcPr>
          <w:p w14:paraId="6B0A4605"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287</w:t>
            </w:r>
          </w:p>
        </w:tc>
        <w:tc>
          <w:tcPr>
            <w:tcW w:w="367" w:type="pct"/>
            <w:tcBorders>
              <w:top w:val="nil"/>
              <w:left w:val="nil"/>
              <w:bottom w:val="single" w:sz="4" w:space="0" w:color="auto"/>
              <w:right w:val="single" w:sz="4" w:space="0" w:color="auto"/>
            </w:tcBorders>
            <w:shd w:val="clear" w:color="auto" w:fill="auto"/>
            <w:noWrap/>
            <w:vAlign w:val="bottom"/>
            <w:hideMark/>
          </w:tcPr>
          <w:p w14:paraId="042D191E"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151,8</w:t>
            </w:r>
          </w:p>
        </w:tc>
        <w:tc>
          <w:tcPr>
            <w:tcW w:w="367" w:type="pct"/>
            <w:tcBorders>
              <w:top w:val="nil"/>
              <w:left w:val="nil"/>
              <w:bottom w:val="single" w:sz="4" w:space="0" w:color="auto"/>
              <w:right w:val="single" w:sz="4" w:space="0" w:color="auto"/>
            </w:tcBorders>
            <w:shd w:val="clear" w:color="auto" w:fill="auto"/>
            <w:noWrap/>
            <w:vAlign w:val="bottom"/>
            <w:hideMark/>
          </w:tcPr>
          <w:p w14:paraId="51294B92"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250,2</w:t>
            </w:r>
          </w:p>
        </w:tc>
        <w:tc>
          <w:tcPr>
            <w:tcW w:w="367" w:type="pct"/>
            <w:tcBorders>
              <w:top w:val="nil"/>
              <w:left w:val="nil"/>
              <w:bottom w:val="single" w:sz="4" w:space="0" w:color="auto"/>
              <w:right w:val="single" w:sz="4" w:space="0" w:color="auto"/>
            </w:tcBorders>
            <w:shd w:val="clear" w:color="auto" w:fill="auto"/>
            <w:noWrap/>
            <w:vAlign w:val="bottom"/>
            <w:hideMark/>
          </w:tcPr>
          <w:p w14:paraId="3844F84E"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260,9</w:t>
            </w:r>
          </w:p>
        </w:tc>
        <w:tc>
          <w:tcPr>
            <w:tcW w:w="367" w:type="pct"/>
            <w:tcBorders>
              <w:top w:val="nil"/>
              <w:left w:val="nil"/>
              <w:bottom w:val="single" w:sz="4" w:space="0" w:color="auto"/>
              <w:right w:val="single" w:sz="4" w:space="0" w:color="auto"/>
            </w:tcBorders>
            <w:shd w:val="clear" w:color="auto" w:fill="auto"/>
            <w:noWrap/>
            <w:vAlign w:val="bottom"/>
            <w:hideMark/>
          </w:tcPr>
          <w:p w14:paraId="48F6A120"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177</w:t>
            </w:r>
          </w:p>
        </w:tc>
        <w:tc>
          <w:tcPr>
            <w:tcW w:w="367" w:type="pct"/>
            <w:tcBorders>
              <w:top w:val="nil"/>
              <w:left w:val="nil"/>
              <w:bottom w:val="single" w:sz="4" w:space="0" w:color="auto"/>
              <w:right w:val="single" w:sz="4" w:space="0" w:color="auto"/>
            </w:tcBorders>
            <w:shd w:val="clear" w:color="auto" w:fill="auto"/>
            <w:noWrap/>
            <w:vAlign w:val="bottom"/>
            <w:hideMark/>
          </w:tcPr>
          <w:p w14:paraId="38902BD5"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244,14</w:t>
            </w:r>
          </w:p>
        </w:tc>
        <w:tc>
          <w:tcPr>
            <w:tcW w:w="367" w:type="pct"/>
            <w:tcBorders>
              <w:top w:val="nil"/>
              <w:left w:val="nil"/>
              <w:bottom w:val="single" w:sz="4" w:space="0" w:color="auto"/>
              <w:right w:val="single" w:sz="8" w:space="0" w:color="auto"/>
            </w:tcBorders>
            <w:shd w:val="clear" w:color="auto" w:fill="auto"/>
            <w:noWrap/>
            <w:vAlign w:val="bottom"/>
            <w:hideMark/>
          </w:tcPr>
          <w:p w14:paraId="0DEE50BD"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169,59</w:t>
            </w:r>
          </w:p>
        </w:tc>
        <w:tc>
          <w:tcPr>
            <w:tcW w:w="367" w:type="pct"/>
            <w:tcBorders>
              <w:top w:val="nil"/>
              <w:left w:val="nil"/>
              <w:bottom w:val="single" w:sz="4" w:space="0" w:color="auto"/>
              <w:right w:val="single" w:sz="8" w:space="0" w:color="auto"/>
            </w:tcBorders>
            <w:vAlign w:val="bottom"/>
          </w:tcPr>
          <w:p w14:paraId="0A9C2BA5"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241,55</w:t>
            </w:r>
          </w:p>
        </w:tc>
        <w:tc>
          <w:tcPr>
            <w:tcW w:w="367" w:type="pct"/>
            <w:tcBorders>
              <w:top w:val="nil"/>
              <w:left w:val="nil"/>
              <w:bottom w:val="single" w:sz="4" w:space="0" w:color="auto"/>
              <w:right w:val="single" w:sz="8" w:space="0" w:color="auto"/>
            </w:tcBorders>
            <w:vAlign w:val="bottom"/>
          </w:tcPr>
          <w:p w14:paraId="24430946"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108,37</w:t>
            </w:r>
          </w:p>
        </w:tc>
      </w:tr>
      <w:tr w:rsidR="00A16DDB" w:rsidRPr="00D95127" w14:paraId="0FDA5989" w14:textId="77777777" w:rsidTr="007A627A">
        <w:trPr>
          <w:trHeight w:val="300"/>
        </w:trPr>
        <w:tc>
          <w:tcPr>
            <w:tcW w:w="606" w:type="pct"/>
            <w:tcBorders>
              <w:top w:val="nil"/>
              <w:left w:val="single" w:sz="8" w:space="0" w:color="auto"/>
              <w:bottom w:val="nil"/>
              <w:right w:val="single" w:sz="4" w:space="0" w:color="auto"/>
            </w:tcBorders>
            <w:shd w:val="clear" w:color="auto" w:fill="auto"/>
            <w:noWrap/>
            <w:vAlign w:val="bottom"/>
            <w:hideMark/>
          </w:tcPr>
          <w:p w14:paraId="11EBEC7B" w14:textId="77777777" w:rsidR="00A16DDB" w:rsidRPr="00D95127" w:rsidRDefault="00A16DDB" w:rsidP="007A627A">
            <w:pPr>
              <w:rPr>
                <w:rFonts w:cs="Times New Roman"/>
                <w:color w:val="000000"/>
                <w:sz w:val="20"/>
                <w:szCs w:val="20"/>
                <w:lang w:val="cs-CZ"/>
              </w:rPr>
            </w:pPr>
            <w:r w:rsidRPr="00D95127">
              <w:rPr>
                <w:rFonts w:cs="Times New Roman"/>
                <w:color w:val="000000"/>
                <w:sz w:val="20"/>
                <w:szCs w:val="20"/>
                <w:lang w:val="cs-CZ"/>
              </w:rPr>
              <w:t>školky</w:t>
            </w:r>
          </w:p>
        </w:tc>
        <w:tc>
          <w:tcPr>
            <w:tcW w:w="353" w:type="pct"/>
            <w:tcBorders>
              <w:top w:val="nil"/>
              <w:left w:val="nil"/>
              <w:bottom w:val="nil"/>
              <w:right w:val="single" w:sz="4" w:space="0" w:color="auto"/>
            </w:tcBorders>
            <w:shd w:val="clear" w:color="auto" w:fill="auto"/>
            <w:noWrap/>
            <w:vAlign w:val="bottom"/>
            <w:hideMark/>
          </w:tcPr>
          <w:p w14:paraId="22DBE92D"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ha</w:t>
            </w:r>
          </w:p>
        </w:tc>
        <w:tc>
          <w:tcPr>
            <w:tcW w:w="367" w:type="pct"/>
            <w:tcBorders>
              <w:top w:val="nil"/>
              <w:left w:val="nil"/>
              <w:bottom w:val="nil"/>
              <w:right w:val="single" w:sz="4" w:space="0" w:color="auto"/>
            </w:tcBorders>
            <w:shd w:val="clear" w:color="auto" w:fill="auto"/>
            <w:noWrap/>
            <w:vAlign w:val="bottom"/>
            <w:hideMark/>
          </w:tcPr>
          <w:p w14:paraId="698D298E"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2</w:t>
            </w:r>
          </w:p>
        </w:tc>
        <w:tc>
          <w:tcPr>
            <w:tcW w:w="367" w:type="pct"/>
            <w:tcBorders>
              <w:top w:val="nil"/>
              <w:left w:val="nil"/>
              <w:bottom w:val="nil"/>
              <w:right w:val="single" w:sz="4" w:space="0" w:color="auto"/>
            </w:tcBorders>
            <w:shd w:val="clear" w:color="auto" w:fill="auto"/>
            <w:noWrap/>
            <w:vAlign w:val="bottom"/>
            <w:hideMark/>
          </w:tcPr>
          <w:p w14:paraId="67800DFE"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0</w:t>
            </w:r>
          </w:p>
        </w:tc>
        <w:tc>
          <w:tcPr>
            <w:tcW w:w="367" w:type="pct"/>
            <w:tcBorders>
              <w:top w:val="nil"/>
              <w:left w:val="nil"/>
              <w:bottom w:val="nil"/>
              <w:right w:val="single" w:sz="4" w:space="0" w:color="auto"/>
            </w:tcBorders>
            <w:shd w:val="clear" w:color="auto" w:fill="auto"/>
            <w:noWrap/>
            <w:vAlign w:val="bottom"/>
            <w:hideMark/>
          </w:tcPr>
          <w:p w14:paraId="36A5A835"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1</w:t>
            </w:r>
          </w:p>
        </w:tc>
        <w:tc>
          <w:tcPr>
            <w:tcW w:w="367" w:type="pct"/>
            <w:tcBorders>
              <w:top w:val="nil"/>
              <w:left w:val="nil"/>
              <w:bottom w:val="nil"/>
              <w:right w:val="single" w:sz="4" w:space="0" w:color="auto"/>
            </w:tcBorders>
            <w:shd w:val="clear" w:color="auto" w:fill="auto"/>
            <w:noWrap/>
            <w:vAlign w:val="bottom"/>
            <w:hideMark/>
          </w:tcPr>
          <w:p w14:paraId="0C32D86B"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1</w:t>
            </w:r>
          </w:p>
        </w:tc>
        <w:tc>
          <w:tcPr>
            <w:tcW w:w="367" w:type="pct"/>
            <w:tcBorders>
              <w:top w:val="nil"/>
              <w:left w:val="nil"/>
              <w:bottom w:val="nil"/>
              <w:right w:val="single" w:sz="4" w:space="0" w:color="auto"/>
            </w:tcBorders>
            <w:shd w:val="clear" w:color="auto" w:fill="auto"/>
            <w:noWrap/>
            <w:vAlign w:val="bottom"/>
            <w:hideMark/>
          </w:tcPr>
          <w:p w14:paraId="15A52836"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0</w:t>
            </w:r>
          </w:p>
        </w:tc>
        <w:tc>
          <w:tcPr>
            <w:tcW w:w="367" w:type="pct"/>
            <w:tcBorders>
              <w:top w:val="nil"/>
              <w:left w:val="nil"/>
              <w:bottom w:val="nil"/>
              <w:right w:val="single" w:sz="4" w:space="0" w:color="auto"/>
            </w:tcBorders>
            <w:shd w:val="clear" w:color="auto" w:fill="auto"/>
            <w:noWrap/>
            <w:vAlign w:val="bottom"/>
            <w:hideMark/>
          </w:tcPr>
          <w:p w14:paraId="7C0460F4"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0</w:t>
            </w:r>
          </w:p>
        </w:tc>
        <w:tc>
          <w:tcPr>
            <w:tcW w:w="367" w:type="pct"/>
            <w:tcBorders>
              <w:top w:val="nil"/>
              <w:left w:val="nil"/>
              <w:bottom w:val="nil"/>
              <w:right w:val="single" w:sz="4" w:space="0" w:color="auto"/>
            </w:tcBorders>
            <w:shd w:val="clear" w:color="auto" w:fill="auto"/>
            <w:noWrap/>
            <w:vAlign w:val="bottom"/>
            <w:hideMark/>
          </w:tcPr>
          <w:p w14:paraId="4F085977"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0</w:t>
            </w:r>
          </w:p>
        </w:tc>
        <w:tc>
          <w:tcPr>
            <w:tcW w:w="367" w:type="pct"/>
            <w:tcBorders>
              <w:top w:val="nil"/>
              <w:left w:val="nil"/>
              <w:bottom w:val="nil"/>
              <w:right w:val="single" w:sz="4" w:space="0" w:color="auto"/>
            </w:tcBorders>
            <w:shd w:val="clear" w:color="auto" w:fill="auto"/>
            <w:noWrap/>
            <w:vAlign w:val="bottom"/>
            <w:hideMark/>
          </w:tcPr>
          <w:p w14:paraId="0E5D0892"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0</w:t>
            </w:r>
          </w:p>
        </w:tc>
        <w:tc>
          <w:tcPr>
            <w:tcW w:w="367" w:type="pct"/>
            <w:tcBorders>
              <w:top w:val="nil"/>
              <w:left w:val="nil"/>
              <w:bottom w:val="nil"/>
              <w:right w:val="single" w:sz="8" w:space="0" w:color="auto"/>
            </w:tcBorders>
            <w:shd w:val="clear" w:color="auto" w:fill="auto"/>
            <w:noWrap/>
            <w:vAlign w:val="bottom"/>
            <w:hideMark/>
          </w:tcPr>
          <w:p w14:paraId="221E7074"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0</w:t>
            </w:r>
          </w:p>
        </w:tc>
        <w:tc>
          <w:tcPr>
            <w:tcW w:w="367" w:type="pct"/>
            <w:tcBorders>
              <w:top w:val="nil"/>
              <w:left w:val="nil"/>
              <w:bottom w:val="nil"/>
              <w:right w:val="single" w:sz="8" w:space="0" w:color="auto"/>
            </w:tcBorders>
            <w:vAlign w:val="bottom"/>
          </w:tcPr>
          <w:p w14:paraId="04CCDA73"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12,27</w:t>
            </w:r>
          </w:p>
        </w:tc>
        <w:tc>
          <w:tcPr>
            <w:tcW w:w="367" w:type="pct"/>
            <w:tcBorders>
              <w:top w:val="nil"/>
              <w:left w:val="nil"/>
              <w:bottom w:val="nil"/>
              <w:right w:val="single" w:sz="8" w:space="0" w:color="auto"/>
            </w:tcBorders>
            <w:vAlign w:val="bottom"/>
          </w:tcPr>
          <w:p w14:paraId="41E52C1E"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0,57</w:t>
            </w:r>
          </w:p>
        </w:tc>
      </w:tr>
      <w:tr w:rsidR="00A16DDB" w:rsidRPr="00D95127" w14:paraId="6112B023" w14:textId="77777777" w:rsidTr="007A627A">
        <w:trPr>
          <w:trHeight w:val="315"/>
        </w:trPr>
        <w:tc>
          <w:tcPr>
            <w:tcW w:w="606" w:type="pct"/>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46A9A00E" w14:textId="77777777" w:rsidR="00A16DDB" w:rsidRPr="00D95127" w:rsidRDefault="00A16DDB" w:rsidP="007A627A">
            <w:pPr>
              <w:rPr>
                <w:rFonts w:cs="Times New Roman"/>
                <w:color w:val="000000"/>
                <w:sz w:val="20"/>
                <w:szCs w:val="20"/>
                <w:lang w:val="cs-CZ"/>
              </w:rPr>
            </w:pPr>
            <w:r w:rsidRPr="00D95127">
              <w:rPr>
                <w:rFonts w:cs="Times New Roman"/>
                <w:color w:val="000000"/>
                <w:sz w:val="20"/>
                <w:szCs w:val="20"/>
                <w:lang w:val="cs-CZ"/>
              </w:rPr>
              <w:t>celkem</w:t>
            </w:r>
          </w:p>
        </w:tc>
        <w:tc>
          <w:tcPr>
            <w:tcW w:w="353" w:type="pct"/>
            <w:tcBorders>
              <w:top w:val="single" w:sz="4" w:space="0" w:color="auto"/>
              <w:left w:val="nil"/>
              <w:bottom w:val="single" w:sz="8" w:space="0" w:color="auto"/>
              <w:right w:val="single" w:sz="4" w:space="0" w:color="auto"/>
            </w:tcBorders>
            <w:shd w:val="clear" w:color="auto" w:fill="auto"/>
            <w:noWrap/>
            <w:vAlign w:val="bottom"/>
            <w:hideMark/>
          </w:tcPr>
          <w:p w14:paraId="746E1745"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tis. Kč</w:t>
            </w:r>
          </w:p>
        </w:tc>
        <w:tc>
          <w:tcPr>
            <w:tcW w:w="367" w:type="pct"/>
            <w:tcBorders>
              <w:top w:val="single" w:sz="4" w:space="0" w:color="auto"/>
              <w:left w:val="nil"/>
              <w:bottom w:val="single" w:sz="8" w:space="0" w:color="auto"/>
              <w:right w:val="single" w:sz="4" w:space="0" w:color="auto"/>
            </w:tcBorders>
            <w:shd w:val="clear" w:color="auto" w:fill="auto"/>
            <w:noWrap/>
            <w:vAlign w:val="bottom"/>
            <w:hideMark/>
          </w:tcPr>
          <w:p w14:paraId="3E7F9845"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19 629</w:t>
            </w:r>
          </w:p>
        </w:tc>
        <w:tc>
          <w:tcPr>
            <w:tcW w:w="367" w:type="pct"/>
            <w:tcBorders>
              <w:top w:val="single" w:sz="4" w:space="0" w:color="auto"/>
              <w:left w:val="nil"/>
              <w:bottom w:val="single" w:sz="8" w:space="0" w:color="auto"/>
              <w:right w:val="single" w:sz="4" w:space="0" w:color="auto"/>
            </w:tcBorders>
            <w:shd w:val="clear" w:color="auto" w:fill="auto"/>
            <w:noWrap/>
            <w:vAlign w:val="bottom"/>
            <w:hideMark/>
          </w:tcPr>
          <w:p w14:paraId="40015F9D"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19 132</w:t>
            </w:r>
          </w:p>
        </w:tc>
        <w:tc>
          <w:tcPr>
            <w:tcW w:w="367" w:type="pct"/>
            <w:tcBorders>
              <w:top w:val="single" w:sz="4" w:space="0" w:color="auto"/>
              <w:left w:val="nil"/>
              <w:bottom w:val="single" w:sz="8" w:space="0" w:color="auto"/>
              <w:right w:val="single" w:sz="4" w:space="0" w:color="auto"/>
            </w:tcBorders>
            <w:shd w:val="clear" w:color="auto" w:fill="auto"/>
            <w:noWrap/>
            <w:vAlign w:val="bottom"/>
            <w:hideMark/>
          </w:tcPr>
          <w:p w14:paraId="0FBDEDFE"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10 999</w:t>
            </w:r>
          </w:p>
        </w:tc>
        <w:tc>
          <w:tcPr>
            <w:tcW w:w="367" w:type="pct"/>
            <w:tcBorders>
              <w:top w:val="single" w:sz="4" w:space="0" w:color="auto"/>
              <w:left w:val="nil"/>
              <w:bottom w:val="single" w:sz="8" w:space="0" w:color="auto"/>
              <w:right w:val="single" w:sz="4" w:space="0" w:color="auto"/>
            </w:tcBorders>
            <w:shd w:val="clear" w:color="auto" w:fill="auto"/>
            <w:noWrap/>
            <w:vAlign w:val="bottom"/>
            <w:hideMark/>
          </w:tcPr>
          <w:p w14:paraId="045FE898"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12 163</w:t>
            </w:r>
          </w:p>
        </w:tc>
        <w:tc>
          <w:tcPr>
            <w:tcW w:w="367" w:type="pct"/>
            <w:tcBorders>
              <w:top w:val="single" w:sz="4" w:space="0" w:color="auto"/>
              <w:left w:val="nil"/>
              <w:bottom w:val="single" w:sz="8" w:space="0" w:color="auto"/>
              <w:right w:val="single" w:sz="4" w:space="0" w:color="auto"/>
            </w:tcBorders>
            <w:shd w:val="clear" w:color="auto" w:fill="auto"/>
            <w:noWrap/>
            <w:vAlign w:val="bottom"/>
            <w:hideMark/>
          </w:tcPr>
          <w:p w14:paraId="6E6AAEFC"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17 205</w:t>
            </w:r>
          </w:p>
        </w:tc>
        <w:tc>
          <w:tcPr>
            <w:tcW w:w="367" w:type="pct"/>
            <w:tcBorders>
              <w:top w:val="single" w:sz="4" w:space="0" w:color="auto"/>
              <w:left w:val="nil"/>
              <w:bottom w:val="single" w:sz="8" w:space="0" w:color="auto"/>
              <w:right w:val="single" w:sz="4" w:space="0" w:color="auto"/>
            </w:tcBorders>
            <w:shd w:val="clear" w:color="auto" w:fill="auto"/>
            <w:noWrap/>
            <w:vAlign w:val="bottom"/>
            <w:hideMark/>
          </w:tcPr>
          <w:p w14:paraId="0DC7FA5A"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15 658</w:t>
            </w:r>
          </w:p>
        </w:tc>
        <w:tc>
          <w:tcPr>
            <w:tcW w:w="367" w:type="pct"/>
            <w:tcBorders>
              <w:top w:val="single" w:sz="4" w:space="0" w:color="auto"/>
              <w:left w:val="nil"/>
              <w:bottom w:val="single" w:sz="8" w:space="0" w:color="auto"/>
              <w:right w:val="single" w:sz="4" w:space="0" w:color="auto"/>
            </w:tcBorders>
            <w:shd w:val="clear" w:color="auto" w:fill="auto"/>
            <w:noWrap/>
            <w:vAlign w:val="bottom"/>
            <w:hideMark/>
          </w:tcPr>
          <w:p w14:paraId="4BDC0B76"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21 164</w:t>
            </w:r>
          </w:p>
        </w:tc>
        <w:tc>
          <w:tcPr>
            <w:tcW w:w="367" w:type="pct"/>
            <w:tcBorders>
              <w:top w:val="single" w:sz="4" w:space="0" w:color="auto"/>
              <w:left w:val="nil"/>
              <w:bottom w:val="single" w:sz="8" w:space="0" w:color="auto"/>
              <w:right w:val="single" w:sz="4" w:space="0" w:color="auto"/>
            </w:tcBorders>
            <w:shd w:val="clear" w:color="auto" w:fill="auto"/>
            <w:noWrap/>
            <w:vAlign w:val="bottom"/>
            <w:hideMark/>
          </w:tcPr>
          <w:p w14:paraId="53B0939E"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28 195</w:t>
            </w:r>
          </w:p>
        </w:tc>
        <w:tc>
          <w:tcPr>
            <w:tcW w:w="367" w:type="pct"/>
            <w:tcBorders>
              <w:top w:val="single" w:sz="4" w:space="0" w:color="auto"/>
              <w:left w:val="nil"/>
              <w:bottom w:val="single" w:sz="8" w:space="0" w:color="auto"/>
              <w:right w:val="single" w:sz="8" w:space="0" w:color="auto"/>
            </w:tcBorders>
            <w:shd w:val="clear" w:color="auto" w:fill="auto"/>
            <w:noWrap/>
            <w:vAlign w:val="bottom"/>
            <w:hideMark/>
          </w:tcPr>
          <w:p w14:paraId="381C07DD"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26 663</w:t>
            </w:r>
          </w:p>
        </w:tc>
        <w:tc>
          <w:tcPr>
            <w:tcW w:w="367" w:type="pct"/>
            <w:tcBorders>
              <w:top w:val="single" w:sz="4" w:space="0" w:color="auto"/>
              <w:left w:val="nil"/>
              <w:bottom w:val="single" w:sz="8" w:space="0" w:color="auto"/>
              <w:right w:val="single" w:sz="8" w:space="0" w:color="auto"/>
            </w:tcBorders>
            <w:vAlign w:val="bottom"/>
          </w:tcPr>
          <w:p w14:paraId="26667F9B"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37 360</w:t>
            </w:r>
          </w:p>
        </w:tc>
        <w:tc>
          <w:tcPr>
            <w:tcW w:w="367" w:type="pct"/>
            <w:tcBorders>
              <w:top w:val="single" w:sz="4" w:space="0" w:color="auto"/>
              <w:left w:val="nil"/>
              <w:bottom w:val="single" w:sz="8" w:space="0" w:color="auto"/>
              <w:right w:val="single" w:sz="8" w:space="0" w:color="auto"/>
            </w:tcBorders>
            <w:vAlign w:val="bottom"/>
          </w:tcPr>
          <w:p w14:paraId="453A1A60"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18 724</w:t>
            </w:r>
          </w:p>
        </w:tc>
      </w:tr>
    </w:tbl>
    <w:p w14:paraId="753FB17A" w14:textId="0A8A0B0B" w:rsidR="00A16DDB" w:rsidRPr="00D95127" w:rsidRDefault="00A16DDB" w:rsidP="00D95127">
      <w:pPr>
        <w:pStyle w:val="UZEIZdroj"/>
      </w:pPr>
      <w:r w:rsidRPr="00D95127">
        <w:t>Pramen: MZe 2010-2019, SZIF 2020</w:t>
      </w:r>
    </w:p>
    <w:p w14:paraId="27889107" w14:textId="7A465B2E" w:rsidR="00A16DDB" w:rsidRDefault="00A16DDB" w:rsidP="00D95127">
      <w:pPr>
        <w:pStyle w:val="UZEINormaln"/>
      </w:pPr>
      <w:r w:rsidRPr="00D95127">
        <w:t>Nedostatek vody v půdním profilu se v současné době stává stále závažnějším problémem, proto je nezbytné realizovat opatření pro zmírnění negativních dopadů sucha a nedostatku vody v krajině i v půdě. Kapková závlaha je jedním z důležitých opatření v rámci boje se suchem, jde o způsob zavlažování, kterým se docílí stabilita produkce a zvýšení její kvality při minimalizaci spotřeby vody. Pokud by vybudování kapkové závlahy nebylo podpořeno přímou dotací, tato investice by se nerealizovala, a to především k vysokým investičním nákladům na vybudování kapkové závlahy a dlouhé době návratnosti investice, proto je nutné v této podpoře pokračovat i nadále.</w:t>
      </w:r>
    </w:p>
    <w:p w14:paraId="7879CFB1" w14:textId="77777777" w:rsidR="00D95127" w:rsidRPr="00D95127" w:rsidRDefault="00D95127" w:rsidP="00D95127">
      <w:pPr>
        <w:pStyle w:val="UZEINormaln"/>
      </w:pPr>
    </w:p>
    <w:p w14:paraId="3D308F30" w14:textId="77777777" w:rsidR="00A16DDB" w:rsidRPr="00D95127" w:rsidRDefault="00A16DDB" w:rsidP="00D95127">
      <w:pPr>
        <w:pStyle w:val="UZEINormaln"/>
        <w:rPr>
          <w:u w:val="single"/>
        </w:rPr>
      </w:pPr>
    </w:p>
    <w:p w14:paraId="7E7E74F0" w14:textId="08B69804" w:rsidR="00A16DDB" w:rsidRPr="00D95127" w:rsidRDefault="00A16DDB" w:rsidP="00D95127">
      <w:pPr>
        <w:pStyle w:val="UZEINormaln"/>
      </w:pPr>
      <w:r w:rsidRPr="00D95127">
        <w:t xml:space="preserve">Dále je v rámci národních dotací využíván titul </w:t>
      </w:r>
      <w:r w:rsidRPr="00D95127">
        <w:rPr>
          <w:b/>
        </w:rPr>
        <w:t>3.d</w:t>
      </w:r>
      <w:r w:rsidRPr="00D95127">
        <w:t xml:space="preserve"> „ Podpora šlechtění révy vinné, zaměřeného na vyšší odolnost proti škodlivým biotickým a abiotickým činitelům a odpovídající kvalitu výsledné produkce“, titul </w:t>
      </w:r>
      <w:r w:rsidRPr="00D95127">
        <w:rPr>
          <w:b/>
        </w:rPr>
        <w:t>9.A.b.I</w:t>
      </w:r>
      <w:r w:rsidRPr="00D95127">
        <w:t xml:space="preserve"> „Vydání publikací doporučovaných odrůd a souvisejících informací, poskytovaných pěstitelům zdarma“, titul </w:t>
      </w:r>
      <w:r w:rsidRPr="00D95127">
        <w:rPr>
          <w:b/>
        </w:rPr>
        <w:t>10.D</w:t>
      </w:r>
      <w:r w:rsidRPr="00D95127">
        <w:t xml:space="preserve"> „Podpora evropské integrace nevládních organizací“ (Svaz vinařů ČR) a titul </w:t>
      </w:r>
      <w:r w:rsidRPr="00D95127">
        <w:rPr>
          <w:b/>
        </w:rPr>
        <w:t>13.A</w:t>
      </w:r>
      <w:r w:rsidRPr="00D95127">
        <w:t xml:space="preserve"> „Podpora zpracování zemědělských produktů a zvyšování konkurenceschopnosti potravinářského průmyslu“.</w:t>
      </w:r>
    </w:p>
    <w:p w14:paraId="54592129" w14:textId="08D324CF" w:rsidR="00A16DDB" w:rsidRPr="00D95127" w:rsidRDefault="00D95127" w:rsidP="00D95127">
      <w:pPr>
        <w:pStyle w:val="UZEITaB"/>
      </w:pPr>
      <w:r>
        <w:t xml:space="preserve"> </w:t>
      </w:r>
      <w:bookmarkStart w:id="222" w:name="_Toc81738449"/>
      <w:r w:rsidR="00A16DDB" w:rsidRPr="00D95127">
        <w:t>Přehled vysazených a restrukturalizovaných vinic (v ha)</w:t>
      </w:r>
      <w:bookmarkEnd w:id="222"/>
    </w:p>
    <w:tbl>
      <w:tblPr>
        <w:tblW w:w="5000" w:type="pct"/>
        <w:jc w:val="center"/>
        <w:tblLayout w:type="fixed"/>
        <w:tblCellMar>
          <w:left w:w="70" w:type="dxa"/>
          <w:right w:w="70" w:type="dxa"/>
        </w:tblCellMar>
        <w:tblLook w:val="04A0" w:firstRow="1" w:lastRow="0" w:firstColumn="1" w:lastColumn="0" w:noHBand="0" w:noVBand="1"/>
      </w:tblPr>
      <w:tblGrid>
        <w:gridCol w:w="2822"/>
        <w:gridCol w:w="996"/>
        <w:gridCol w:w="994"/>
        <w:gridCol w:w="849"/>
        <w:gridCol w:w="849"/>
        <w:gridCol w:w="849"/>
        <w:gridCol w:w="849"/>
        <w:gridCol w:w="844"/>
      </w:tblGrid>
      <w:tr w:rsidR="00A16DDB" w:rsidRPr="00D95127" w14:paraId="0176156C" w14:textId="77777777" w:rsidTr="007A627A">
        <w:trPr>
          <w:trHeight w:val="300"/>
          <w:jc w:val="center"/>
        </w:trPr>
        <w:tc>
          <w:tcPr>
            <w:tcW w:w="1559" w:type="pct"/>
            <w:tcBorders>
              <w:top w:val="single" w:sz="8" w:space="0" w:color="auto"/>
              <w:left w:val="single" w:sz="8" w:space="0" w:color="auto"/>
              <w:bottom w:val="single" w:sz="4" w:space="0" w:color="auto"/>
              <w:right w:val="single" w:sz="4" w:space="0" w:color="auto"/>
            </w:tcBorders>
            <w:noWrap/>
            <w:vAlign w:val="bottom"/>
            <w:hideMark/>
          </w:tcPr>
          <w:p w14:paraId="7A59F30A" w14:textId="77777777" w:rsidR="00A16DDB" w:rsidRPr="00D95127" w:rsidRDefault="00A16DDB" w:rsidP="007A627A">
            <w:pPr>
              <w:rPr>
                <w:rFonts w:eastAsia="Times New Roman" w:cs="Times New Roman"/>
                <w:i/>
                <w:color w:val="44546A" w:themeColor="text2"/>
                <w:sz w:val="20"/>
                <w:szCs w:val="20"/>
                <w:lang w:val="cs-CZ" w:eastAsia="cs-CZ"/>
              </w:rPr>
            </w:pPr>
          </w:p>
        </w:tc>
        <w:tc>
          <w:tcPr>
            <w:tcW w:w="550" w:type="pct"/>
            <w:tcBorders>
              <w:top w:val="single" w:sz="8" w:space="0" w:color="auto"/>
              <w:left w:val="nil"/>
              <w:bottom w:val="single" w:sz="4" w:space="0" w:color="auto"/>
              <w:right w:val="single" w:sz="4" w:space="0" w:color="auto"/>
            </w:tcBorders>
            <w:noWrap/>
            <w:vAlign w:val="center"/>
            <w:hideMark/>
          </w:tcPr>
          <w:p w14:paraId="67CDBBF8" w14:textId="77777777" w:rsidR="00A16DDB" w:rsidRPr="00D95127" w:rsidRDefault="00A16DDB" w:rsidP="007A627A">
            <w:pPr>
              <w:jc w:val="center"/>
              <w:rPr>
                <w:rFonts w:eastAsia="Times New Roman" w:cs="Times New Roman"/>
                <w:b/>
                <w:color w:val="000000"/>
                <w:sz w:val="20"/>
                <w:szCs w:val="20"/>
                <w:lang w:val="cs-CZ" w:eastAsia="cs-CZ"/>
              </w:rPr>
            </w:pPr>
            <w:r w:rsidRPr="00D95127">
              <w:rPr>
                <w:rFonts w:eastAsia="Times New Roman" w:cs="Times New Roman"/>
                <w:b/>
                <w:color w:val="000000"/>
                <w:sz w:val="20"/>
                <w:szCs w:val="20"/>
                <w:lang w:val="cs-CZ" w:eastAsia="cs-CZ"/>
              </w:rPr>
              <w:t>2014</w:t>
            </w:r>
          </w:p>
        </w:tc>
        <w:tc>
          <w:tcPr>
            <w:tcW w:w="549" w:type="pct"/>
            <w:tcBorders>
              <w:top w:val="single" w:sz="8" w:space="0" w:color="auto"/>
              <w:left w:val="nil"/>
              <w:bottom w:val="single" w:sz="4" w:space="0" w:color="auto"/>
              <w:right w:val="single" w:sz="4" w:space="0" w:color="auto"/>
            </w:tcBorders>
            <w:noWrap/>
            <w:vAlign w:val="center"/>
            <w:hideMark/>
          </w:tcPr>
          <w:p w14:paraId="5AB10451" w14:textId="77777777" w:rsidR="00A16DDB" w:rsidRPr="00D95127" w:rsidRDefault="00A16DDB" w:rsidP="007A627A">
            <w:pPr>
              <w:jc w:val="center"/>
              <w:rPr>
                <w:rFonts w:eastAsia="Times New Roman" w:cs="Times New Roman"/>
                <w:b/>
                <w:color w:val="000000"/>
                <w:sz w:val="20"/>
                <w:szCs w:val="20"/>
                <w:lang w:val="cs-CZ" w:eastAsia="cs-CZ"/>
              </w:rPr>
            </w:pPr>
            <w:r w:rsidRPr="00D95127">
              <w:rPr>
                <w:rFonts w:eastAsia="Times New Roman" w:cs="Times New Roman"/>
                <w:b/>
                <w:color w:val="000000"/>
                <w:sz w:val="20"/>
                <w:szCs w:val="20"/>
                <w:lang w:val="cs-CZ" w:eastAsia="cs-CZ"/>
              </w:rPr>
              <w:t>2015</w:t>
            </w:r>
          </w:p>
        </w:tc>
        <w:tc>
          <w:tcPr>
            <w:tcW w:w="469" w:type="pct"/>
            <w:tcBorders>
              <w:top w:val="single" w:sz="8" w:space="0" w:color="auto"/>
              <w:left w:val="nil"/>
              <w:bottom w:val="single" w:sz="4" w:space="0" w:color="auto"/>
              <w:right w:val="single" w:sz="4" w:space="0" w:color="auto"/>
            </w:tcBorders>
            <w:noWrap/>
            <w:vAlign w:val="center"/>
            <w:hideMark/>
          </w:tcPr>
          <w:p w14:paraId="53FF6E7E" w14:textId="77777777" w:rsidR="00A16DDB" w:rsidRPr="00D95127" w:rsidRDefault="00A16DDB" w:rsidP="007A627A">
            <w:pPr>
              <w:jc w:val="center"/>
              <w:rPr>
                <w:rFonts w:eastAsia="Times New Roman" w:cs="Times New Roman"/>
                <w:b/>
                <w:color w:val="000000"/>
                <w:sz w:val="20"/>
                <w:szCs w:val="20"/>
                <w:lang w:val="cs-CZ" w:eastAsia="cs-CZ"/>
              </w:rPr>
            </w:pPr>
            <w:r w:rsidRPr="00D95127">
              <w:rPr>
                <w:rFonts w:eastAsia="Times New Roman" w:cs="Times New Roman"/>
                <w:b/>
                <w:color w:val="000000"/>
                <w:sz w:val="20"/>
                <w:szCs w:val="20"/>
                <w:lang w:val="cs-CZ" w:eastAsia="cs-CZ"/>
              </w:rPr>
              <w:t>2016</w:t>
            </w:r>
          </w:p>
        </w:tc>
        <w:tc>
          <w:tcPr>
            <w:tcW w:w="469" w:type="pct"/>
            <w:tcBorders>
              <w:top w:val="single" w:sz="8" w:space="0" w:color="auto"/>
              <w:left w:val="nil"/>
              <w:bottom w:val="single" w:sz="4" w:space="0" w:color="auto"/>
              <w:right w:val="single" w:sz="4" w:space="0" w:color="auto"/>
            </w:tcBorders>
            <w:noWrap/>
            <w:vAlign w:val="center"/>
            <w:hideMark/>
          </w:tcPr>
          <w:p w14:paraId="093EB42A" w14:textId="77777777" w:rsidR="00A16DDB" w:rsidRPr="00D95127" w:rsidRDefault="00A16DDB" w:rsidP="007A627A">
            <w:pPr>
              <w:jc w:val="center"/>
              <w:rPr>
                <w:rFonts w:eastAsia="Times New Roman" w:cs="Times New Roman"/>
                <w:b/>
                <w:color w:val="000000"/>
                <w:sz w:val="20"/>
                <w:szCs w:val="20"/>
                <w:lang w:val="cs-CZ" w:eastAsia="cs-CZ"/>
              </w:rPr>
            </w:pPr>
            <w:r w:rsidRPr="00D95127">
              <w:rPr>
                <w:rFonts w:eastAsia="Times New Roman" w:cs="Times New Roman"/>
                <w:b/>
                <w:color w:val="000000"/>
                <w:sz w:val="20"/>
                <w:szCs w:val="20"/>
                <w:lang w:val="cs-CZ" w:eastAsia="cs-CZ"/>
              </w:rPr>
              <w:t>2017</w:t>
            </w:r>
          </w:p>
        </w:tc>
        <w:tc>
          <w:tcPr>
            <w:tcW w:w="469" w:type="pct"/>
            <w:tcBorders>
              <w:top w:val="single" w:sz="8" w:space="0" w:color="auto"/>
              <w:left w:val="nil"/>
              <w:bottom w:val="single" w:sz="4" w:space="0" w:color="auto"/>
              <w:right w:val="single" w:sz="8" w:space="0" w:color="auto"/>
            </w:tcBorders>
            <w:noWrap/>
            <w:vAlign w:val="center"/>
            <w:hideMark/>
          </w:tcPr>
          <w:p w14:paraId="4592614F" w14:textId="77777777" w:rsidR="00A16DDB" w:rsidRPr="00D95127" w:rsidRDefault="00A16DDB" w:rsidP="007A627A">
            <w:pPr>
              <w:jc w:val="center"/>
              <w:rPr>
                <w:rFonts w:eastAsia="Times New Roman" w:cs="Times New Roman"/>
                <w:b/>
                <w:color w:val="000000"/>
                <w:sz w:val="20"/>
                <w:szCs w:val="20"/>
                <w:lang w:val="cs-CZ" w:eastAsia="cs-CZ"/>
              </w:rPr>
            </w:pPr>
            <w:r w:rsidRPr="00D95127">
              <w:rPr>
                <w:rFonts w:eastAsia="Times New Roman" w:cs="Times New Roman"/>
                <w:b/>
                <w:color w:val="000000"/>
                <w:sz w:val="20"/>
                <w:szCs w:val="20"/>
                <w:lang w:val="cs-CZ" w:eastAsia="cs-CZ"/>
              </w:rPr>
              <w:t>2018</w:t>
            </w:r>
          </w:p>
        </w:tc>
        <w:tc>
          <w:tcPr>
            <w:tcW w:w="469" w:type="pct"/>
            <w:tcBorders>
              <w:top w:val="single" w:sz="8" w:space="0" w:color="auto"/>
              <w:left w:val="nil"/>
              <w:bottom w:val="single" w:sz="4" w:space="0" w:color="auto"/>
              <w:right w:val="single" w:sz="8" w:space="0" w:color="auto"/>
            </w:tcBorders>
            <w:vAlign w:val="center"/>
          </w:tcPr>
          <w:p w14:paraId="1BABFA6E" w14:textId="77777777" w:rsidR="00A16DDB" w:rsidRPr="00D95127" w:rsidRDefault="00A16DDB" w:rsidP="007A627A">
            <w:pPr>
              <w:jc w:val="center"/>
              <w:rPr>
                <w:rFonts w:eastAsia="Times New Roman" w:cs="Times New Roman"/>
                <w:b/>
                <w:color w:val="000000"/>
                <w:sz w:val="20"/>
                <w:szCs w:val="20"/>
                <w:lang w:val="cs-CZ" w:eastAsia="cs-CZ"/>
              </w:rPr>
            </w:pPr>
            <w:r w:rsidRPr="00D95127">
              <w:rPr>
                <w:rFonts w:eastAsia="Times New Roman" w:cs="Times New Roman"/>
                <w:b/>
                <w:color w:val="000000"/>
                <w:sz w:val="20"/>
                <w:szCs w:val="20"/>
                <w:lang w:val="cs-CZ" w:eastAsia="cs-CZ"/>
              </w:rPr>
              <w:t>2019</w:t>
            </w:r>
          </w:p>
        </w:tc>
        <w:tc>
          <w:tcPr>
            <w:tcW w:w="469" w:type="pct"/>
            <w:tcBorders>
              <w:top w:val="single" w:sz="8" w:space="0" w:color="auto"/>
              <w:left w:val="nil"/>
              <w:bottom w:val="single" w:sz="4" w:space="0" w:color="auto"/>
              <w:right w:val="single" w:sz="8" w:space="0" w:color="auto"/>
            </w:tcBorders>
            <w:vAlign w:val="center"/>
          </w:tcPr>
          <w:p w14:paraId="2FB30290" w14:textId="77777777" w:rsidR="00A16DDB" w:rsidRPr="00D95127" w:rsidRDefault="00A16DDB" w:rsidP="007A627A">
            <w:pPr>
              <w:jc w:val="center"/>
              <w:rPr>
                <w:rFonts w:eastAsia="Times New Roman" w:cs="Times New Roman"/>
                <w:b/>
                <w:color w:val="000000"/>
                <w:sz w:val="20"/>
                <w:szCs w:val="20"/>
                <w:lang w:val="cs-CZ" w:eastAsia="cs-CZ"/>
              </w:rPr>
            </w:pPr>
            <w:r w:rsidRPr="00D95127">
              <w:rPr>
                <w:rFonts w:eastAsia="Times New Roman" w:cs="Times New Roman"/>
                <w:b/>
                <w:color w:val="000000"/>
                <w:sz w:val="20"/>
                <w:szCs w:val="20"/>
                <w:lang w:val="cs-CZ" w:eastAsia="cs-CZ"/>
              </w:rPr>
              <w:t>2020</w:t>
            </w:r>
          </w:p>
        </w:tc>
      </w:tr>
      <w:tr w:rsidR="00A16DDB" w:rsidRPr="00D95127" w14:paraId="36AC7F1F" w14:textId="77777777" w:rsidTr="007A627A">
        <w:trPr>
          <w:trHeight w:val="300"/>
          <w:jc w:val="center"/>
        </w:trPr>
        <w:tc>
          <w:tcPr>
            <w:tcW w:w="1559" w:type="pct"/>
            <w:tcBorders>
              <w:top w:val="nil"/>
              <w:left w:val="single" w:sz="8" w:space="0" w:color="auto"/>
              <w:bottom w:val="single" w:sz="4" w:space="0" w:color="auto"/>
              <w:right w:val="single" w:sz="4" w:space="0" w:color="auto"/>
            </w:tcBorders>
            <w:noWrap/>
            <w:vAlign w:val="bottom"/>
            <w:hideMark/>
          </w:tcPr>
          <w:p w14:paraId="2A20922C"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Výsadba Registr vinic</w:t>
            </w:r>
          </w:p>
        </w:tc>
        <w:tc>
          <w:tcPr>
            <w:tcW w:w="550" w:type="pct"/>
            <w:tcBorders>
              <w:top w:val="nil"/>
              <w:left w:val="nil"/>
              <w:bottom w:val="single" w:sz="4" w:space="0" w:color="auto"/>
              <w:right w:val="single" w:sz="4" w:space="0" w:color="auto"/>
            </w:tcBorders>
            <w:noWrap/>
            <w:vAlign w:val="center"/>
            <w:hideMark/>
          </w:tcPr>
          <w:p w14:paraId="3E9475D5"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347,71</w:t>
            </w:r>
          </w:p>
        </w:tc>
        <w:tc>
          <w:tcPr>
            <w:tcW w:w="549" w:type="pct"/>
            <w:tcBorders>
              <w:top w:val="nil"/>
              <w:left w:val="nil"/>
              <w:bottom w:val="single" w:sz="4" w:space="0" w:color="auto"/>
              <w:right w:val="single" w:sz="4" w:space="0" w:color="auto"/>
            </w:tcBorders>
            <w:noWrap/>
            <w:vAlign w:val="center"/>
            <w:hideMark/>
          </w:tcPr>
          <w:p w14:paraId="6079352C"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434,56</w:t>
            </w:r>
          </w:p>
        </w:tc>
        <w:tc>
          <w:tcPr>
            <w:tcW w:w="469" w:type="pct"/>
            <w:tcBorders>
              <w:top w:val="nil"/>
              <w:left w:val="nil"/>
              <w:bottom w:val="single" w:sz="4" w:space="0" w:color="auto"/>
              <w:right w:val="single" w:sz="4" w:space="0" w:color="auto"/>
            </w:tcBorders>
            <w:noWrap/>
            <w:vAlign w:val="center"/>
            <w:hideMark/>
          </w:tcPr>
          <w:p w14:paraId="24F9B167"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454,50</w:t>
            </w:r>
          </w:p>
        </w:tc>
        <w:tc>
          <w:tcPr>
            <w:tcW w:w="469" w:type="pct"/>
            <w:tcBorders>
              <w:top w:val="nil"/>
              <w:left w:val="nil"/>
              <w:bottom w:val="single" w:sz="4" w:space="0" w:color="auto"/>
              <w:right w:val="single" w:sz="4" w:space="0" w:color="auto"/>
            </w:tcBorders>
            <w:noWrap/>
            <w:vAlign w:val="center"/>
            <w:hideMark/>
          </w:tcPr>
          <w:p w14:paraId="1A177CC9"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506,38</w:t>
            </w:r>
          </w:p>
        </w:tc>
        <w:tc>
          <w:tcPr>
            <w:tcW w:w="469" w:type="pct"/>
            <w:tcBorders>
              <w:top w:val="nil"/>
              <w:left w:val="nil"/>
              <w:bottom w:val="single" w:sz="4" w:space="0" w:color="auto"/>
              <w:right w:val="single" w:sz="8" w:space="0" w:color="auto"/>
            </w:tcBorders>
            <w:noWrap/>
            <w:vAlign w:val="center"/>
            <w:hideMark/>
          </w:tcPr>
          <w:p w14:paraId="121ADF9F"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490,13</w:t>
            </w:r>
          </w:p>
        </w:tc>
        <w:tc>
          <w:tcPr>
            <w:tcW w:w="469" w:type="pct"/>
            <w:tcBorders>
              <w:top w:val="nil"/>
              <w:left w:val="nil"/>
              <w:bottom w:val="single" w:sz="4" w:space="0" w:color="auto"/>
              <w:right w:val="single" w:sz="8" w:space="0" w:color="auto"/>
            </w:tcBorders>
            <w:vAlign w:val="center"/>
          </w:tcPr>
          <w:p w14:paraId="2C019DDF"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416,76</w:t>
            </w:r>
          </w:p>
        </w:tc>
        <w:tc>
          <w:tcPr>
            <w:tcW w:w="469" w:type="pct"/>
            <w:tcBorders>
              <w:top w:val="nil"/>
              <w:left w:val="nil"/>
              <w:bottom w:val="single" w:sz="4" w:space="0" w:color="auto"/>
              <w:right w:val="single" w:sz="8" w:space="0" w:color="auto"/>
            </w:tcBorders>
            <w:vAlign w:val="center"/>
          </w:tcPr>
          <w:p w14:paraId="551235F3"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296,03</w:t>
            </w:r>
          </w:p>
        </w:tc>
      </w:tr>
      <w:tr w:rsidR="00A16DDB" w:rsidRPr="00D95127" w14:paraId="577F3E5D" w14:textId="77777777" w:rsidTr="007A627A">
        <w:trPr>
          <w:trHeight w:val="315"/>
          <w:jc w:val="center"/>
        </w:trPr>
        <w:tc>
          <w:tcPr>
            <w:tcW w:w="1559" w:type="pct"/>
            <w:tcBorders>
              <w:top w:val="nil"/>
              <w:left w:val="single" w:sz="8" w:space="0" w:color="auto"/>
              <w:bottom w:val="single" w:sz="8" w:space="0" w:color="auto"/>
              <w:right w:val="single" w:sz="4" w:space="0" w:color="auto"/>
            </w:tcBorders>
            <w:noWrap/>
            <w:vAlign w:val="bottom"/>
            <w:hideMark/>
          </w:tcPr>
          <w:p w14:paraId="1295ABEB"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Restrukturalizace</w:t>
            </w:r>
          </w:p>
        </w:tc>
        <w:tc>
          <w:tcPr>
            <w:tcW w:w="550" w:type="pct"/>
            <w:tcBorders>
              <w:top w:val="nil"/>
              <w:left w:val="nil"/>
              <w:bottom w:val="single" w:sz="8" w:space="0" w:color="auto"/>
              <w:right w:val="single" w:sz="4" w:space="0" w:color="auto"/>
            </w:tcBorders>
            <w:noWrap/>
            <w:vAlign w:val="center"/>
            <w:hideMark/>
          </w:tcPr>
          <w:p w14:paraId="12F1202E"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479</w:t>
            </w:r>
          </w:p>
        </w:tc>
        <w:tc>
          <w:tcPr>
            <w:tcW w:w="549" w:type="pct"/>
            <w:tcBorders>
              <w:top w:val="nil"/>
              <w:left w:val="nil"/>
              <w:bottom w:val="single" w:sz="8" w:space="0" w:color="auto"/>
              <w:right w:val="single" w:sz="4" w:space="0" w:color="auto"/>
            </w:tcBorders>
            <w:noWrap/>
            <w:vAlign w:val="center"/>
            <w:hideMark/>
          </w:tcPr>
          <w:p w14:paraId="476C34F7"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262</w:t>
            </w:r>
          </w:p>
        </w:tc>
        <w:tc>
          <w:tcPr>
            <w:tcW w:w="469" w:type="pct"/>
            <w:tcBorders>
              <w:top w:val="nil"/>
              <w:left w:val="nil"/>
              <w:bottom w:val="single" w:sz="8" w:space="0" w:color="auto"/>
              <w:right w:val="single" w:sz="4" w:space="0" w:color="auto"/>
            </w:tcBorders>
            <w:noWrap/>
            <w:vAlign w:val="center"/>
            <w:hideMark/>
          </w:tcPr>
          <w:p w14:paraId="1D38C0AC"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299</w:t>
            </w:r>
          </w:p>
        </w:tc>
        <w:tc>
          <w:tcPr>
            <w:tcW w:w="469" w:type="pct"/>
            <w:tcBorders>
              <w:top w:val="nil"/>
              <w:left w:val="nil"/>
              <w:bottom w:val="single" w:sz="8" w:space="0" w:color="auto"/>
              <w:right w:val="single" w:sz="4" w:space="0" w:color="auto"/>
            </w:tcBorders>
            <w:noWrap/>
            <w:vAlign w:val="center"/>
            <w:hideMark/>
          </w:tcPr>
          <w:p w14:paraId="25445144"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287</w:t>
            </w:r>
          </w:p>
        </w:tc>
        <w:tc>
          <w:tcPr>
            <w:tcW w:w="469" w:type="pct"/>
            <w:tcBorders>
              <w:top w:val="nil"/>
              <w:left w:val="nil"/>
              <w:bottom w:val="single" w:sz="8" w:space="0" w:color="auto"/>
              <w:right w:val="single" w:sz="8" w:space="0" w:color="auto"/>
            </w:tcBorders>
            <w:noWrap/>
            <w:vAlign w:val="center"/>
            <w:hideMark/>
          </w:tcPr>
          <w:p w14:paraId="48EE5BD2"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260</w:t>
            </w:r>
          </w:p>
        </w:tc>
        <w:tc>
          <w:tcPr>
            <w:tcW w:w="469" w:type="pct"/>
            <w:tcBorders>
              <w:top w:val="nil"/>
              <w:left w:val="nil"/>
              <w:bottom w:val="single" w:sz="8" w:space="0" w:color="auto"/>
              <w:right w:val="single" w:sz="8" w:space="0" w:color="auto"/>
            </w:tcBorders>
            <w:vAlign w:val="center"/>
          </w:tcPr>
          <w:p w14:paraId="7B455104"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213</w:t>
            </w:r>
          </w:p>
        </w:tc>
        <w:tc>
          <w:tcPr>
            <w:tcW w:w="469" w:type="pct"/>
            <w:tcBorders>
              <w:top w:val="nil"/>
              <w:left w:val="nil"/>
              <w:bottom w:val="single" w:sz="8" w:space="0" w:color="auto"/>
              <w:right w:val="single" w:sz="8" w:space="0" w:color="auto"/>
            </w:tcBorders>
            <w:vAlign w:val="center"/>
          </w:tcPr>
          <w:p w14:paraId="2D41FC77"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159</w:t>
            </w:r>
          </w:p>
        </w:tc>
      </w:tr>
    </w:tbl>
    <w:p w14:paraId="47886D85" w14:textId="77777777" w:rsidR="00A16DDB" w:rsidRPr="00D95127" w:rsidRDefault="00A16DDB" w:rsidP="00A16DDB">
      <w:pPr>
        <w:rPr>
          <w:rFonts w:eastAsia="Times New Roman" w:cs="Times New Roman"/>
          <w:i/>
          <w:sz w:val="20"/>
          <w:szCs w:val="20"/>
          <w:lang w:val="cs-CZ" w:eastAsia="cs-CZ"/>
        </w:rPr>
      </w:pPr>
      <w:r w:rsidRPr="00D95127">
        <w:rPr>
          <w:rFonts w:eastAsia="Times New Roman" w:cs="Times New Roman"/>
          <w:i/>
          <w:sz w:val="20"/>
          <w:szCs w:val="20"/>
          <w:lang w:val="cs-CZ" w:eastAsia="cs-CZ"/>
        </w:rPr>
        <w:t>Poznámka: U restrukturalizace je hodnocené období za finanční rok (16. 10.-15. 10.)</w:t>
      </w:r>
    </w:p>
    <w:p w14:paraId="57DE6B32" w14:textId="77777777" w:rsidR="00A16DDB" w:rsidRPr="00D95127" w:rsidRDefault="00A16DDB" w:rsidP="00A16DDB">
      <w:pPr>
        <w:rPr>
          <w:rFonts w:eastAsia="Times New Roman" w:cs="Times New Roman"/>
          <w:i/>
          <w:sz w:val="20"/>
          <w:szCs w:val="20"/>
          <w:lang w:val="cs-CZ" w:eastAsia="cs-CZ"/>
        </w:rPr>
      </w:pPr>
      <w:r w:rsidRPr="00D95127">
        <w:rPr>
          <w:rFonts w:eastAsia="Times New Roman" w:cs="Times New Roman"/>
          <w:i/>
          <w:sz w:val="20"/>
          <w:szCs w:val="20"/>
          <w:lang w:val="cs-CZ" w:eastAsia="cs-CZ"/>
        </w:rPr>
        <w:t>Zdroj: ÚKZUZ, SZIF</w:t>
      </w:r>
    </w:p>
    <w:p w14:paraId="7EDCCAA0" w14:textId="743063A8" w:rsidR="00A16DDB" w:rsidRPr="00D95127" w:rsidRDefault="00A16DDB" w:rsidP="00D95127">
      <w:pPr>
        <w:pStyle w:val="UZEINormaln"/>
      </w:pPr>
      <w:r w:rsidRPr="00D95127">
        <w:t>Nově vysazované vinice přispívají ke generační obměně vinic. V rámci restrukturalizace dochází nejčastěji rovněž k výsadbě nových jedinců v rámci změny odrůdové skladby. Vzhledem k věkové struktuře vinic by bylo vhodné plochy těchto výsadeb udržet nebo lépe je navýšit.</w:t>
      </w:r>
    </w:p>
    <w:p w14:paraId="3A820A32" w14:textId="2A655005" w:rsidR="00A16DDB" w:rsidRPr="00D95127" w:rsidRDefault="00D95127" w:rsidP="00D95127">
      <w:pPr>
        <w:spacing w:after="160" w:line="259" w:lineRule="auto"/>
        <w:jc w:val="left"/>
        <w:rPr>
          <w:rFonts w:cs="Times New Roman"/>
          <w:szCs w:val="24"/>
          <w:lang w:val="cs-CZ"/>
        </w:rPr>
      </w:pPr>
      <w:r>
        <w:rPr>
          <w:rFonts w:cs="Times New Roman"/>
          <w:szCs w:val="24"/>
          <w:lang w:val="cs-CZ"/>
        </w:rPr>
        <w:br w:type="page"/>
      </w:r>
    </w:p>
    <w:p w14:paraId="472973F3" w14:textId="77777777" w:rsidR="00A16DDB" w:rsidRPr="00D95127" w:rsidRDefault="00A16DDB" w:rsidP="00D95127">
      <w:pPr>
        <w:pStyle w:val="Nadpis1"/>
      </w:pPr>
      <w:bookmarkStart w:id="223" w:name="_Toc76137356"/>
      <w:bookmarkStart w:id="224" w:name="_Toc76637555"/>
      <w:bookmarkStart w:id="225" w:name="_Toc80953234"/>
      <w:bookmarkStart w:id="226" w:name="_Toc81739190"/>
      <w:r w:rsidRPr="00D95127">
        <w:t>Existence/neexistence možnosti efektivního řešení v rámci nástrojů SZP, které lze uvažovat v nových návrzích SZP</w:t>
      </w:r>
      <w:bookmarkEnd w:id="223"/>
      <w:bookmarkEnd w:id="224"/>
      <w:bookmarkEnd w:id="225"/>
      <w:bookmarkEnd w:id="226"/>
    </w:p>
    <w:p w14:paraId="1C520C51" w14:textId="77777777" w:rsidR="00A16DDB" w:rsidRPr="00D95127" w:rsidRDefault="00A16DDB" w:rsidP="00D95127">
      <w:pPr>
        <w:pStyle w:val="UZEINormaln"/>
      </w:pPr>
      <w:r w:rsidRPr="00D95127">
        <w:t>Níže uvedené potřeby v odvětví vinohradnictví a vinařství lze řešit financováním, a to jak v rámci SZP (investice do zemědělských podniků, investice v rámci operačních programů, podpora mladých zemědělců), tak i v rámci Národních podpor (podpora budování kapkových závlah, obnovy vinic, ….).</w:t>
      </w:r>
    </w:p>
    <w:p w14:paraId="12AF4D81" w14:textId="77777777" w:rsidR="00A16DDB" w:rsidRPr="00D95127" w:rsidRDefault="00A16DDB" w:rsidP="00D95127">
      <w:pPr>
        <w:pStyle w:val="UZEINormaln"/>
        <w:sectPr w:rsidR="00A16DDB" w:rsidRPr="00D95127" w:rsidSect="00C82CBD">
          <w:headerReference w:type="default" r:id="rId36"/>
          <w:footerReference w:type="default" r:id="rId37"/>
          <w:pgSz w:w="11906" w:h="16838"/>
          <w:pgMar w:top="1417" w:right="1417" w:bottom="1417" w:left="1417" w:header="708" w:footer="708" w:gutter="0"/>
          <w:cols w:space="708"/>
          <w:docGrid w:linePitch="360"/>
        </w:sectPr>
      </w:pPr>
      <w:r w:rsidRPr="00D95127">
        <w:t>Návrh řešení problémů a jejich příčin v celé škále provozních a strukturálních podpor je uveden v rámci teorie změny v následující tabulce.</w:t>
      </w:r>
    </w:p>
    <w:p w14:paraId="6A3D0BAD" w14:textId="622B4649" w:rsidR="00A16DDB" w:rsidRPr="00D95127" w:rsidRDefault="00A16DDB" w:rsidP="00D95127">
      <w:pPr>
        <w:pStyle w:val="UZEITaB"/>
      </w:pPr>
      <w:bookmarkStart w:id="227" w:name="_Toc81738450"/>
      <w:r w:rsidRPr="00D95127">
        <w:t>Teorie změny – víno</w:t>
      </w:r>
      <w:bookmarkEnd w:id="227"/>
    </w:p>
    <w:p w14:paraId="42F5E66E" w14:textId="77777777" w:rsidR="00A16DDB" w:rsidRPr="00D95127" w:rsidRDefault="00A16DDB" w:rsidP="00A16DDB">
      <w:pPr>
        <w:autoSpaceDE w:val="0"/>
        <w:autoSpaceDN w:val="0"/>
        <w:adjustRightInd w:val="0"/>
        <w:spacing w:line="240" w:lineRule="atLeast"/>
        <w:ind w:left="851" w:hanging="863"/>
        <w:contextualSpacing/>
        <w:rPr>
          <w:rFonts w:eastAsia="Times New Roman" w:cs="Times New Roman"/>
          <w:i/>
          <w:iCs/>
          <w:color w:val="44546A" w:themeColor="text2"/>
          <w:szCs w:val="24"/>
          <w:lang w:val="cs-CZ" w:eastAsia="cs-CZ"/>
        </w:rPr>
      </w:pPr>
    </w:p>
    <w:tbl>
      <w:tblPr>
        <w:tblW w:w="5113" w:type="pct"/>
        <w:tblCellMar>
          <w:left w:w="70" w:type="dxa"/>
          <w:right w:w="70" w:type="dxa"/>
        </w:tblCellMar>
        <w:tblLook w:val="04A0" w:firstRow="1" w:lastRow="0" w:firstColumn="1" w:lastColumn="0" w:noHBand="0" w:noVBand="1"/>
      </w:tblPr>
      <w:tblGrid>
        <w:gridCol w:w="2357"/>
        <w:gridCol w:w="2500"/>
        <w:gridCol w:w="2557"/>
        <w:gridCol w:w="2428"/>
        <w:gridCol w:w="1626"/>
        <w:gridCol w:w="1912"/>
        <w:gridCol w:w="2346"/>
      </w:tblGrid>
      <w:tr w:rsidR="00A16DDB" w:rsidRPr="006A0789" w14:paraId="2192040F" w14:textId="77777777" w:rsidTr="006A0789">
        <w:trPr>
          <w:trHeight w:val="694"/>
        </w:trPr>
        <w:tc>
          <w:tcPr>
            <w:tcW w:w="749"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6E95EA17" w14:textId="77777777" w:rsidR="00A16DDB" w:rsidRPr="006A0789" w:rsidRDefault="00A16DDB" w:rsidP="006A0789">
            <w:pPr>
              <w:rPr>
                <w:rFonts w:eastAsia="Times New Roman" w:cs="Times New Roman"/>
                <w:b/>
                <w:bCs/>
                <w:color w:val="000000"/>
                <w:sz w:val="18"/>
                <w:szCs w:val="18"/>
                <w:lang w:val="cs-CZ" w:eastAsia="cs-CZ"/>
              </w:rPr>
            </w:pPr>
            <w:r w:rsidRPr="006A0789">
              <w:rPr>
                <w:rFonts w:eastAsia="Times New Roman" w:cs="Times New Roman"/>
                <w:b/>
                <w:bCs/>
                <w:color w:val="000000"/>
                <w:sz w:val="18"/>
                <w:szCs w:val="18"/>
                <w:lang w:val="cs-CZ" w:eastAsia="cs-CZ"/>
              </w:rPr>
              <w:t>Problém</w:t>
            </w:r>
          </w:p>
        </w:tc>
        <w:tc>
          <w:tcPr>
            <w:tcW w:w="795" w:type="pct"/>
            <w:tcBorders>
              <w:top w:val="single" w:sz="8" w:space="0" w:color="auto"/>
              <w:left w:val="nil"/>
              <w:bottom w:val="single" w:sz="8" w:space="0" w:color="auto"/>
              <w:right w:val="single" w:sz="8" w:space="0" w:color="auto"/>
            </w:tcBorders>
            <w:shd w:val="clear" w:color="auto" w:fill="auto"/>
            <w:vAlign w:val="center"/>
            <w:hideMark/>
          </w:tcPr>
          <w:p w14:paraId="08427649" w14:textId="77777777" w:rsidR="00A16DDB" w:rsidRPr="006A0789" w:rsidRDefault="00A16DDB" w:rsidP="006A0789">
            <w:pPr>
              <w:rPr>
                <w:rFonts w:eastAsia="Times New Roman" w:cs="Times New Roman"/>
                <w:b/>
                <w:bCs/>
                <w:color w:val="000000"/>
                <w:sz w:val="18"/>
                <w:szCs w:val="18"/>
                <w:lang w:val="cs-CZ" w:eastAsia="cs-CZ"/>
              </w:rPr>
            </w:pPr>
            <w:r w:rsidRPr="006A0789">
              <w:rPr>
                <w:rFonts w:eastAsia="Times New Roman" w:cs="Times New Roman"/>
                <w:b/>
                <w:bCs/>
                <w:color w:val="000000"/>
                <w:sz w:val="18"/>
                <w:szCs w:val="18"/>
                <w:lang w:val="cs-CZ" w:eastAsia="cs-CZ"/>
              </w:rPr>
              <w:t>Příčiny</w:t>
            </w:r>
          </w:p>
        </w:tc>
        <w:tc>
          <w:tcPr>
            <w:tcW w:w="813" w:type="pct"/>
            <w:tcBorders>
              <w:top w:val="single" w:sz="8" w:space="0" w:color="auto"/>
              <w:left w:val="nil"/>
              <w:bottom w:val="single" w:sz="8" w:space="0" w:color="auto"/>
              <w:right w:val="single" w:sz="8" w:space="0" w:color="auto"/>
            </w:tcBorders>
            <w:shd w:val="clear" w:color="auto" w:fill="auto"/>
            <w:vAlign w:val="center"/>
            <w:hideMark/>
          </w:tcPr>
          <w:p w14:paraId="78C080CB" w14:textId="77777777" w:rsidR="00A16DDB" w:rsidRPr="006A0789" w:rsidRDefault="00A16DDB" w:rsidP="006A0789">
            <w:pPr>
              <w:rPr>
                <w:rFonts w:eastAsia="Times New Roman" w:cs="Times New Roman"/>
                <w:b/>
                <w:bCs/>
                <w:color w:val="000000"/>
                <w:sz w:val="18"/>
                <w:szCs w:val="18"/>
                <w:lang w:val="cs-CZ" w:eastAsia="cs-CZ"/>
              </w:rPr>
            </w:pPr>
            <w:r w:rsidRPr="006A0789">
              <w:rPr>
                <w:rFonts w:eastAsia="Times New Roman" w:cs="Times New Roman"/>
                <w:b/>
                <w:bCs/>
                <w:color w:val="000000"/>
                <w:sz w:val="18"/>
                <w:szCs w:val="18"/>
                <w:lang w:val="cs-CZ" w:eastAsia="cs-CZ"/>
              </w:rPr>
              <w:t>Převládající chování/reakce zemědělců</w:t>
            </w:r>
          </w:p>
        </w:tc>
        <w:tc>
          <w:tcPr>
            <w:tcW w:w="772" w:type="pct"/>
            <w:tcBorders>
              <w:top w:val="single" w:sz="8" w:space="0" w:color="auto"/>
              <w:left w:val="nil"/>
              <w:bottom w:val="single" w:sz="8" w:space="0" w:color="auto"/>
              <w:right w:val="single" w:sz="8" w:space="0" w:color="auto"/>
            </w:tcBorders>
            <w:shd w:val="clear" w:color="auto" w:fill="auto"/>
            <w:vAlign w:val="center"/>
            <w:hideMark/>
          </w:tcPr>
          <w:p w14:paraId="0C19E762" w14:textId="77777777" w:rsidR="00A16DDB" w:rsidRPr="006A0789" w:rsidRDefault="00A16DDB" w:rsidP="006A0789">
            <w:pPr>
              <w:rPr>
                <w:rFonts w:eastAsia="Times New Roman" w:cs="Times New Roman"/>
                <w:b/>
                <w:bCs/>
                <w:color w:val="000000"/>
                <w:sz w:val="18"/>
                <w:szCs w:val="18"/>
                <w:lang w:val="cs-CZ" w:eastAsia="cs-CZ"/>
              </w:rPr>
            </w:pPr>
            <w:r w:rsidRPr="006A0789">
              <w:rPr>
                <w:rFonts w:eastAsia="Times New Roman" w:cs="Times New Roman"/>
                <w:b/>
                <w:bCs/>
                <w:color w:val="000000"/>
                <w:sz w:val="18"/>
                <w:szCs w:val="18"/>
                <w:lang w:val="cs-CZ" w:eastAsia="cs-CZ"/>
              </w:rPr>
              <w:t>Nutná změna (potřeba)</w:t>
            </w:r>
          </w:p>
        </w:tc>
        <w:tc>
          <w:tcPr>
            <w:tcW w:w="517" w:type="pct"/>
            <w:tcBorders>
              <w:top w:val="single" w:sz="8" w:space="0" w:color="auto"/>
              <w:left w:val="nil"/>
              <w:bottom w:val="single" w:sz="8" w:space="0" w:color="auto"/>
              <w:right w:val="single" w:sz="8" w:space="0" w:color="auto"/>
            </w:tcBorders>
            <w:shd w:val="clear" w:color="auto" w:fill="auto"/>
            <w:vAlign w:val="center"/>
            <w:hideMark/>
          </w:tcPr>
          <w:p w14:paraId="58CE42FD" w14:textId="77777777" w:rsidR="00A16DDB" w:rsidRPr="006A0789" w:rsidRDefault="00A16DDB" w:rsidP="006A0789">
            <w:pPr>
              <w:rPr>
                <w:rFonts w:eastAsia="Times New Roman" w:cs="Times New Roman"/>
                <w:b/>
                <w:bCs/>
                <w:color w:val="000000"/>
                <w:sz w:val="18"/>
                <w:szCs w:val="18"/>
                <w:lang w:val="cs-CZ" w:eastAsia="cs-CZ"/>
              </w:rPr>
            </w:pPr>
            <w:r w:rsidRPr="006A0789">
              <w:rPr>
                <w:rFonts w:eastAsia="Times New Roman" w:cs="Times New Roman"/>
                <w:b/>
                <w:bCs/>
                <w:color w:val="000000"/>
                <w:sz w:val="18"/>
                <w:szCs w:val="18"/>
                <w:lang w:val="cs-CZ" w:eastAsia="cs-CZ"/>
              </w:rPr>
              <w:t>Kvantifikace potřeby</w:t>
            </w:r>
          </w:p>
        </w:tc>
        <w:tc>
          <w:tcPr>
            <w:tcW w:w="608" w:type="pct"/>
            <w:tcBorders>
              <w:top w:val="single" w:sz="8" w:space="0" w:color="auto"/>
              <w:left w:val="nil"/>
              <w:bottom w:val="nil"/>
              <w:right w:val="single" w:sz="8" w:space="0" w:color="auto"/>
            </w:tcBorders>
            <w:shd w:val="clear" w:color="auto" w:fill="auto"/>
            <w:vAlign w:val="center"/>
            <w:hideMark/>
          </w:tcPr>
          <w:p w14:paraId="7BECBA13" w14:textId="77777777" w:rsidR="00A16DDB" w:rsidRPr="006A0789" w:rsidRDefault="00A16DDB" w:rsidP="006A0789">
            <w:pPr>
              <w:rPr>
                <w:rFonts w:eastAsia="Times New Roman" w:cs="Times New Roman"/>
                <w:b/>
                <w:bCs/>
                <w:color w:val="000000"/>
                <w:sz w:val="18"/>
                <w:szCs w:val="18"/>
                <w:lang w:val="cs-CZ" w:eastAsia="cs-CZ"/>
              </w:rPr>
            </w:pPr>
            <w:r w:rsidRPr="006A0789">
              <w:rPr>
                <w:rFonts w:eastAsia="Times New Roman" w:cs="Times New Roman"/>
                <w:b/>
                <w:bCs/>
                <w:color w:val="000000"/>
                <w:sz w:val="18"/>
                <w:szCs w:val="18"/>
                <w:lang w:val="cs-CZ" w:eastAsia="cs-CZ"/>
              </w:rPr>
              <w:t>Typ intervence (možné potenciální řešení)</w:t>
            </w:r>
          </w:p>
        </w:tc>
        <w:tc>
          <w:tcPr>
            <w:tcW w:w="746" w:type="pct"/>
            <w:tcBorders>
              <w:top w:val="single" w:sz="8" w:space="0" w:color="auto"/>
              <w:left w:val="nil"/>
              <w:bottom w:val="single" w:sz="8" w:space="0" w:color="auto"/>
              <w:right w:val="single" w:sz="8" w:space="0" w:color="auto"/>
            </w:tcBorders>
            <w:shd w:val="clear" w:color="auto" w:fill="auto"/>
            <w:vAlign w:val="center"/>
            <w:hideMark/>
          </w:tcPr>
          <w:p w14:paraId="43AB66C2" w14:textId="77777777" w:rsidR="00A16DDB" w:rsidRPr="006A0789" w:rsidRDefault="00A16DDB" w:rsidP="006A0789">
            <w:pPr>
              <w:rPr>
                <w:rFonts w:eastAsia="Times New Roman" w:cs="Times New Roman"/>
                <w:b/>
                <w:bCs/>
                <w:color w:val="000000"/>
                <w:sz w:val="18"/>
                <w:szCs w:val="18"/>
                <w:lang w:val="cs-CZ" w:eastAsia="cs-CZ"/>
              </w:rPr>
            </w:pPr>
            <w:r w:rsidRPr="006A0789">
              <w:rPr>
                <w:rFonts w:eastAsia="Times New Roman" w:cs="Times New Roman"/>
                <w:b/>
                <w:bCs/>
                <w:color w:val="000000"/>
                <w:sz w:val="18"/>
                <w:szCs w:val="18"/>
                <w:lang w:val="cs-CZ" w:eastAsia="cs-CZ"/>
              </w:rPr>
              <w:t>Intervence</w:t>
            </w:r>
          </w:p>
        </w:tc>
      </w:tr>
      <w:tr w:rsidR="00A16DDB" w:rsidRPr="006A0789" w14:paraId="32C97DFE" w14:textId="77777777" w:rsidTr="006A0789">
        <w:trPr>
          <w:trHeight w:val="1181"/>
        </w:trPr>
        <w:tc>
          <w:tcPr>
            <w:tcW w:w="74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9B27648"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 xml:space="preserve">Nízká úroveň soběstačnosti, záporné saldo AZO, </w:t>
            </w:r>
          </w:p>
        </w:tc>
        <w:tc>
          <w:tcPr>
            <w:tcW w:w="795" w:type="pct"/>
            <w:vMerge w:val="restart"/>
            <w:tcBorders>
              <w:top w:val="nil"/>
              <w:left w:val="single" w:sz="4" w:space="0" w:color="auto"/>
              <w:bottom w:val="single" w:sz="4" w:space="0" w:color="000000"/>
              <w:right w:val="single" w:sz="4" w:space="0" w:color="auto"/>
            </w:tcBorders>
            <w:shd w:val="clear" w:color="000000" w:fill="BDD7EE"/>
            <w:hideMark/>
          </w:tcPr>
          <w:p w14:paraId="4E70A942"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Výskyt nepříznivých meteorologických jevů (jarní mrazíky, sucho, kroupy)</w:t>
            </w:r>
            <w:r w:rsidRPr="006A0789">
              <w:rPr>
                <w:rFonts w:eastAsia="Times New Roman" w:cs="Times New Roman"/>
                <w:color w:val="000000"/>
                <w:sz w:val="18"/>
                <w:szCs w:val="18"/>
                <w:lang w:val="cs-CZ" w:eastAsia="cs-CZ"/>
              </w:rPr>
              <w:br/>
            </w:r>
            <w:r w:rsidRPr="006A0789">
              <w:rPr>
                <w:rFonts w:eastAsia="Times New Roman" w:cs="Times New Roman"/>
                <w:color w:val="000000"/>
                <w:sz w:val="18"/>
                <w:szCs w:val="18"/>
                <w:lang w:val="cs-CZ" w:eastAsia="cs-CZ"/>
              </w:rPr>
              <w:br/>
            </w:r>
          </w:p>
        </w:tc>
        <w:tc>
          <w:tcPr>
            <w:tcW w:w="813" w:type="pct"/>
            <w:tcBorders>
              <w:top w:val="single" w:sz="4" w:space="0" w:color="auto"/>
              <w:left w:val="nil"/>
              <w:bottom w:val="single" w:sz="4" w:space="0" w:color="auto"/>
              <w:right w:val="single" w:sz="4" w:space="0" w:color="auto"/>
            </w:tcBorders>
            <w:shd w:val="clear" w:color="000000" w:fill="BDD7EE"/>
            <w:hideMark/>
          </w:tcPr>
          <w:p w14:paraId="531A219E"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Vinohradníci nejsou dostatečně vybavení technickými prostředky pro omezení působení negativních vlivů nepříznivých meteorologických podmínek</w:t>
            </w:r>
          </w:p>
        </w:tc>
        <w:tc>
          <w:tcPr>
            <w:tcW w:w="772" w:type="pct"/>
            <w:tcBorders>
              <w:top w:val="single" w:sz="4" w:space="0" w:color="auto"/>
              <w:left w:val="nil"/>
              <w:bottom w:val="single" w:sz="4" w:space="0" w:color="auto"/>
              <w:right w:val="single" w:sz="4" w:space="0" w:color="auto"/>
            </w:tcBorders>
            <w:shd w:val="clear" w:color="000000" w:fill="BDD7EE"/>
            <w:hideMark/>
          </w:tcPr>
          <w:p w14:paraId="2C887FAB"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Zajištění dostatečných vodních zdrojů, vybudování kapkových závlah, pořízení protikroupových a protimrazových sítí a dalších zařízení</w:t>
            </w:r>
          </w:p>
        </w:tc>
        <w:tc>
          <w:tcPr>
            <w:tcW w:w="517" w:type="pct"/>
            <w:tcBorders>
              <w:top w:val="single" w:sz="4" w:space="0" w:color="auto"/>
              <w:left w:val="nil"/>
              <w:bottom w:val="single" w:sz="4" w:space="0" w:color="auto"/>
              <w:right w:val="single" w:sz="4" w:space="0" w:color="auto"/>
            </w:tcBorders>
            <w:shd w:val="clear" w:color="000000" w:fill="BDD7EE"/>
            <w:hideMark/>
          </w:tcPr>
          <w:p w14:paraId="0B9691B9"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 </w:t>
            </w:r>
          </w:p>
        </w:tc>
        <w:tc>
          <w:tcPr>
            <w:tcW w:w="608" w:type="pct"/>
            <w:tcBorders>
              <w:top w:val="single" w:sz="4" w:space="0" w:color="auto"/>
              <w:left w:val="nil"/>
              <w:bottom w:val="single" w:sz="4" w:space="0" w:color="auto"/>
              <w:right w:val="single" w:sz="4" w:space="0" w:color="auto"/>
            </w:tcBorders>
            <w:shd w:val="clear" w:color="000000" w:fill="BDD7EE"/>
            <w:hideMark/>
          </w:tcPr>
          <w:p w14:paraId="2A612E71"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PRV investice; řízení rizik</w:t>
            </w:r>
            <w:r w:rsidRPr="006A0789">
              <w:rPr>
                <w:rFonts w:eastAsia="Times New Roman" w:cs="Times New Roman"/>
                <w:color w:val="000000"/>
                <w:sz w:val="18"/>
                <w:szCs w:val="18"/>
                <w:lang w:val="cs-CZ" w:eastAsia="cs-CZ"/>
              </w:rPr>
              <w:br/>
            </w:r>
            <w:r w:rsidRPr="006A0789">
              <w:rPr>
                <w:rFonts w:eastAsia="Times New Roman" w:cs="Times New Roman"/>
                <w:color w:val="000000"/>
                <w:sz w:val="18"/>
                <w:szCs w:val="18"/>
                <w:lang w:val="cs-CZ" w:eastAsia="cs-CZ"/>
              </w:rPr>
              <w:br/>
            </w:r>
            <w:r w:rsidRPr="006A0789">
              <w:rPr>
                <w:rFonts w:eastAsia="Times New Roman" w:cs="Times New Roman"/>
                <w:color w:val="2F75B5"/>
                <w:sz w:val="18"/>
                <w:szCs w:val="18"/>
                <w:lang w:val="cs-CZ" w:eastAsia="cs-CZ"/>
              </w:rPr>
              <w:t>Národní dotační program (kapkové závlahy)</w:t>
            </w:r>
          </w:p>
        </w:tc>
        <w:tc>
          <w:tcPr>
            <w:tcW w:w="746" w:type="pct"/>
            <w:tcBorders>
              <w:top w:val="single" w:sz="4" w:space="0" w:color="auto"/>
              <w:left w:val="nil"/>
              <w:bottom w:val="single" w:sz="4" w:space="0" w:color="auto"/>
              <w:right w:val="single" w:sz="4" w:space="0" w:color="auto"/>
            </w:tcBorders>
            <w:shd w:val="clear" w:color="000000" w:fill="BDD7EE"/>
            <w:hideMark/>
          </w:tcPr>
          <w:p w14:paraId="6D3F5C6C"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Podpora investic do vhodných technologií (protikroupové sítě, závlahy, mrazová ochrana)</w:t>
            </w:r>
          </w:p>
        </w:tc>
      </w:tr>
      <w:tr w:rsidR="00A16DDB" w:rsidRPr="006A0789" w14:paraId="5E28468B" w14:textId="77777777" w:rsidTr="006A0789">
        <w:trPr>
          <w:trHeight w:val="739"/>
        </w:trPr>
        <w:tc>
          <w:tcPr>
            <w:tcW w:w="749" w:type="pct"/>
            <w:vMerge/>
            <w:tcBorders>
              <w:top w:val="single" w:sz="4" w:space="0" w:color="auto"/>
              <w:left w:val="single" w:sz="4" w:space="0" w:color="auto"/>
              <w:bottom w:val="single" w:sz="4" w:space="0" w:color="000000"/>
              <w:right w:val="single" w:sz="4" w:space="0" w:color="auto"/>
            </w:tcBorders>
            <w:vAlign w:val="center"/>
            <w:hideMark/>
          </w:tcPr>
          <w:p w14:paraId="76F33C55" w14:textId="77777777" w:rsidR="00A16DDB" w:rsidRPr="006A0789" w:rsidRDefault="00A16DDB" w:rsidP="006A0789">
            <w:pPr>
              <w:rPr>
                <w:rFonts w:eastAsia="Times New Roman" w:cs="Times New Roman"/>
                <w:color w:val="000000"/>
                <w:sz w:val="18"/>
                <w:szCs w:val="18"/>
                <w:lang w:val="cs-CZ" w:eastAsia="cs-CZ"/>
              </w:rPr>
            </w:pPr>
          </w:p>
        </w:tc>
        <w:tc>
          <w:tcPr>
            <w:tcW w:w="795" w:type="pct"/>
            <w:vMerge/>
            <w:tcBorders>
              <w:top w:val="nil"/>
              <w:left w:val="single" w:sz="4" w:space="0" w:color="auto"/>
              <w:bottom w:val="single" w:sz="4" w:space="0" w:color="000000"/>
              <w:right w:val="single" w:sz="4" w:space="0" w:color="auto"/>
            </w:tcBorders>
            <w:vAlign w:val="center"/>
            <w:hideMark/>
          </w:tcPr>
          <w:p w14:paraId="6C5E7885" w14:textId="77777777" w:rsidR="00A16DDB" w:rsidRPr="006A0789" w:rsidRDefault="00A16DDB" w:rsidP="006A0789">
            <w:pPr>
              <w:rPr>
                <w:rFonts w:eastAsia="Times New Roman" w:cs="Times New Roman"/>
                <w:color w:val="000000"/>
                <w:sz w:val="18"/>
                <w:szCs w:val="18"/>
                <w:lang w:val="cs-CZ" w:eastAsia="cs-CZ"/>
              </w:rPr>
            </w:pPr>
          </w:p>
        </w:tc>
        <w:tc>
          <w:tcPr>
            <w:tcW w:w="813" w:type="pct"/>
            <w:vMerge w:val="restart"/>
            <w:tcBorders>
              <w:top w:val="nil"/>
              <w:left w:val="single" w:sz="4" w:space="0" w:color="auto"/>
              <w:bottom w:val="single" w:sz="4" w:space="0" w:color="000000"/>
              <w:right w:val="single" w:sz="4" w:space="0" w:color="auto"/>
            </w:tcBorders>
            <w:shd w:val="clear" w:color="000000" w:fill="BDD7EE"/>
            <w:hideMark/>
          </w:tcPr>
          <w:p w14:paraId="7F427907"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U některých vinohradníků stále přetrvává nedostatečný management řízení rizik (stupeň propojištěnosti)</w:t>
            </w:r>
          </w:p>
        </w:tc>
        <w:tc>
          <w:tcPr>
            <w:tcW w:w="772" w:type="pct"/>
            <w:tcBorders>
              <w:top w:val="nil"/>
              <w:left w:val="nil"/>
              <w:bottom w:val="single" w:sz="4" w:space="0" w:color="auto"/>
              <w:right w:val="single" w:sz="4" w:space="0" w:color="auto"/>
            </w:tcBorders>
            <w:shd w:val="clear" w:color="000000" w:fill="BDD7EE"/>
            <w:hideMark/>
          </w:tcPr>
          <w:p w14:paraId="342A0558"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Vybudování nástrojů řízení rizik</w:t>
            </w:r>
          </w:p>
        </w:tc>
        <w:tc>
          <w:tcPr>
            <w:tcW w:w="517" w:type="pct"/>
            <w:tcBorders>
              <w:top w:val="nil"/>
              <w:left w:val="nil"/>
              <w:bottom w:val="single" w:sz="4" w:space="0" w:color="auto"/>
              <w:right w:val="single" w:sz="4" w:space="0" w:color="auto"/>
            </w:tcBorders>
            <w:shd w:val="clear" w:color="000000" w:fill="BDD7EE"/>
            <w:hideMark/>
          </w:tcPr>
          <w:p w14:paraId="4B1BC7ED"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 </w:t>
            </w:r>
          </w:p>
        </w:tc>
        <w:tc>
          <w:tcPr>
            <w:tcW w:w="608" w:type="pct"/>
            <w:tcBorders>
              <w:top w:val="nil"/>
              <w:left w:val="nil"/>
              <w:bottom w:val="single" w:sz="4" w:space="0" w:color="auto"/>
              <w:right w:val="single" w:sz="4" w:space="0" w:color="auto"/>
            </w:tcBorders>
            <w:shd w:val="clear" w:color="000000" w:fill="BDD7EE"/>
            <w:hideMark/>
          </w:tcPr>
          <w:p w14:paraId="03D1A977"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PRV řízení rizik      Odvětvové intervence - pojištění</w:t>
            </w:r>
          </w:p>
        </w:tc>
        <w:tc>
          <w:tcPr>
            <w:tcW w:w="746" w:type="pct"/>
            <w:tcBorders>
              <w:top w:val="nil"/>
              <w:left w:val="nil"/>
              <w:bottom w:val="single" w:sz="4" w:space="0" w:color="auto"/>
              <w:right w:val="single" w:sz="4" w:space="0" w:color="auto"/>
            </w:tcBorders>
            <w:shd w:val="clear" w:color="000000" w:fill="BDD7EE"/>
            <w:hideMark/>
          </w:tcPr>
          <w:p w14:paraId="1D5EEFF5"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Podpora pojištění nad rámec základního pojištění speciálních plodin (PGRLF)</w:t>
            </w:r>
          </w:p>
        </w:tc>
      </w:tr>
      <w:tr w:rsidR="00A16DDB" w:rsidRPr="006A0789" w14:paraId="61E4D451" w14:textId="77777777" w:rsidTr="006A0789">
        <w:trPr>
          <w:trHeight w:val="496"/>
        </w:trPr>
        <w:tc>
          <w:tcPr>
            <w:tcW w:w="749" w:type="pct"/>
            <w:vMerge/>
            <w:tcBorders>
              <w:top w:val="single" w:sz="4" w:space="0" w:color="auto"/>
              <w:left w:val="single" w:sz="4" w:space="0" w:color="auto"/>
              <w:bottom w:val="single" w:sz="4" w:space="0" w:color="000000"/>
              <w:right w:val="single" w:sz="4" w:space="0" w:color="auto"/>
            </w:tcBorders>
            <w:vAlign w:val="center"/>
            <w:hideMark/>
          </w:tcPr>
          <w:p w14:paraId="4A2739B5" w14:textId="77777777" w:rsidR="00A16DDB" w:rsidRPr="006A0789" w:rsidRDefault="00A16DDB" w:rsidP="006A0789">
            <w:pPr>
              <w:rPr>
                <w:rFonts w:eastAsia="Times New Roman" w:cs="Times New Roman"/>
                <w:color w:val="000000"/>
                <w:sz w:val="18"/>
                <w:szCs w:val="18"/>
                <w:lang w:val="cs-CZ" w:eastAsia="cs-CZ"/>
              </w:rPr>
            </w:pPr>
          </w:p>
        </w:tc>
        <w:tc>
          <w:tcPr>
            <w:tcW w:w="795" w:type="pct"/>
            <w:vMerge/>
            <w:tcBorders>
              <w:top w:val="nil"/>
              <w:left w:val="single" w:sz="4" w:space="0" w:color="auto"/>
              <w:bottom w:val="single" w:sz="4" w:space="0" w:color="000000"/>
              <w:right w:val="single" w:sz="4" w:space="0" w:color="auto"/>
            </w:tcBorders>
            <w:vAlign w:val="center"/>
            <w:hideMark/>
          </w:tcPr>
          <w:p w14:paraId="5DDDAE37" w14:textId="77777777" w:rsidR="00A16DDB" w:rsidRPr="006A0789" w:rsidRDefault="00A16DDB" w:rsidP="006A0789">
            <w:pPr>
              <w:rPr>
                <w:rFonts w:eastAsia="Times New Roman" w:cs="Times New Roman"/>
                <w:color w:val="000000"/>
                <w:sz w:val="18"/>
                <w:szCs w:val="18"/>
                <w:lang w:val="cs-CZ" w:eastAsia="cs-CZ"/>
              </w:rPr>
            </w:pPr>
          </w:p>
        </w:tc>
        <w:tc>
          <w:tcPr>
            <w:tcW w:w="813" w:type="pct"/>
            <w:vMerge/>
            <w:tcBorders>
              <w:top w:val="nil"/>
              <w:left w:val="single" w:sz="4" w:space="0" w:color="auto"/>
              <w:bottom w:val="single" w:sz="4" w:space="0" w:color="000000"/>
              <w:right w:val="single" w:sz="4" w:space="0" w:color="auto"/>
            </w:tcBorders>
            <w:vAlign w:val="center"/>
            <w:hideMark/>
          </w:tcPr>
          <w:p w14:paraId="1C716F8A" w14:textId="77777777" w:rsidR="00A16DDB" w:rsidRPr="006A0789" w:rsidRDefault="00A16DDB" w:rsidP="006A0789">
            <w:pPr>
              <w:rPr>
                <w:rFonts w:eastAsia="Times New Roman" w:cs="Times New Roman"/>
                <w:color w:val="000000"/>
                <w:sz w:val="18"/>
                <w:szCs w:val="18"/>
                <w:lang w:val="cs-CZ" w:eastAsia="cs-CZ"/>
              </w:rPr>
            </w:pPr>
          </w:p>
        </w:tc>
        <w:tc>
          <w:tcPr>
            <w:tcW w:w="772" w:type="pct"/>
            <w:tcBorders>
              <w:top w:val="nil"/>
              <w:left w:val="nil"/>
              <w:bottom w:val="single" w:sz="4" w:space="0" w:color="auto"/>
              <w:right w:val="single" w:sz="4" w:space="0" w:color="auto"/>
            </w:tcBorders>
            <w:shd w:val="clear" w:color="000000" w:fill="BDD7EE"/>
            <w:hideMark/>
          </w:tcPr>
          <w:p w14:paraId="46D0C8C4"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Zvýšení povědomí o nástrojích řízení rizik</w:t>
            </w:r>
          </w:p>
        </w:tc>
        <w:tc>
          <w:tcPr>
            <w:tcW w:w="517" w:type="pct"/>
            <w:tcBorders>
              <w:top w:val="nil"/>
              <w:left w:val="nil"/>
              <w:bottom w:val="single" w:sz="4" w:space="0" w:color="auto"/>
              <w:right w:val="single" w:sz="4" w:space="0" w:color="auto"/>
            </w:tcBorders>
            <w:shd w:val="clear" w:color="000000" w:fill="BDD7EE"/>
            <w:hideMark/>
          </w:tcPr>
          <w:p w14:paraId="52B2D38E"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 </w:t>
            </w:r>
          </w:p>
        </w:tc>
        <w:tc>
          <w:tcPr>
            <w:tcW w:w="608" w:type="pct"/>
            <w:tcBorders>
              <w:top w:val="nil"/>
              <w:left w:val="nil"/>
              <w:bottom w:val="single" w:sz="4" w:space="0" w:color="auto"/>
              <w:right w:val="single" w:sz="4" w:space="0" w:color="auto"/>
            </w:tcBorders>
            <w:shd w:val="clear" w:color="000000" w:fill="BDD7EE"/>
            <w:hideMark/>
          </w:tcPr>
          <w:p w14:paraId="316ACBF3"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PRV nástroje řízení rizik; spolupráce; výměna znalostí</w:t>
            </w:r>
          </w:p>
        </w:tc>
        <w:tc>
          <w:tcPr>
            <w:tcW w:w="746" w:type="pct"/>
            <w:tcBorders>
              <w:top w:val="nil"/>
              <w:left w:val="nil"/>
              <w:bottom w:val="single" w:sz="4" w:space="0" w:color="auto"/>
              <w:right w:val="single" w:sz="4" w:space="0" w:color="auto"/>
            </w:tcBorders>
            <w:shd w:val="clear" w:color="000000" w:fill="BDD7EE"/>
            <w:hideMark/>
          </w:tcPr>
          <w:p w14:paraId="691EE930"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Podpora vzdělávání a informativnosti u pěstitelů</w:t>
            </w:r>
          </w:p>
        </w:tc>
      </w:tr>
      <w:tr w:rsidR="00A16DDB" w:rsidRPr="006A0789" w14:paraId="1BD44DE9" w14:textId="77777777" w:rsidTr="006A0789">
        <w:trPr>
          <w:trHeight w:val="478"/>
        </w:trPr>
        <w:tc>
          <w:tcPr>
            <w:tcW w:w="749" w:type="pct"/>
            <w:vMerge/>
            <w:tcBorders>
              <w:top w:val="single" w:sz="4" w:space="0" w:color="auto"/>
              <w:left w:val="single" w:sz="4" w:space="0" w:color="auto"/>
              <w:bottom w:val="single" w:sz="4" w:space="0" w:color="000000"/>
              <w:right w:val="single" w:sz="4" w:space="0" w:color="auto"/>
            </w:tcBorders>
            <w:vAlign w:val="center"/>
            <w:hideMark/>
          </w:tcPr>
          <w:p w14:paraId="22B20743" w14:textId="77777777" w:rsidR="00A16DDB" w:rsidRPr="006A0789" w:rsidRDefault="00A16DDB" w:rsidP="006A0789">
            <w:pPr>
              <w:rPr>
                <w:rFonts w:eastAsia="Times New Roman" w:cs="Times New Roman"/>
                <w:color w:val="000000"/>
                <w:sz w:val="18"/>
                <w:szCs w:val="18"/>
                <w:lang w:val="cs-CZ" w:eastAsia="cs-CZ"/>
              </w:rPr>
            </w:pPr>
          </w:p>
        </w:tc>
        <w:tc>
          <w:tcPr>
            <w:tcW w:w="795" w:type="pct"/>
            <w:tcBorders>
              <w:top w:val="nil"/>
              <w:left w:val="nil"/>
              <w:bottom w:val="single" w:sz="4" w:space="0" w:color="auto"/>
              <w:right w:val="single" w:sz="4" w:space="0" w:color="auto"/>
            </w:tcBorders>
            <w:shd w:val="clear" w:color="000000" w:fill="BDD7EE"/>
            <w:hideMark/>
          </w:tcPr>
          <w:p w14:paraId="22CD5508"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Vyšší podíl přestárlých vinic</w:t>
            </w:r>
          </w:p>
        </w:tc>
        <w:tc>
          <w:tcPr>
            <w:tcW w:w="813" w:type="pct"/>
            <w:tcBorders>
              <w:top w:val="nil"/>
              <w:left w:val="nil"/>
              <w:bottom w:val="single" w:sz="4" w:space="0" w:color="auto"/>
              <w:right w:val="single" w:sz="4" w:space="0" w:color="auto"/>
            </w:tcBorders>
            <w:shd w:val="clear" w:color="000000" w:fill="BDD7EE"/>
            <w:hideMark/>
          </w:tcPr>
          <w:p w14:paraId="3A43D685"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Nedostatečná obnova vinic</w:t>
            </w:r>
          </w:p>
        </w:tc>
        <w:tc>
          <w:tcPr>
            <w:tcW w:w="772" w:type="pct"/>
            <w:tcBorders>
              <w:top w:val="nil"/>
              <w:left w:val="nil"/>
              <w:bottom w:val="single" w:sz="4" w:space="0" w:color="auto"/>
              <w:right w:val="single" w:sz="4" w:space="0" w:color="auto"/>
            </w:tcBorders>
            <w:shd w:val="clear" w:color="000000" w:fill="BDD7EE"/>
            <w:hideMark/>
          </w:tcPr>
          <w:p w14:paraId="57897226"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Podpora obměny výsadby keřů</w:t>
            </w:r>
          </w:p>
        </w:tc>
        <w:tc>
          <w:tcPr>
            <w:tcW w:w="517" w:type="pct"/>
            <w:tcBorders>
              <w:top w:val="nil"/>
              <w:left w:val="nil"/>
              <w:bottom w:val="single" w:sz="4" w:space="0" w:color="auto"/>
              <w:right w:val="single" w:sz="4" w:space="0" w:color="auto"/>
            </w:tcBorders>
            <w:shd w:val="clear" w:color="000000" w:fill="BDD7EE"/>
            <w:hideMark/>
          </w:tcPr>
          <w:p w14:paraId="4EED00BC"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 </w:t>
            </w:r>
          </w:p>
        </w:tc>
        <w:tc>
          <w:tcPr>
            <w:tcW w:w="608" w:type="pct"/>
            <w:tcBorders>
              <w:top w:val="nil"/>
              <w:left w:val="nil"/>
              <w:bottom w:val="single" w:sz="4" w:space="0" w:color="auto"/>
              <w:right w:val="single" w:sz="4" w:space="0" w:color="auto"/>
            </w:tcBorders>
            <w:shd w:val="clear" w:color="000000" w:fill="BDD7EE"/>
            <w:hideMark/>
          </w:tcPr>
          <w:p w14:paraId="7541F978"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Odvětvové intervence - restrukturalizace vinic</w:t>
            </w:r>
          </w:p>
        </w:tc>
        <w:tc>
          <w:tcPr>
            <w:tcW w:w="746" w:type="pct"/>
            <w:tcBorders>
              <w:top w:val="nil"/>
              <w:left w:val="nil"/>
              <w:bottom w:val="single" w:sz="4" w:space="0" w:color="auto"/>
              <w:right w:val="single" w:sz="4" w:space="0" w:color="auto"/>
            </w:tcBorders>
            <w:shd w:val="clear" w:color="000000" w:fill="BDD7EE"/>
            <w:hideMark/>
          </w:tcPr>
          <w:p w14:paraId="7F0C743D"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Nové výsadby nových odrůd a možnost výsadby stejné odrůdy</w:t>
            </w:r>
          </w:p>
        </w:tc>
      </w:tr>
      <w:tr w:rsidR="00A16DDB" w:rsidRPr="006A0789" w14:paraId="4CD9D8F3" w14:textId="77777777" w:rsidTr="006A0789">
        <w:trPr>
          <w:trHeight w:val="574"/>
        </w:trPr>
        <w:tc>
          <w:tcPr>
            <w:tcW w:w="749" w:type="pct"/>
            <w:vMerge/>
            <w:tcBorders>
              <w:top w:val="single" w:sz="4" w:space="0" w:color="auto"/>
              <w:left w:val="single" w:sz="4" w:space="0" w:color="auto"/>
              <w:bottom w:val="single" w:sz="4" w:space="0" w:color="000000"/>
              <w:right w:val="single" w:sz="4" w:space="0" w:color="auto"/>
            </w:tcBorders>
            <w:vAlign w:val="center"/>
            <w:hideMark/>
          </w:tcPr>
          <w:p w14:paraId="3ABD9FF6" w14:textId="77777777" w:rsidR="00A16DDB" w:rsidRPr="006A0789" w:rsidRDefault="00A16DDB" w:rsidP="006A0789">
            <w:pPr>
              <w:rPr>
                <w:rFonts w:eastAsia="Times New Roman" w:cs="Times New Roman"/>
                <w:color w:val="000000"/>
                <w:sz w:val="18"/>
                <w:szCs w:val="18"/>
                <w:lang w:val="cs-CZ" w:eastAsia="cs-CZ"/>
              </w:rPr>
            </w:pPr>
          </w:p>
        </w:tc>
        <w:tc>
          <w:tcPr>
            <w:tcW w:w="795" w:type="pct"/>
            <w:tcBorders>
              <w:top w:val="nil"/>
              <w:left w:val="nil"/>
              <w:bottom w:val="single" w:sz="4" w:space="0" w:color="auto"/>
              <w:right w:val="single" w:sz="4" w:space="0" w:color="auto"/>
            </w:tcBorders>
            <w:shd w:val="clear" w:color="000000" w:fill="BDD7EE"/>
            <w:hideMark/>
          </w:tcPr>
          <w:p w14:paraId="17AE82AD"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Vysoká finanční náročnost na pořízení investic</w:t>
            </w:r>
          </w:p>
        </w:tc>
        <w:tc>
          <w:tcPr>
            <w:tcW w:w="813" w:type="pct"/>
            <w:tcBorders>
              <w:top w:val="nil"/>
              <w:left w:val="nil"/>
              <w:bottom w:val="single" w:sz="4" w:space="0" w:color="auto"/>
              <w:right w:val="single" w:sz="4" w:space="0" w:color="auto"/>
            </w:tcBorders>
            <w:shd w:val="clear" w:color="000000" w:fill="BDD7EE"/>
            <w:hideMark/>
          </w:tcPr>
          <w:p w14:paraId="1CD7E650"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Nedostatečné obnova technologií</w:t>
            </w:r>
          </w:p>
        </w:tc>
        <w:tc>
          <w:tcPr>
            <w:tcW w:w="772" w:type="pct"/>
            <w:tcBorders>
              <w:top w:val="nil"/>
              <w:left w:val="nil"/>
              <w:bottom w:val="single" w:sz="4" w:space="0" w:color="auto"/>
              <w:right w:val="single" w:sz="4" w:space="0" w:color="auto"/>
            </w:tcBorders>
            <w:shd w:val="clear" w:color="000000" w:fill="BDD7EE"/>
            <w:hideMark/>
          </w:tcPr>
          <w:p w14:paraId="21AB5F22"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Podpora modernizace, nové technologie</w:t>
            </w:r>
          </w:p>
        </w:tc>
        <w:tc>
          <w:tcPr>
            <w:tcW w:w="517" w:type="pct"/>
            <w:tcBorders>
              <w:top w:val="nil"/>
              <w:left w:val="nil"/>
              <w:bottom w:val="single" w:sz="4" w:space="0" w:color="auto"/>
              <w:right w:val="single" w:sz="4" w:space="0" w:color="auto"/>
            </w:tcBorders>
            <w:shd w:val="clear" w:color="000000" w:fill="BDD7EE"/>
            <w:hideMark/>
          </w:tcPr>
          <w:p w14:paraId="466D6D8C"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 </w:t>
            </w:r>
          </w:p>
        </w:tc>
        <w:tc>
          <w:tcPr>
            <w:tcW w:w="608" w:type="pct"/>
            <w:tcBorders>
              <w:top w:val="nil"/>
              <w:left w:val="nil"/>
              <w:bottom w:val="single" w:sz="4" w:space="0" w:color="auto"/>
              <w:right w:val="single" w:sz="4" w:space="0" w:color="auto"/>
            </w:tcBorders>
            <w:shd w:val="clear" w:color="000000" w:fill="BDD7EE"/>
            <w:hideMark/>
          </w:tcPr>
          <w:p w14:paraId="6F1077A9"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PRV Investice</w:t>
            </w:r>
            <w:r w:rsidRPr="006A0789">
              <w:rPr>
                <w:rFonts w:eastAsia="Times New Roman" w:cs="Times New Roman"/>
                <w:color w:val="000000"/>
                <w:sz w:val="18"/>
                <w:szCs w:val="18"/>
                <w:lang w:val="cs-CZ" w:eastAsia="cs-CZ"/>
              </w:rPr>
              <w:br/>
              <w:t>Odvětvové intervence - investice</w:t>
            </w:r>
          </w:p>
        </w:tc>
        <w:tc>
          <w:tcPr>
            <w:tcW w:w="746" w:type="pct"/>
            <w:tcBorders>
              <w:top w:val="nil"/>
              <w:left w:val="nil"/>
              <w:bottom w:val="single" w:sz="4" w:space="0" w:color="auto"/>
              <w:right w:val="single" w:sz="4" w:space="0" w:color="auto"/>
            </w:tcBorders>
            <w:shd w:val="clear" w:color="000000" w:fill="BDD7EE"/>
            <w:hideMark/>
          </w:tcPr>
          <w:p w14:paraId="65CB8C7F"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Podpora nákupu vybavení výroby</w:t>
            </w:r>
          </w:p>
        </w:tc>
      </w:tr>
      <w:tr w:rsidR="00A16DDB" w:rsidRPr="006A0789" w14:paraId="6C6029A6" w14:textId="77777777" w:rsidTr="006A0789">
        <w:trPr>
          <w:trHeight w:val="494"/>
        </w:trPr>
        <w:tc>
          <w:tcPr>
            <w:tcW w:w="749" w:type="pct"/>
            <w:vMerge/>
            <w:tcBorders>
              <w:top w:val="single" w:sz="4" w:space="0" w:color="auto"/>
              <w:left w:val="single" w:sz="4" w:space="0" w:color="auto"/>
              <w:bottom w:val="single" w:sz="4" w:space="0" w:color="000000"/>
              <w:right w:val="single" w:sz="4" w:space="0" w:color="auto"/>
            </w:tcBorders>
            <w:vAlign w:val="center"/>
            <w:hideMark/>
          </w:tcPr>
          <w:p w14:paraId="5C64C2EF" w14:textId="77777777" w:rsidR="00A16DDB" w:rsidRPr="006A0789" w:rsidRDefault="00A16DDB" w:rsidP="006A0789">
            <w:pPr>
              <w:rPr>
                <w:rFonts w:eastAsia="Times New Roman" w:cs="Times New Roman"/>
                <w:color w:val="000000"/>
                <w:sz w:val="18"/>
                <w:szCs w:val="18"/>
                <w:lang w:val="cs-CZ" w:eastAsia="cs-CZ"/>
              </w:rPr>
            </w:pPr>
          </w:p>
        </w:tc>
        <w:tc>
          <w:tcPr>
            <w:tcW w:w="795" w:type="pct"/>
            <w:tcBorders>
              <w:top w:val="nil"/>
              <w:left w:val="nil"/>
              <w:bottom w:val="single" w:sz="4" w:space="0" w:color="auto"/>
              <w:right w:val="single" w:sz="4" w:space="0" w:color="auto"/>
            </w:tcBorders>
            <w:shd w:val="clear" w:color="auto" w:fill="auto"/>
            <w:hideMark/>
          </w:tcPr>
          <w:p w14:paraId="209730CE"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Nedostatek sezónních pracovních sil</w:t>
            </w:r>
          </w:p>
        </w:tc>
        <w:tc>
          <w:tcPr>
            <w:tcW w:w="813" w:type="pct"/>
            <w:tcBorders>
              <w:top w:val="nil"/>
              <w:left w:val="nil"/>
              <w:bottom w:val="single" w:sz="4" w:space="0" w:color="auto"/>
              <w:right w:val="single" w:sz="4" w:space="0" w:color="auto"/>
            </w:tcBorders>
            <w:shd w:val="clear" w:color="auto" w:fill="auto"/>
            <w:hideMark/>
          </w:tcPr>
          <w:p w14:paraId="63380A7A"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Méně šetrná sklizeň hroznů s omezenou možností produkce kvalitnějších vín</w:t>
            </w:r>
          </w:p>
        </w:tc>
        <w:tc>
          <w:tcPr>
            <w:tcW w:w="772" w:type="pct"/>
            <w:tcBorders>
              <w:top w:val="nil"/>
              <w:left w:val="nil"/>
              <w:bottom w:val="single" w:sz="4" w:space="0" w:color="auto"/>
              <w:right w:val="single" w:sz="4" w:space="0" w:color="auto"/>
            </w:tcBorders>
            <w:shd w:val="clear" w:color="auto" w:fill="auto"/>
            <w:hideMark/>
          </w:tcPr>
          <w:p w14:paraId="77F6DAA2"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Snadnější přístup k zahraničním pracovníkům</w:t>
            </w:r>
          </w:p>
        </w:tc>
        <w:tc>
          <w:tcPr>
            <w:tcW w:w="517" w:type="pct"/>
            <w:tcBorders>
              <w:top w:val="nil"/>
              <w:left w:val="nil"/>
              <w:bottom w:val="single" w:sz="4" w:space="0" w:color="auto"/>
              <w:right w:val="single" w:sz="4" w:space="0" w:color="auto"/>
            </w:tcBorders>
            <w:shd w:val="clear" w:color="auto" w:fill="auto"/>
            <w:hideMark/>
          </w:tcPr>
          <w:p w14:paraId="542E83C5"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 </w:t>
            </w:r>
          </w:p>
        </w:tc>
        <w:tc>
          <w:tcPr>
            <w:tcW w:w="608" w:type="pct"/>
            <w:tcBorders>
              <w:top w:val="nil"/>
              <w:left w:val="nil"/>
              <w:bottom w:val="single" w:sz="4" w:space="0" w:color="auto"/>
              <w:right w:val="single" w:sz="4" w:space="0" w:color="auto"/>
            </w:tcBorders>
            <w:shd w:val="clear" w:color="auto" w:fill="auto"/>
            <w:hideMark/>
          </w:tcPr>
          <w:p w14:paraId="1781ED6B" w14:textId="77777777" w:rsidR="00A16DDB" w:rsidRPr="006A0789" w:rsidRDefault="00A16DDB" w:rsidP="006A0789">
            <w:pPr>
              <w:rPr>
                <w:rFonts w:eastAsia="Times New Roman" w:cs="Times New Roman"/>
                <w:color w:val="2F75B5"/>
                <w:sz w:val="18"/>
                <w:szCs w:val="18"/>
                <w:lang w:val="cs-CZ" w:eastAsia="cs-CZ"/>
              </w:rPr>
            </w:pPr>
            <w:r w:rsidRPr="006A0789">
              <w:rPr>
                <w:rFonts w:eastAsia="Times New Roman" w:cs="Times New Roman"/>
                <w:color w:val="2F75B5"/>
                <w:sz w:val="18"/>
                <w:szCs w:val="18"/>
                <w:lang w:val="cs-CZ" w:eastAsia="cs-CZ"/>
              </w:rPr>
              <w:t>Zrychlení pracovních povolení</w:t>
            </w:r>
          </w:p>
        </w:tc>
        <w:tc>
          <w:tcPr>
            <w:tcW w:w="746" w:type="pct"/>
            <w:tcBorders>
              <w:top w:val="nil"/>
              <w:left w:val="nil"/>
              <w:bottom w:val="single" w:sz="4" w:space="0" w:color="auto"/>
              <w:right w:val="single" w:sz="4" w:space="0" w:color="auto"/>
            </w:tcBorders>
            <w:shd w:val="clear" w:color="auto" w:fill="auto"/>
            <w:hideMark/>
          </w:tcPr>
          <w:p w14:paraId="6E7DD4F8" w14:textId="77777777" w:rsidR="00A16DDB" w:rsidRPr="006A0789" w:rsidRDefault="00A16DDB" w:rsidP="006A0789">
            <w:pPr>
              <w:rPr>
                <w:rFonts w:eastAsia="Times New Roman" w:cs="Times New Roman"/>
                <w:color w:val="2F75B5"/>
                <w:sz w:val="18"/>
                <w:szCs w:val="18"/>
                <w:lang w:val="cs-CZ" w:eastAsia="cs-CZ"/>
              </w:rPr>
            </w:pPr>
            <w:r w:rsidRPr="006A0789">
              <w:rPr>
                <w:rFonts w:eastAsia="Times New Roman" w:cs="Times New Roman"/>
                <w:color w:val="2F75B5"/>
                <w:sz w:val="18"/>
                <w:szCs w:val="18"/>
                <w:lang w:val="cs-CZ" w:eastAsia="cs-CZ"/>
              </w:rPr>
              <w:t>Politika mimo SZP</w:t>
            </w:r>
          </w:p>
        </w:tc>
      </w:tr>
      <w:tr w:rsidR="00A16DDB" w:rsidRPr="006A0789" w14:paraId="6CF51809" w14:textId="77777777" w:rsidTr="006A0789">
        <w:trPr>
          <w:trHeight w:val="590"/>
        </w:trPr>
        <w:tc>
          <w:tcPr>
            <w:tcW w:w="749" w:type="pct"/>
            <w:vMerge/>
            <w:tcBorders>
              <w:top w:val="single" w:sz="4" w:space="0" w:color="auto"/>
              <w:left w:val="single" w:sz="4" w:space="0" w:color="auto"/>
              <w:bottom w:val="single" w:sz="4" w:space="0" w:color="000000"/>
              <w:right w:val="single" w:sz="4" w:space="0" w:color="auto"/>
            </w:tcBorders>
            <w:vAlign w:val="center"/>
            <w:hideMark/>
          </w:tcPr>
          <w:p w14:paraId="402AB360" w14:textId="77777777" w:rsidR="00A16DDB" w:rsidRPr="006A0789" w:rsidRDefault="00A16DDB" w:rsidP="006A0789">
            <w:pPr>
              <w:rPr>
                <w:rFonts w:eastAsia="Times New Roman" w:cs="Times New Roman"/>
                <w:color w:val="000000"/>
                <w:sz w:val="18"/>
                <w:szCs w:val="18"/>
                <w:lang w:val="cs-CZ" w:eastAsia="cs-CZ"/>
              </w:rPr>
            </w:pPr>
          </w:p>
        </w:tc>
        <w:tc>
          <w:tcPr>
            <w:tcW w:w="795" w:type="pct"/>
            <w:tcBorders>
              <w:top w:val="nil"/>
              <w:left w:val="nil"/>
              <w:bottom w:val="single" w:sz="4" w:space="0" w:color="auto"/>
              <w:right w:val="single" w:sz="4" w:space="0" w:color="auto"/>
            </w:tcBorders>
            <w:shd w:val="clear" w:color="auto" w:fill="auto"/>
            <w:hideMark/>
          </w:tcPr>
          <w:p w14:paraId="41303D45"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Nadbytečná administrativa</w:t>
            </w:r>
          </w:p>
        </w:tc>
        <w:tc>
          <w:tcPr>
            <w:tcW w:w="813" w:type="pct"/>
            <w:tcBorders>
              <w:top w:val="nil"/>
              <w:left w:val="nil"/>
              <w:bottom w:val="single" w:sz="4" w:space="0" w:color="auto"/>
              <w:right w:val="single" w:sz="4" w:space="0" w:color="auto"/>
            </w:tcBorders>
            <w:shd w:val="clear" w:color="auto" w:fill="auto"/>
            <w:hideMark/>
          </w:tcPr>
          <w:p w14:paraId="72AB6046"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Vinohradníkům a vinařům zbývá méně času na zlepšování znalostí a dovedností</w:t>
            </w:r>
          </w:p>
        </w:tc>
        <w:tc>
          <w:tcPr>
            <w:tcW w:w="772" w:type="pct"/>
            <w:tcBorders>
              <w:top w:val="nil"/>
              <w:left w:val="nil"/>
              <w:bottom w:val="single" w:sz="4" w:space="0" w:color="auto"/>
              <w:right w:val="single" w:sz="4" w:space="0" w:color="auto"/>
            </w:tcBorders>
            <w:shd w:val="clear" w:color="auto" w:fill="auto"/>
            <w:hideMark/>
          </w:tcPr>
          <w:p w14:paraId="33993FF6"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Zjednodušení administrativy, příp. elektronizace</w:t>
            </w:r>
          </w:p>
        </w:tc>
        <w:tc>
          <w:tcPr>
            <w:tcW w:w="517" w:type="pct"/>
            <w:tcBorders>
              <w:top w:val="nil"/>
              <w:left w:val="nil"/>
              <w:bottom w:val="single" w:sz="4" w:space="0" w:color="auto"/>
              <w:right w:val="single" w:sz="4" w:space="0" w:color="auto"/>
            </w:tcBorders>
            <w:shd w:val="clear" w:color="auto" w:fill="auto"/>
            <w:hideMark/>
          </w:tcPr>
          <w:p w14:paraId="193794D0"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 </w:t>
            </w:r>
          </w:p>
        </w:tc>
        <w:tc>
          <w:tcPr>
            <w:tcW w:w="608" w:type="pct"/>
            <w:tcBorders>
              <w:top w:val="nil"/>
              <w:left w:val="nil"/>
              <w:bottom w:val="single" w:sz="4" w:space="0" w:color="auto"/>
              <w:right w:val="single" w:sz="4" w:space="0" w:color="auto"/>
            </w:tcBorders>
            <w:shd w:val="clear" w:color="auto" w:fill="auto"/>
            <w:hideMark/>
          </w:tcPr>
          <w:p w14:paraId="0454BE3E"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Podpora elektronizace evidence a kontrol</w:t>
            </w:r>
          </w:p>
        </w:tc>
        <w:tc>
          <w:tcPr>
            <w:tcW w:w="746" w:type="pct"/>
            <w:tcBorders>
              <w:top w:val="nil"/>
              <w:left w:val="nil"/>
              <w:bottom w:val="single" w:sz="4" w:space="0" w:color="auto"/>
              <w:right w:val="single" w:sz="4" w:space="0" w:color="auto"/>
            </w:tcBorders>
            <w:shd w:val="clear" w:color="auto" w:fill="auto"/>
            <w:hideMark/>
          </w:tcPr>
          <w:p w14:paraId="4212F95C"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Podpora poradenství a školení</w:t>
            </w:r>
          </w:p>
        </w:tc>
      </w:tr>
      <w:tr w:rsidR="00A16DDB" w:rsidRPr="006A0789" w14:paraId="68BF1FD7" w14:textId="77777777" w:rsidTr="006A0789">
        <w:trPr>
          <w:trHeight w:val="383"/>
        </w:trPr>
        <w:tc>
          <w:tcPr>
            <w:tcW w:w="749" w:type="pct"/>
            <w:vMerge w:val="restart"/>
            <w:tcBorders>
              <w:top w:val="nil"/>
              <w:left w:val="single" w:sz="4" w:space="0" w:color="auto"/>
              <w:bottom w:val="single" w:sz="4" w:space="0" w:color="000000"/>
              <w:right w:val="single" w:sz="4" w:space="0" w:color="auto"/>
            </w:tcBorders>
            <w:shd w:val="clear" w:color="auto" w:fill="auto"/>
            <w:hideMark/>
          </w:tcPr>
          <w:p w14:paraId="11A7F467"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Slabá pozice v odbytovém řetězci</w:t>
            </w:r>
          </w:p>
        </w:tc>
        <w:tc>
          <w:tcPr>
            <w:tcW w:w="795" w:type="pct"/>
            <w:tcBorders>
              <w:top w:val="nil"/>
              <w:left w:val="nil"/>
              <w:bottom w:val="single" w:sz="4" w:space="0" w:color="auto"/>
              <w:right w:val="single" w:sz="4" w:space="0" w:color="auto"/>
            </w:tcBorders>
            <w:shd w:val="clear" w:color="auto" w:fill="auto"/>
            <w:hideMark/>
          </w:tcPr>
          <w:p w14:paraId="7357D2E1"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Dominantní vliv obchodních řetězců</w:t>
            </w:r>
          </w:p>
        </w:tc>
        <w:tc>
          <w:tcPr>
            <w:tcW w:w="813" w:type="pct"/>
            <w:tcBorders>
              <w:top w:val="nil"/>
              <w:left w:val="nil"/>
              <w:bottom w:val="single" w:sz="4" w:space="0" w:color="auto"/>
              <w:right w:val="single" w:sz="4" w:space="0" w:color="auto"/>
            </w:tcBorders>
            <w:shd w:val="clear" w:color="auto" w:fill="auto"/>
            <w:hideMark/>
          </w:tcPr>
          <w:p w14:paraId="0B41FC2D"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Prodej ze dvora/místní obchody</w:t>
            </w:r>
          </w:p>
        </w:tc>
        <w:tc>
          <w:tcPr>
            <w:tcW w:w="772" w:type="pct"/>
            <w:tcBorders>
              <w:top w:val="nil"/>
              <w:left w:val="nil"/>
              <w:bottom w:val="single" w:sz="4" w:space="0" w:color="auto"/>
              <w:right w:val="single" w:sz="4" w:space="0" w:color="auto"/>
            </w:tcBorders>
            <w:shd w:val="clear" w:color="auto" w:fill="auto"/>
            <w:hideMark/>
          </w:tcPr>
          <w:p w14:paraId="7D73F654"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Propagace tuzemské produkce</w:t>
            </w:r>
          </w:p>
        </w:tc>
        <w:tc>
          <w:tcPr>
            <w:tcW w:w="517" w:type="pct"/>
            <w:tcBorders>
              <w:top w:val="nil"/>
              <w:left w:val="nil"/>
              <w:bottom w:val="single" w:sz="4" w:space="0" w:color="auto"/>
              <w:right w:val="single" w:sz="4" w:space="0" w:color="auto"/>
            </w:tcBorders>
            <w:shd w:val="clear" w:color="auto" w:fill="auto"/>
            <w:hideMark/>
          </w:tcPr>
          <w:p w14:paraId="64BDE641"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 </w:t>
            </w:r>
          </w:p>
        </w:tc>
        <w:tc>
          <w:tcPr>
            <w:tcW w:w="608" w:type="pct"/>
            <w:tcBorders>
              <w:top w:val="nil"/>
              <w:left w:val="nil"/>
              <w:bottom w:val="single" w:sz="4" w:space="0" w:color="auto"/>
              <w:right w:val="single" w:sz="4" w:space="0" w:color="auto"/>
            </w:tcBorders>
            <w:shd w:val="clear" w:color="auto" w:fill="auto"/>
            <w:hideMark/>
          </w:tcPr>
          <w:p w14:paraId="643741A0" w14:textId="77777777" w:rsidR="00A16DDB" w:rsidRPr="006A0789" w:rsidRDefault="00A16DDB" w:rsidP="006A0789">
            <w:pPr>
              <w:rPr>
                <w:rFonts w:eastAsia="Times New Roman" w:cs="Times New Roman"/>
                <w:color w:val="2F75B5"/>
                <w:sz w:val="18"/>
                <w:szCs w:val="18"/>
                <w:lang w:val="cs-CZ" w:eastAsia="cs-CZ"/>
              </w:rPr>
            </w:pPr>
            <w:r w:rsidRPr="006A0789">
              <w:rPr>
                <w:rFonts w:eastAsia="Times New Roman" w:cs="Times New Roman"/>
                <w:color w:val="2F75B5"/>
                <w:sz w:val="18"/>
                <w:szCs w:val="18"/>
                <w:lang w:val="cs-CZ" w:eastAsia="cs-CZ"/>
              </w:rPr>
              <w:t>Vinařský fond</w:t>
            </w:r>
          </w:p>
        </w:tc>
        <w:tc>
          <w:tcPr>
            <w:tcW w:w="746" w:type="pct"/>
            <w:tcBorders>
              <w:top w:val="nil"/>
              <w:left w:val="nil"/>
              <w:bottom w:val="single" w:sz="4" w:space="0" w:color="auto"/>
              <w:right w:val="single" w:sz="4" w:space="0" w:color="auto"/>
            </w:tcBorders>
            <w:shd w:val="clear" w:color="auto" w:fill="auto"/>
            <w:hideMark/>
          </w:tcPr>
          <w:p w14:paraId="36DD7430" w14:textId="77777777" w:rsidR="00A16DDB" w:rsidRPr="006A0789" w:rsidRDefault="00A16DDB" w:rsidP="006A0789">
            <w:pPr>
              <w:rPr>
                <w:rFonts w:eastAsia="Times New Roman" w:cs="Times New Roman"/>
                <w:color w:val="2F75B5"/>
                <w:sz w:val="18"/>
                <w:szCs w:val="18"/>
                <w:lang w:val="cs-CZ" w:eastAsia="cs-CZ"/>
              </w:rPr>
            </w:pPr>
            <w:r w:rsidRPr="006A0789">
              <w:rPr>
                <w:rFonts w:eastAsia="Times New Roman" w:cs="Times New Roman"/>
                <w:color w:val="2F75B5"/>
                <w:sz w:val="18"/>
                <w:szCs w:val="18"/>
                <w:lang w:val="cs-CZ" w:eastAsia="cs-CZ"/>
              </w:rPr>
              <w:t>Politika mimo SZP</w:t>
            </w:r>
          </w:p>
        </w:tc>
      </w:tr>
      <w:tr w:rsidR="00A16DDB" w:rsidRPr="006A0789" w14:paraId="0C197DBA" w14:textId="77777777" w:rsidTr="006A0789">
        <w:trPr>
          <w:trHeight w:val="801"/>
        </w:trPr>
        <w:tc>
          <w:tcPr>
            <w:tcW w:w="749" w:type="pct"/>
            <w:vMerge/>
            <w:tcBorders>
              <w:top w:val="nil"/>
              <w:left w:val="single" w:sz="4" w:space="0" w:color="auto"/>
              <w:bottom w:val="single" w:sz="4" w:space="0" w:color="000000"/>
              <w:right w:val="single" w:sz="4" w:space="0" w:color="auto"/>
            </w:tcBorders>
            <w:vAlign w:val="center"/>
            <w:hideMark/>
          </w:tcPr>
          <w:p w14:paraId="0735631C" w14:textId="77777777" w:rsidR="00A16DDB" w:rsidRPr="006A0789" w:rsidRDefault="00A16DDB" w:rsidP="006A0789">
            <w:pPr>
              <w:rPr>
                <w:rFonts w:eastAsia="Times New Roman" w:cs="Times New Roman"/>
                <w:color w:val="000000"/>
                <w:sz w:val="18"/>
                <w:szCs w:val="18"/>
                <w:lang w:val="cs-CZ" w:eastAsia="cs-CZ"/>
              </w:rPr>
            </w:pPr>
          </w:p>
        </w:tc>
        <w:tc>
          <w:tcPr>
            <w:tcW w:w="795" w:type="pct"/>
            <w:tcBorders>
              <w:top w:val="nil"/>
              <w:left w:val="nil"/>
              <w:bottom w:val="single" w:sz="4" w:space="0" w:color="auto"/>
              <w:right w:val="single" w:sz="4" w:space="0" w:color="auto"/>
            </w:tcBorders>
            <w:shd w:val="clear" w:color="000000" w:fill="BDD7EE"/>
            <w:hideMark/>
          </w:tcPr>
          <w:p w14:paraId="2627E125"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Nižší marketignové a obchodní dovednosti vinohradníků a vinařů</w:t>
            </w:r>
          </w:p>
        </w:tc>
        <w:tc>
          <w:tcPr>
            <w:tcW w:w="813" w:type="pct"/>
            <w:tcBorders>
              <w:top w:val="nil"/>
              <w:left w:val="nil"/>
              <w:bottom w:val="single" w:sz="4" w:space="0" w:color="auto"/>
              <w:right w:val="single" w:sz="4" w:space="0" w:color="auto"/>
            </w:tcBorders>
            <w:shd w:val="clear" w:color="000000" w:fill="BDD7EE"/>
            <w:hideMark/>
          </w:tcPr>
          <w:p w14:paraId="62F51637"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Nižší prodej výrobků vyšší kvality; prodej hroznů výkupním organizacím</w:t>
            </w:r>
          </w:p>
        </w:tc>
        <w:tc>
          <w:tcPr>
            <w:tcW w:w="772" w:type="pct"/>
            <w:tcBorders>
              <w:top w:val="nil"/>
              <w:left w:val="nil"/>
              <w:bottom w:val="single" w:sz="4" w:space="0" w:color="auto"/>
              <w:right w:val="single" w:sz="4" w:space="0" w:color="auto"/>
            </w:tcBorders>
            <w:shd w:val="clear" w:color="000000" w:fill="BDD7EE"/>
            <w:hideMark/>
          </w:tcPr>
          <w:p w14:paraId="6F622AA6"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Zvýšení znalostí a obchodních dovedností</w:t>
            </w:r>
          </w:p>
        </w:tc>
        <w:tc>
          <w:tcPr>
            <w:tcW w:w="517" w:type="pct"/>
            <w:tcBorders>
              <w:top w:val="nil"/>
              <w:left w:val="nil"/>
              <w:bottom w:val="single" w:sz="4" w:space="0" w:color="auto"/>
              <w:right w:val="single" w:sz="4" w:space="0" w:color="auto"/>
            </w:tcBorders>
            <w:shd w:val="clear" w:color="000000" w:fill="BDD7EE"/>
            <w:hideMark/>
          </w:tcPr>
          <w:p w14:paraId="240B0703"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 </w:t>
            </w:r>
          </w:p>
        </w:tc>
        <w:tc>
          <w:tcPr>
            <w:tcW w:w="608" w:type="pct"/>
            <w:tcBorders>
              <w:top w:val="nil"/>
              <w:left w:val="nil"/>
              <w:bottom w:val="single" w:sz="4" w:space="0" w:color="auto"/>
              <w:right w:val="single" w:sz="4" w:space="0" w:color="auto"/>
            </w:tcBorders>
            <w:shd w:val="clear" w:color="000000" w:fill="BDD7EE"/>
            <w:hideMark/>
          </w:tcPr>
          <w:p w14:paraId="5618B65C"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PRV spolupráce; výměna znalostí</w:t>
            </w:r>
          </w:p>
        </w:tc>
        <w:tc>
          <w:tcPr>
            <w:tcW w:w="746" w:type="pct"/>
            <w:tcBorders>
              <w:top w:val="nil"/>
              <w:left w:val="nil"/>
              <w:bottom w:val="single" w:sz="4" w:space="0" w:color="auto"/>
              <w:right w:val="single" w:sz="4" w:space="0" w:color="auto"/>
            </w:tcBorders>
            <w:shd w:val="clear" w:color="000000" w:fill="BDD7EE"/>
            <w:hideMark/>
          </w:tcPr>
          <w:p w14:paraId="0D18D113"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Podpora vzdělávání a dovedností u pěstitelů</w:t>
            </w:r>
          </w:p>
        </w:tc>
      </w:tr>
      <w:tr w:rsidR="00A16DDB" w:rsidRPr="006A0789" w14:paraId="7F3F02B3" w14:textId="77777777" w:rsidTr="006A0789">
        <w:trPr>
          <w:trHeight w:val="1336"/>
        </w:trPr>
        <w:tc>
          <w:tcPr>
            <w:tcW w:w="749" w:type="pct"/>
            <w:vMerge/>
            <w:tcBorders>
              <w:top w:val="nil"/>
              <w:left w:val="single" w:sz="4" w:space="0" w:color="auto"/>
              <w:bottom w:val="single" w:sz="4" w:space="0" w:color="000000"/>
              <w:right w:val="single" w:sz="4" w:space="0" w:color="auto"/>
            </w:tcBorders>
            <w:vAlign w:val="center"/>
            <w:hideMark/>
          </w:tcPr>
          <w:p w14:paraId="48F90869" w14:textId="77777777" w:rsidR="00A16DDB" w:rsidRPr="006A0789" w:rsidRDefault="00A16DDB" w:rsidP="006A0789">
            <w:pPr>
              <w:rPr>
                <w:rFonts w:eastAsia="Times New Roman" w:cs="Times New Roman"/>
                <w:color w:val="000000"/>
                <w:sz w:val="18"/>
                <w:szCs w:val="18"/>
                <w:lang w:val="cs-CZ" w:eastAsia="cs-CZ"/>
              </w:rPr>
            </w:pPr>
          </w:p>
        </w:tc>
        <w:tc>
          <w:tcPr>
            <w:tcW w:w="795" w:type="pct"/>
            <w:tcBorders>
              <w:top w:val="nil"/>
              <w:left w:val="nil"/>
              <w:bottom w:val="single" w:sz="4" w:space="0" w:color="auto"/>
              <w:right w:val="single" w:sz="4" w:space="0" w:color="auto"/>
            </w:tcBorders>
            <w:shd w:val="clear" w:color="000000" w:fill="BDD7EE"/>
            <w:hideMark/>
          </w:tcPr>
          <w:p w14:paraId="14C474B2"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Absence diferenciace produktů prostřednictvím vertikálních režimů kvality zapojujících prvovýrobce k prosazení výrobků ve spotřebitelských preferencí</w:t>
            </w:r>
          </w:p>
        </w:tc>
        <w:tc>
          <w:tcPr>
            <w:tcW w:w="813" w:type="pct"/>
            <w:tcBorders>
              <w:top w:val="nil"/>
              <w:left w:val="nil"/>
              <w:bottom w:val="single" w:sz="4" w:space="0" w:color="auto"/>
              <w:right w:val="single" w:sz="4" w:space="0" w:color="auto"/>
            </w:tcBorders>
            <w:shd w:val="clear" w:color="000000" w:fill="BDD7EE"/>
            <w:hideMark/>
          </w:tcPr>
          <w:p w14:paraId="4FBD8E41"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Slabší zapojení do soutěží vín</w:t>
            </w:r>
          </w:p>
        </w:tc>
        <w:tc>
          <w:tcPr>
            <w:tcW w:w="772" w:type="pct"/>
            <w:tcBorders>
              <w:top w:val="nil"/>
              <w:left w:val="nil"/>
              <w:bottom w:val="single" w:sz="4" w:space="0" w:color="auto"/>
              <w:right w:val="single" w:sz="4" w:space="0" w:color="auto"/>
            </w:tcBorders>
            <w:shd w:val="clear" w:color="000000" w:fill="BDD7EE"/>
            <w:hideMark/>
          </w:tcPr>
          <w:p w14:paraId="3607394B"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Zavedení režimů jakosti/certifikace, propagace produktů odvětví</w:t>
            </w:r>
          </w:p>
        </w:tc>
        <w:tc>
          <w:tcPr>
            <w:tcW w:w="517" w:type="pct"/>
            <w:tcBorders>
              <w:top w:val="nil"/>
              <w:left w:val="nil"/>
              <w:bottom w:val="single" w:sz="4" w:space="0" w:color="auto"/>
              <w:right w:val="single" w:sz="4" w:space="0" w:color="auto"/>
            </w:tcBorders>
            <w:shd w:val="clear" w:color="000000" w:fill="BDD7EE"/>
            <w:hideMark/>
          </w:tcPr>
          <w:p w14:paraId="4E2DB861"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 </w:t>
            </w:r>
          </w:p>
        </w:tc>
        <w:tc>
          <w:tcPr>
            <w:tcW w:w="608" w:type="pct"/>
            <w:tcBorders>
              <w:top w:val="nil"/>
              <w:left w:val="nil"/>
              <w:bottom w:val="single" w:sz="4" w:space="0" w:color="auto"/>
              <w:right w:val="single" w:sz="4" w:space="0" w:color="auto"/>
            </w:tcBorders>
            <w:shd w:val="clear" w:color="000000" w:fill="BDD7EE"/>
            <w:hideMark/>
          </w:tcPr>
          <w:p w14:paraId="4B073BAD"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Odvětvové intervence - informační opatření</w:t>
            </w:r>
          </w:p>
        </w:tc>
        <w:tc>
          <w:tcPr>
            <w:tcW w:w="746" w:type="pct"/>
            <w:tcBorders>
              <w:top w:val="nil"/>
              <w:left w:val="nil"/>
              <w:bottom w:val="single" w:sz="4" w:space="0" w:color="auto"/>
              <w:right w:val="single" w:sz="4" w:space="0" w:color="auto"/>
            </w:tcBorders>
            <w:shd w:val="clear" w:color="000000" w:fill="BDD7EE"/>
            <w:hideMark/>
          </w:tcPr>
          <w:p w14:paraId="6F893EE6" w14:textId="77777777" w:rsidR="00A16DDB" w:rsidRPr="006A0789" w:rsidRDefault="00A16DDB" w:rsidP="006A0789">
            <w:pPr>
              <w:rPr>
                <w:rFonts w:eastAsia="Times New Roman" w:cs="Times New Roman"/>
                <w:color w:val="000000"/>
                <w:sz w:val="18"/>
                <w:szCs w:val="18"/>
                <w:lang w:val="cs-CZ" w:eastAsia="cs-CZ"/>
              </w:rPr>
            </w:pPr>
            <w:r w:rsidRPr="006A0789">
              <w:rPr>
                <w:rFonts w:eastAsia="Times New Roman" w:cs="Times New Roman"/>
                <w:color w:val="000000"/>
                <w:sz w:val="18"/>
                <w:szCs w:val="18"/>
                <w:lang w:val="cs-CZ" w:eastAsia="cs-CZ"/>
              </w:rPr>
              <w:t>Podpora zavedení jednotné národní certifikace/soutěže</w:t>
            </w:r>
          </w:p>
        </w:tc>
      </w:tr>
    </w:tbl>
    <w:p w14:paraId="2F5784B0" w14:textId="77777777" w:rsidR="00A16DDB" w:rsidRPr="00D95127" w:rsidRDefault="00A16DDB" w:rsidP="00A16DDB">
      <w:pPr>
        <w:autoSpaceDE w:val="0"/>
        <w:autoSpaceDN w:val="0"/>
        <w:adjustRightInd w:val="0"/>
        <w:spacing w:line="240" w:lineRule="atLeast"/>
        <w:ind w:left="851" w:hanging="863"/>
        <w:contextualSpacing/>
        <w:rPr>
          <w:rFonts w:eastAsia="Times New Roman" w:cs="Times New Roman"/>
          <w:i/>
          <w:iCs/>
          <w:color w:val="44546A" w:themeColor="text2"/>
          <w:szCs w:val="24"/>
          <w:lang w:val="cs-CZ" w:eastAsia="cs-CZ"/>
        </w:rPr>
      </w:pPr>
    </w:p>
    <w:p w14:paraId="4B8A30EC" w14:textId="77777777" w:rsidR="00A16DDB" w:rsidRPr="00D95127" w:rsidRDefault="00A16DDB" w:rsidP="00CA2783">
      <w:pPr>
        <w:rPr>
          <w:rFonts w:cs="Times New Roman"/>
          <w:szCs w:val="24"/>
          <w:lang w:val="cs-CZ"/>
        </w:rPr>
        <w:sectPr w:rsidR="00A16DDB" w:rsidRPr="00D95127" w:rsidSect="00C82CBD">
          <w:pgSz w:w="16838" w:h="11906" w:orient="landscape"/>
          <w:pgMar w:top="720" w:right="720" w:bottom="720" w:left="720" w:header="708" w:footer="708" w:gutter="0"/>
          <w:cols w:space="708"/>
          <w:docGrid w:linePitch="360"/>
        </w:sectPr>
      </w:pPr>
    </w:p>
    <w:p w14:paraId="0F83B789" w14:textId="77777777" w:rsidR="00A16DDB" w:rsidRPr="00D95127" w:rsidRDefault="00A16DDB" w:rsidP="00D95127">
      <w:pPr>
        <w:pStyle w:val="UZEINormaln"/>
      </w:pPr>
      <w:r w:rsidRPr="00D95127">
        <w:t>Z hlediska konkurenceschopnosti jsou v sektoru vinohradnictví a vinařství největšími problémy nedostatečné finanční možnosti pro náročné investiční operace (restrukturalizace vinic, kapková závlaha, sítě, vybavení a modernizace vinařských podniků), které jsou nezbytné pro chod podniku, dále vyšší podíl starších vinic, které je nutné obměnit a v neposlední řadě také nedostatečné marketingové a obchodní dovednosti vinařů.</w:t>
      </w:r>
    </w:p>
    <w:p w14:paraId="4B24C887" w14:textId="77777777" w:rsidR="00A16DDB" w:rsidRPr="00D95127" w:rsidRDefault="00A16DDB" w:rsidP="00D95127">
      <w:pPr>
        <w:autoSpaceDE w:val="0"/>
        <w:autoSpaceDN w:val="0"/>
        <w:adjustRightInd w:val="0"/>
        <w:spacing w:line="240" w:lineRule="atLeast"/>
        <w:contextualSpacing/>
        <w:rPr>
          <w:rFonts w:cs="Times New Roman"/>
          <w:szCs w:val="24"/>
          <w:lang w:val="cs-CZ"/>
        </w:rPr>
      </w:pPr>
    </w:p>
    <w:p w14:paraId="79574B64" w14:textId="06CD9C17" w:rsidR="00A16DDB" w:rsidRPr="00D95127" w:rsidRDefault="00A16DDB" w:rsidP="00DA133D">
      <w:pPr>
        <w:spacing w:after="160" w:line="259" w:lineRule="auto"/>
        <w:jc w:val="left"/>
        <w:rPr>
          <w:rFonts w:cs="Times New Roman"/>
          <w:szCs w:val="24"/>
          <w:lang w:val="cs-CZ"/>
        </w:rPr>
      </w:pPr>
    </w:p>
    <w:p w14:paraId="3FE5A4ED" w14:textId="77777777" w:rsidR="00A16DDB" w:rsidRPr="00D95127" w:rsidRDefault="00A16DDB" w:rsidP="00A16DDB">
      <w:pPr>
        <w:autoSpaceDE w:val="0"/>
        <w:autoSpaceDN w:val="0"/>
        <w:adjustRightInd w:val="0"/>
        <w:rPr>
          <w:rFonts w:cs="Times New Roman"/>
          <w:color w:val="000000"/>
          <w:szCs w:val="24"/>
          <w:lang w:val="cs-CZ" w:eastAsia="cs-CZ"/>
        </w:rPr>
      </w:pPr>
    </w:p>
    <w:p w14:paraId="5EB33813" w14:textId="77777777" w:rsidR="00DA133D" w:rsidRDefault="00DA133D">
      <w:pPr>
        <w:spacing w:after="160" w:line="259" w:lineRule="auto"/>
        <w:jc w:val="left"/>
        <w:rPr>
          <w:rFonts w:eastAsiaTheme="majorEastAsia" w:cs="Times New Roman"/>
          <w:b/>
          <w:bCs/>
          <w:sz w:val="28"/>
          <w:szCs w:val="32"/>
          <w:lang w:val="cs-CZ"/>
        </w:rPr>
      </w:pPr>
      <w:bookmarkStart w:id="228" w:name="_Toc23401549"/>
      <w:bookmarkStart w:id="229" w:name="_Toc23473621"/>
      <w:bookmarkStart w:id="230" w:name="_Toc23475075"/>
      <w:bookmarkStart w:id="231" w:name="_Toc23509693"/>
      <w:bookmarkStart w:id="232" w:name="_Toc23509847"/>
      <w:bookmarkStart w:id="233" w:name="_Toc23401550"/>
      <w:bookmarkStart w:id="234" w:name="_Toc23473622"/>
      <w:bookmarkStart w:id="235" w:name="_Toc23475076"/>
      <w:bookmarkStart w:id="236" w:name="_Toc23509694"/>
      <w:bookmarkStart w:id="237" w:name="_Toc23509848"/>
      <w:bookmarkStart w:id="238" w:name="_Toc15304045"/>
      <w:bookmarkStart w:id="239" w:name="_Toc23509849"/>
      <w:bookmarkStart w:id="240" w:name="_Toc76137357"/>
      <w:bookmarkStart w:id="241" w:name="_Toc76637556"/>
      <w:bookmarkStart w:id="242" w:name="_Toc80953235"/>
      <w:bookmarkEnd w:id="228"/>
      <w:bookmarkEnd w:id="229"/>
      <w:bookmarkEnd w:id="230"/>
      <w:bookmarkEnd w:id="231"/>
      <w:bookmarkEnd w:id="232"/>
      <w:bookmarkEnd w:id="233"/>
      <w:bookmarkEnd w:id="234"/>
      <w:bookmarkEnd w:id="235"/>
      <w:bookmarkEnd w:id="236"/>
      <w:bookmarkEnd w:id="237"/>
      <w:r>
        <w:br w:type="page"/>
      </w:r>
    </w:p>
    <w:p w14:paraId="67F4FBD3" w14:textId="18E9DC40" w:rsidR="00A16DDB" w:rsidRPr="00D95127" w:rsidRDefault="00A16DDB" w:rsidP="00DA133D">
      <w:pPr>
        <w:pStyle w:val="Nadpis1"/>
      </w:pPr>
      <w:bookmarkStart w:id="243" w:name="_Toc81739191"/>
      <w:r w:rsidRPr="00D95127">
        <w:t>SWOT analýza</w:t>
      </w:r>
      <w:bookmarkEnd w:id="238"/>
      <w:bookmarkEnd w:id="239"/>
      <w:bookmarkEnd w:id="240"/>
      <w:bookmarkEnd w:id="241"/>
      <w:bookmarkEnd w:id="242"/>
      <w:bookmarkEnd w:id="243"/>
    </w:p>
    <w:p w14:paraId="3C6DC4CA" w14:textId="07238D3D" w:rsidR="00A16DDB" w:rsidRPr="00DA133D" w:rsidRDefault="00DA133D" w:rsidP="00DA133D">
      <w:pPr>
        <w:pStyle w:val="UZEINormaln"/>
        <w:rPr>
          <w:rStyle w:val="Odkazintenzivn"/>
          <w:rFonts w:cs="Times New Roman"/>
          <w:color w:val="auto"/>
        </w:rPr>
      </w:pPr>
      <w:r w:rsidRPr="00DA133D">
        <w:rPr>
          <w:rStyle w:val="Odkazintenzivn"/>
          <w:rFonts w:cs="Times New Roman"/>
          <w:color w:val="auto"/>
        </w:rPr>
        <w:t>VÍNO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4525"/>
      </w:tblGrid>
      <w:tr w:rsidR="00A16DDB" w:rsidRPr="00D95127" w14:paraId="2D947058" w14:textId="77777777" w:rsidTr="007A627A">
        <w:tc>
          <w:tcPr>
            <w:tcW w:w="4606" w:type="dxa"/>
          </w:tcPr>
          <w:p w14:paraId="5A234BE1" w14:textId="77777777" w:rsidR="00A16DDB" w:rsidRPr="00D95127" w:rsidRDefault="00A16DDB" w:rsidP="007A627A">
            <w:pPr>
              <w:jc w:val="center"/>
              <w:rPr>
                <w:rFonts w:cs="Times New Roman"/>
                <w:b/>
                <w:szCs w:val="24"/>
                <w:lang w:val="cs-CZ"/>
              </w:rPr>
            </w:pPr>
            <w:r w:rsidRPr="00D95127">
              <w:rPr>
                <w:rFonts w:cs="Times New Roman"/>
                <w:b/>
                <w:szCs w:val="24"/>
                <w:lang w:val="cs-CZ"/>
              </w:rPr>
              <w:t>Silné stránky</w:t>
            </w:r>
          </w:p>
        </w:tc>
        <w:tc>
          <w:tcPr>
            <w:tcW w:w="4606" w:type="dxa"/>
          </w:tcPr>
          <w:p w14:paraId="1722D00E" w14:textId="77777777" w:rsidR="00A16DDB" w:rsidRPr="00D95127" w:rsidRDefault="00A16DDB" w:rsidP="007A627A">
            <w:pPr>
              <w:jc w:val="center"/>
              <w:rPr>
                <w:rFonts w:cs="Times New Roman"/>
                <w:b/>
                <w:szCs w:val="24"/>
                <w:lang w:val="cs-CZ"/>
              </w:rPr>
            </w:pPr>
            <w:r w:rsidRPr="00D95127">
              <w:rPr>
                <w:rFonts w:cs="Times New Roman"/>
                <w:b/>
                <w:szCs w:val="24"/>
                <w:lang w:val="cs-CZ"/>
              </w:rPr>
              <w:t>Slabé stránky</w:t>
            </w:r>
          </w:p>
        </w:tc>
      </w:tr>
      <w:tr w:rsidR="0062705D" w:rsidRPr="0062705D" w14:paraId="331325B4" w14:textId="77777777" w:rsidTr="007A627A">
        <w:tc>
          <w:tcPr>
            <w:tcW w:w="4606" w:type="dxa"/>
            <w:shd w:val="clear" w:color="auto" w:fill="auto"/>
          </w:tcPr>
          <w:p w14:paraId="32A6AFD8" w14:textId="50A95BF4" w:rsidR="00A16DDB" w:rsidRPr="0062705D" w:rsidRDefault="00F9766F" w:rsidP="00F9766F">
            <w:pPr>
              <w:pStyle w:val="UZEIOdrky"/>
              <w:ind w:left="460" w:hanging="425"/>
              <w:rPr>
                <w:color w:val="auto"/>
              </w:rPr>
            </w:pPr>
            <w:r w:rsidRPr="0062705D">
              <w:rPr>
                <w:color w:val="auto"/>
              </w:rPr>
              <w:t xml:space="preserve">S1: </w:t>
            </w:r>
            <w:r w:rsidR="00A16DDB" w:rsidRPr="0062705D">
              <w:rPr>
                <w:color w:val="auto"/>
              </w:rPr>
              <w:t>Agroenviromentální význam vinic v krajině</w:t>
            </w:r>
          </w:p>
          <w:p w14:paraId="3FB4BD12" w14:textId="51647231" w:rsidR="00A16DDB" w:rsidRPr="0062705D" w:rsidRDefault="00F9766F" w:rsidP="00F9766F">
            <w:pPr>
              <w:pStyle w:val="UZEIOdrky"/>
              <w:ind w:left="460" w:hanging="425"/>
              <w:rPr>
                <w:color w:val="auto"/>
              </w:rPr>
            </w:pPr>
            <w:r w:rsidRPr="0062705D">
              <w:rPr>
                <w:color w:val="auto"/>
              </w:rPr>
              <w:t xml:space="preserve">S2: </w:t>
            </w:r>
            <w:r w:rsidR="00A16DDB" w:rsidRPr="0062705D">
              <w:rPr>
                <w:color w:val="auto"/>
              </w:rPr>
              <w:t xml:space="preserve">Bezpečná produkce moštových vinných hroznů s minimem reziduí </w:t>
            </w:r>
          </w:p>
          <w:p w14:paraId="13C63FF2" w14:textId="5B6565CD" w:rsidR="00A16DDB" w:rsidRPr="0062705D" w:rsidRDefault="00F9766F" w:rsidP="00F9766F">
            <w:pPr>
              <w:pStyle w:val="UZEIOdrky"/>
              <w:ind w:left="460" w:hanging="425"/>
              <w:rPr>
                <w:color w:val="auto"/>
              </w:rPr>
            </w:pPr>
            <w:r w:rsidRPr="0062705D">
              <w:rPr>
                <w:color w:val="auto"/>
              </w:rPr>
              <w:t xml:space="preserve">S3: </w:t>
            </w:r>
            <w:r w:rsidR="00A16DDB" w:rsidRPr="0062705D">
              <w:rPr>
                <w:color w:val="auto"/>
              </w:rPr>
              <w:t>Produkce vína vysoké kvality</w:t>
            </w:r>
          </w:p>
          <w:p w14:paraId="378FE9AD" w14:textId="76458DEE" w:rsidR="00A16DDB" w:rsidRPr="0062705D" w:rsidRDefault="00F9766F" w:rsidP="00F9766F">
            <w:pPr>
              <w:pStyle w:val="UZEIOdrky"/>
              <w:ind w:left="460" w:hanging="425"/>
              <w:rPr>
                <w:color w:val="auto"/>
              </w:rPr>
            </w:pPr>
            <w:r w:rsidRPr="0062705D">
              <w:rPr>
                <w:color w:val="auto"/>
              </w:rPr>
              <w:t xml:space="preserve">S4: </w:t>
            </w:r>
            <w:r w:rsidR="00A16DDB" w:rsidRPr="0062705D">
              <w:rPr>
                <w:color w:val="auto"/>
              </w:rPr>
              <w:t>Zvyšující se zájem spotřebitelů o víno</w:t>
            </w:r>
          </w:p>
          <w:p w14:paraId="2704659F" w14:textId="2A1E156D" w:rsidR="00A16DDB" w:rsidRPr="0062705D" w:rsidRDefault="00F9766F" w:rsidP="00F9766F">
            <w:pPr>
              <w:pStyle w:val="UZEIOdrky"/>
              <w:ind w:left="460" w:hanging="425"/>
              <w:rPr>
                <w:color w:val="auto"/>
              </w:rPr>
            </w:pPr>
            <w:r w:rsidRPr="0062705D">
              <w:rPr>
                <w:color w:val="auto"/>
              </w:rPr>
              <w:t xml:space="preserve">S5: </w:t>
            </w:r>
            <w:r w:rsidR="00A16DDB" w:rsidRPr="0062705D">
              <w:rPr>
                <w:color w:val="auto"/>
              </w:rPr>
              <w:t>Rostoucí nároky zákazníků na kvalitu vína</w:t>
            </w:r>
          </w:p>
          <w:p w14:paraId="6EBB3B15" w14:textId="7729DC24" w:rsidR="00A16DDB" w:rsidRPr="0062705D" w:rsidRDefault="00F9766F" w:rsidP="00F9766F">
            <w:pPr>
              <w:pStyle w:val="UZEIOdrky"/>
              <w:ind w:left="460" w:hanging="425"/>
              <w:rPr>
                <w:color w:val="auto"/>
              </w:rPr>
            </w:pPr>
            <w:r w:rsidRPr="0062705D">
              <w:rPr>
                <w:color w:val="auto"/>
              </w:rPr>
              <w:t xml:space="preserve">S6: </w:t>
            </w:r>
            <w:r w:rsidR="00A16DDB" w:rsidRPr="0062705D">
              <w:rPr>
                <w:color w:val="auto"/>
              </w:rPr>
              <w:t>Stoupající konzumace vína v ČR</w:t>
            </w:r>
          </w:p>
          <w:p w14:paraId="1FD688EB" w14:textId="0B95FA47" w:rsidR="00A16DDB" w:rsidRPr="0062705D" w:rsidRDefault="00F9766F" w:rsidP="00F9766F">
            <w:pPr>
              <w:pStyle w:val="UZEIOdrky"/>
              <w:ind w:left="460" w:hanging="425"/>
              <w:rPr>
                <w:color w:val="auto"/>
              </w:rPr>
            </w:pPr>
            <w:r w:rsidRPr="0062705D">
              <w:rPr>
                <w:color w:val="auto"/>
              </w:rPr>
              <w:t xml:space="preserve">S7: </w:t>
            </w:r>
            <w:r w:rsidR="00A16DDB" w:rsidRPr="0062705D">
              <w:rPr>
                <w:color w:val="auto"/>
              </w:rPr>
              <w:t>Vysoká konkurenceschopnost na domácím trhu</w:t>
            </w:r>
          </w:p>
          <w:p w14:paraId="775FE47E" w14:textId="4D3E6915" w:rsidR="00A16DDB" w:rsidRPr="0062705D" w:rsidRDefault="00F9766F" w:rsidP="00F9766F">
            <w:pPr>
              <w:pStyle w:val="UZEIOdrky"/>
              <w:ind w:left="460" w:hanging="425"/>
              <w:rPr>
                <w:color w:val="auto"/>
              </w:rPr>
            </w:pPr>
            <w:r w:rsidRPr="0062705D">
              <w:rPr>
                <w:color w:val="auto"/>
              </w:rPr>
              <w:t xml:space="preserve">S8: </w:t>
            </w:r>
            <w:r w:rsidR="00A16DDB" w:rsidRPr="0062705D">
              <w:rPr>
                <w:color w:val="auto"/>
              </w:rPr>
              <w:t>Aktivní marketing na víno</w:t>
            </w:r>
          </w:p>
          <w:p w14:paraId="34CDBB85" w14:textId="4B5F1918" w:rsidR="00A16DDB" w:rsidRPr="0062705D" w:rsidRDefault="00F9766F" w:rsidP="00F9766F">
            <w:pPr>
              <w:pStyle w:val="UZEIOdrky"/>
              <w:ind w:left="460" w:hanging="425"/>
              <w:rPr>
                <w:color w:val="auto"/>
              </w:rPr>
            </w:pPr>
            <w:r w:rsidRPr="0062705D">
              <w:rPr>
                <w:color w:val="auto"/>
              </w:rPr>
              <w:t xml:space="preserve">S9: </w:t>
            </w:r>
            <w:r w:rsidR="00A16DDB" w:rsidRPr="0062705D">
              <w:rPr>
                <w:color w:val="auto"/>
              </w:rPr>
              <w:t>Rozvíjení vinařské turistiky</w:t>
            </w:r>
          </w:p>
          <w:p w14:paraId="539FBFFF" w14:textId="37ADFA9D" w:rsidR="00A16DDB" w:rsidRPr="0062705D" w:rsidRDefault="00F9766F" w:rsidP="00F9766F">
            <w:pPr>
              <w:pStyle w:val="UZEIOdrky"/>
              <w:ind w:left="460" w:hanging="425"/>
              <w:rPr>
                <w:color w:val="auto"/>
              </w:rPr>
            </w:pPr>
            <w:r w:rsidRPr="0062705D">
              <w:rPr>
                <w:color w:val="auto"/>
              </w:rPr>
              <w:t xml:space="preserve">S10: </w:t>
            </w:r>
            <w:r w:rsidR="00A16DDB" w:rsidRPr="0062705D">
              <w:rPr>
                <w:color w:val="auto"/>
              </w:rPr>
              <w:t>Zvyšující se znalosti obyvatel o víně</w:t>
            </w:r>
          </w:p>
        </w:tc>
        <w:tc>
          <w:tcPr>
            <w:tcW w:w="4606" w:type="dxa"/>
          </w:tcPr>
          <w:p w14:paraId="32957BF2" w14:textId="60412B56" w:rsidR="00A16DDB" w:rsidRPr="0062705D" w:rsidRDefault="00F9766F" w:rsidP="00F9766F">
            <w:pPr>
              <w:pStyle w:val="UZEIOdrky"/>
              <w:ind w:left="460" w:hanging="425"/>
              <w:rPr>
                <w:color w:val="auto"/>
              </w:rPr>
            </w:pPr>
            <w:r w:rsidRPr="0062705D">
              <w:rPr>
                <w:color w:val="auto"/>
              </w:rPr>
              <w:t xml:space="preserve">W1: </w:t>
            </w:r>
            <w:r w:rsidR="00A16DDB" w:rsidRPr="0062705D">
              <w:rPr>
                <w:color w:val="auto"/>
              </w:rPr>
              <w:t>Stárnutí vinic</w:t>
            </w:r>
          </w:p>
          <w:p w14:paraId="2BC0B261" w14:textId="67161D77" w:rsidR="00A16DDB" w:rsidRPr="0062705D" w:rsidRDefault="00A16DDB" w:rsidP="00F9766F">
            <w:pPr>
              <w:pStyle w:val="UZEIOdrky"/>
              <w:ind w:left="460" w:hanging="425"/>
              <w:rPr>
                <w:color w:val="auto"/>
              </w:rPr>
            </w:pPr>
            <w:r w:rsidRPr="0062705D">
              <w:rPr>
                <w:color w:val="auto"/>
              </w:rPr>
              <w:t xml:space="preserve"> </w:t>
            </w:r>
            <w:r w:rsidR="00F9766F" w:rsidRPr="0062705D">
              <w:rPr>
                <w:color w:val="auto"/>
              </w:rPr>
              <w:t xml:space="preserve">W2: </w:t>
            </w:r>
            <w:r w:rsidRPr="0062705D">
              <w:rPr>
                <w:color w:val="auto"/>
              </w:rPr>
              <w:t>Potřeba obměny vinic dle preferencí spotřebitelů</w:t>
            </w:r>
          </w:p>
          <w:p w14:paraId="1A88074F" w14:textId="658E3ED4" w:rsidR="00A16DDB" w:rsidRPr="0062705D" w:rsidRDefault="00F9766F" w:rsidP="00F9766F">
            <w:pPr>
              <w:pStyle w:val="UZEIOdrky"/>
              <w:ind w:left="460" w:hanging="425"/>
              <w:rPr>
                <w:color w:val="auto"/>
              </w:rPr>
            </w:pPr>
            <w:r w:rsidRPr="0062705D">
              <w:rPr>
                <w:color w:val="auto"/>
              </w:rPr>
              <w:t xml:space="preserve">W3: </w:t>
            </w:r>
            <w:r w:rsidR="00A16DDB" w:rsidRPr="0062705D">
              <w:rPr>
                <w:color w:val="auto"/>
              </w:rPr>
              <w:t>Vysoké investiční náklady</w:t>
            </w:r>
          </w:p>
          <w:p w14:paraId="6F8D33E5" w14:textId="10FDC77E" w:rsidR="00A16DDB" w:rsidRPr="0062705D" w:rsidRDefault="00F9766F" w:rsidP="00F9766F">
            <w:pPr>
              <w:pStyle w:val="UZEIOdrky"/>
              <w:ind w:left="460" w:hanging="425"/>
              <w:rPr>
                <w:color w:val="auto"/>
              </w:rPr>
            </w:pPr>
            <w:r w:rsidRPr="0062705D">
              <w:rPr>
                <w:color w:val="auto"/>
              </w:rPr>
              <w:t xml:space="preserve">W4: </w:t>
            </w:r>
            <w:r w:rsidR="00A16DDB" w:rsidRPr="0062705D">
              <w:rPr>
                <w:color w:val="auto"/>
              </w:rPr>
              <w:t>Rizikovost vinohradnictví z důvodu klimatických změn</w:t>
            </w:r>
          </w:p>
          <w:p w14:paraId="170CBC00" w14:textId="06174E8D" w:rsidR="00A16DDB" w:rsidRPr="0062705D" w:rsidRDefault="00F9766F" w:rsidP="00F9766F">
            <w:pPr>
              <w:pStyle w:val="UZEIOdrky"/>
              <w:ind w:left="460" w:hanging="425"/>
              <w:rPr>
                <w:color w:val="auto"/>
              </w:rPr>
            </w:pPr>
            <w:r w:rsidRPr="0062705D">
              <w:rPr>
                <w:color w:val="auto"/>
              </w:rPr>
              <w:t xml:space="preserve">W5: </w:t>
            </w:r>
            <w:r w:rsidR="00A16DDB" w:rsidRPr="0062705D">
              <w:rPr>
                <w:color w:val="auto"/>
              </w:rPr>
              <w:t>Změny klimatu a s nimi spojený tlak nových škůdců a chorob</w:t>
            </w:r>
          </w:p>
          <w:p w14:paraId="03E2C34F" w14:textId="1D0BA9DF" w:rsidR="00A16DDB" w:rsidRPr="0062705D" w:rsidRDefault="00F9766F" w:rsidP="00F9766F">
            <w:pPr>
              <w:pStyle w:val="UZEIOdrky"/>
              <w:ind w:left="460" w:hanging="425"/>
              <w:rPr>
                <w:color w:val="auto"/>
              </w:rPr>
            </w:pPr>
            <w:r w:rsidRPr="0062705D">
              <w:rPr>
                <w:color w:val="auto"/>
              </w:rPr>
              <w:t xml:space="preserve">W6: </w:t>
            </w:r>
            <w:r w:rsidR="00A16DDB" w:rsidRPr="0062705D">
              <w:rPr>
                <w:color w:val="auto"/>
              </w:rPr>
              <w:t xml:space="preserve">Neexistující aplikovaný výzkum pro vinohradnictví a vinařství </w:t>
            </w:r>
          </w:p>
          <w:p w14:paraId="2D6B68F8" w14:textId="7DE3E4EE" w:rsidR="00A16DDB" w:rsidRPr="0062705D" w:rsidRDefault="00F9766F" w:rsidP="00F9766F">
            <w:pPr>
              <w:pStyle w:val="UZEIOdrky"/>
              <w:ind w:left="460" w:hanging="425"/>
              <w:rPr>
                <w:color w:val="auto"/>
              </w:rPr>
            </w:pPr>
            <w:r w:rsidRPr="0062705D">
              <w:rPr>
                <w:color w:val="auto"/>
              </w:rPr>
              <w:t xml:space="preserve">W7: </w:t>
            </w:r>
            <w:r w:rsidR="00A16DDB" w:rsidRPr="0062705D">
              <w:rPr>
                <w:color w:val="auto"/>
              </w:rPr>
              <w:t>Liberalizované značení vína v rámci EU</w:t>
            </w:r>
          </w:p>
          <w:p w14:paraId="0CA6BF93" w14:textId="63F51740" w:rsidR="00A16DDB" w:rsidRPr="0062705D" w:rsidRDefault="00F9766F" w:rsidP="00F9766F">
            <w:pPr>
              <w:pStyle w:val="UZEIOdrky"/>
              <w:ind w:left="460" w:hanging="425"/>
              <w:rPr>
                <w:color w:val="auto"/>
              </w:rPr>
            </w:pPr>
            <w:r w:rsidRPr="0062705D">
              <w:rPr>
                <w:color w:val="auto"/>
              </w:rPr>
              <w:t xml:space="preserve">W8: </w:t>
            </w:r>
            <w:r w:rsidR="00A16DDB" w:rsidRPr="0062705D">
              <w:rPr>
                <w:color w:val="auto"/>
              </w:rPr>
              <w:t xml:space="preserve">Nízká soběstačnost </w:t>
            </w:r>
          </w:p>
          <w:p w14:paraId="741016D5" w14:textId="0598B294" w:rsidR="00A16DDB" w:rsidRPr="0062705D" w:rsidRDefault="00F9766F" w:rsidP="00F9766F">
            <w:pPr>
              <w:pStyle w:val="UZEIOdrky"/>
              <w:ind w:left="460" w:hanging="425"/>
              <w:rPr>
                <w:color w:val="auto"/>
              </w:rPr>
            </w:pPr>
            <w:r w:rsidRPr="0062705D">
              <w:rPr>
                <w:color w:val="auto"/>
              </w:rPr>
              <w:t xml:space="preserve">W9: </w:t>
            </w:r>
            <w:r w:rsidR="00A16DDB" w:rsidRPr="0062705D">
              <w:rPr>
                <w:color w:val="auto"/>
              </w:rPr>
              <w:t>Nedostatek vlastního investičního kapitálu</w:t>
            </w:r>
          </w:p>
          <w:p w14:paraId="2848DE92" w14:textId="7F2C56C4" w:rsidR="00A16DDB" w:rsidRPr="0062705D" w:rsidRDefault="00F9766F" w:rsidP="00F9766F">
            <w:pPr>
              <w:pStyle w:val="UZEIOdrky"/>
              <w:ind w:left="460" w:hanging="425"/>
              <w:rPr>
                <w:color w:val="auto"/>
              </w:rPr>
            </w:pPr>
            <w:r w:rsidRPr="0062705D">
              <w:rPr>
                <w:color w:val="auto"/>
              </w:rPr>
              <w:t xml:space="preserve">W10: </w:t>
            </w:r>
            <w:r w:rsidR="00A16DDB" w:rsidRPr="0062705D">
              <w:rPr>
                <w:color w:val="auto"/>
              </w:rPr>
              <w:t>Nevhodné materiály opěrné konstrukce poškozující zpracovatelské vybavení</w:t>
            </w:r>
          </w:p>
          <w:p w14:paraId="0E8F3DD1" w14:textId="51E9FB9E" w:rsidR="00A16DDB" w:rsidRPr="0062705D" w:rsidRDefault="00F9766F" w:rsidP="00F9766F">
            <w:pPr>
              <w:pStyle w:val="UZEIOdrky"/>
              <w:ind w:left="460" w:hanging="425"/>
              <w:rPr>
                <w:color w:val="auto"/>
              </w:rPr>
            </w:pPr>
            <w:r w:rsidRPr="0062705D">
              <w:rPr>
                <w:color w:val="auto"/>
              </w:rPr>
              <w:t xml:space="preserve">W11: </w:t>
            </w:r>
            <w:r w:rsidR="00A16DDB" w:rsidRPr="0062705D">
              <w:rPr>
                <w:color w:val="auto"/>
              </w:rPr>
              <w:t>Nízká dostupnost a kvalita pracovní síly</w:t>
            </w:r>
          </w:p>
          <w:p w14:paraId="284325F0" w14:textId="1F36A1BF" w:rsidR="00A16DDB" w:rsidRPr="0062705D" w:rsidRDefault="00F9766F" w:rsidP="00F9766F">
            <w:pPr>
              <w:pStyle w:val="UZEIOdrky"/>
              <w:ind w:left="460" w:hanging="425"/>
              <w:rPr>
                <w:color w:val="auto"/>
              </w:rPr>
            </w:pPr>
            <w:r w:rsidRPr="0062705D">
              <w:rPr>
                <w:color w:val="auto"/>
              </w:rPr>
              <w:t xml:space="preserve">W12: </w:t>
            </w:r>
            <w:r w:rsidR="00A16DDB" w:rsidRPr="0062705D">
              <w:rPr>
                <w:color w:val="auto"/>
              </w:rPr>
              <w:t>Nízký stupeň technologické obměny výrobních prostředků způsobující vyšší provozní náklady</w:t>
            </w:r>
          </w:p>
        </w:tc>
      </w:tr>
      <w:tr w:rsidR="0062705D" w:rsidRPr="0062705D" w14:paraId="42399118" w14:textId="77777777" w:rsidTr="007A627A">
        <w:tc>
          <w:tcPr>
            <w:tcW w:w="4606" w:type="dxa"/>
          </w:tcPr>
          <w:p w14:paraId="009A491B" w14:textId="77777777" w:rsidR="00A16DDB" w:rsidRPr="0062705D" w:rsidRDefault="00A16DDB" w:rsidP="007A627A">
            <w:pPr>
              <w:spacing w:line="276" w:lineRule="auto"/>
              <w:jc w:val="center"/>
              <w:rPr>
                <w:rFonts w:cs="Times New Roman"/>
                <w:b/>
                <w:szCs w:val="24"/>
                <w:lang w:val="cs-CZ"/>
              </w:rPr>
            </w:pPr>
            <w:r w:rsidRPr="0062705D">
              <w:rPr>
                <w:rFonts w:cs="Times New Roman"/>
                <w:b/>
                <w:szCs w:val="24"/>
                <w:lang w:val="cs-CZ"/>
              </w:rPr>
              <w:t>Příležitosti</w:t>
            </w:r>
          </w:p>
        </w:tc>
        <w:tc>
          <w:tcPr>
            <w:tcW w:w="4606" w:type="dxa"/>
          </w:tcPr>
          <w:p w14:paraId="39F334B3" w14:textId="77777777" w:rsidR="00A16DDB" w:rsidRPr="0062705D" w:rsidRDefault="00A16DDB" w:rsidP="007A627A">
            <w:pPr>
              <w:spacing w:line="276" w:lineRule="auto"/>
              <w:jc w:val="center"/>
              <w:rPr>
                <w:rFonts w:cs="Times New Roman"/>
                <w:b/>
                <w:szCs w:val="24"/>
                <w:lang w:val="cs-CZ"/>
              </w:rPr>
            </w:pPr>
            <w:r w:rsidRPr="0062705D">
              <w:rPr>
                <w:rFonts w:cs="Times New Roman"/>
                <w:b/>
                <w:szCs w:val="24"/>
                <w:lang w:val="cs-CZ"/>
              </w:rPr>
              <w:t>Ohrožení</w:t>
            </w:r>
          </w:p>
        </w:tc>
      </w:tr>
      <w:tr w:rsidR="0062705D" w:rsidRPr="0062705D" w14:paraId="5A2DB2E1" w14:textId="77777777" w:rsidTr="007A627A">
        <w:tc>
          <w:tcPr>
            <w:tcW w:w="4606" w:type="dxa"/>
          </w:tcPr>
          <w:p w14:paraId="35801166" w14:textId="63675E0E" w:rsidR="00A16DDB" w:rsidRPr="0062705D" w:rsidRDefault="00F9766F" w:rsidP="00F9766F">
            <w:pPr>
              <w:pStyle w:val="UZEIOdrky"/>
              <w:ind w:left="460" w:hanging="425"/>
              <w:rPr>
                <w:color w:val="auto"/>
              </w:rPr>
            </w:pPr>
            <w:r w:rsidRPr="0062705D">
              <w:rPr>
                <w:color w:val="auto"/>
              </w:rPr>
              <w:t xml:space="preserve">O1: </w:t>
            </w:r>
            <w:r w:rsidR="00A16DDB" w:rsidRPr="0062705D">
              <w:rPr>
                <w:color w:val="auto"/>
              </w:rPr>
              <w:t>Možnost vysadit cca 2 tis. ha vinic v rámci výsadbových práv</w:t>
            </w:r>
          </w:p>
          <w:p w14:paraId="0D283B11" w14:textId="5AB61F74" w:rsidR="00A16DDB" w:rsidRPr="0062705D" w:rsidRDefault="00F9766F" w:rsidP="00F9766F">
            <w:pPr>
              <w:pStyle w:val="UZEIOdrky"/>
              <w:ind w:left="460" w:hanging="425"/>
              <w:rPr>
                <w:color w:val="auto"/>
              </w:rPr>
            </w:pPr>
            <w:r w:rsidRPr="0062705D">
              <w:rPr>
                <w:color w:val="auto"/>
              </w:rPr>
              <w:t xml:space="preserve">O2: </w:t>
            </w:r>
            <w:r w:rsidR="00A16DDB" w:rsidRPr="0062705D">
              <w:rPr>
                <w:color w:val="auto"/>
              </w:rPr>
              <w:t>Akceptování spotřebitelů na vyšší cenu tuzemského vína proti vínům z dovozu</w:t>
            </w:r>
          </w:p>
          <w:p w14:paraId="41DB5B12" w14:textId="1376AB48" w:rsidR="00A16DDB" w:rsidRPr="0062705D" w:rsidRDefault="00F9766F" w:rsidP="00F9766F">
            <w:pPr>
              <w:pStyle w:val="UZEIOdrky"/>
              <w:ind w:left="460" w:hanging="425"/>
              <w:rPr>
                <w:color w:val="auto"/>
              </w:rPr>
            </w:pPr>
            <w:r w:rsidRPr="0062705D">
              <w:rPr>
                <w:color w:val="auto"/>
              </w:rPr>
              <w:t xml:space="preserve">O3: </w:t>
            </w:r>
            <w:r w:rsidR="00A16DDB" w:rsidRPr="0062705D">
              <w:rPr>
                <w:color w:val="auto"/>
              </w:rPr>
              <w:t xml:space="preserve">Zlepšení vzhledu krajiny </w:t>
            </w:r>
          </w:p>
          <w:p w14:paraId="17419AB5" w14:textId="1F137719" w:rsidR="00A16DDB" w:rsidRPr="0062705D" w:rsidRDefault="00F9766F" w:rsidP="00F9766F">
            <w:pPr>
              <w:pStyle w:val="UZEIOdrky"/>
              <w:ind w:left="460" w:hanging="425"/>
              <w:rPr>
                <w:color w:val="auto"/>
              </w:rPr>
            </w:pPr>
            <w:r w:rsidRPr="0062705D">
              <w:rPr>
                <w:color w:val="auto"/>
              </w:rPr>
              <w:t xml:space="preserve">O4: </w:t>
            </w:r>
            <w:r w:rsidR="00A16DDB" w:rsidRPr="0062705D">
              <w:rPr>
                <w:color w:val="auto"/>
              </w:rPr>
              <w:t xml:space="preserve">Zvyšující se zájem o vinařství a vinařskou turistiku </w:t>
            </w:r>
          </w:p>
          <w:p w14:paraId="4AD8CB13" w14:textId="759B7F27" w:rsidR="00A16DDB" w:rsidRPr="0062705D" w:rsidRDefault="00F9766F" w:rsidP="00F9766F">
            <w:pPr>
              <w:pStyle w:val="UZEIOdrky"/>
              <w:ind w:left="460" w:hanging="425"/>
              <w:rPr>
                <w:color w:val="auto"/>
              </w:rPr>
            </w:pPr>
            <w:r w:rsidRPr="0062705D">
              <w:rPr>
                <w:color w:val="auto"/>
              </w:rPr>
              <w:t xml:space="preserve">O5: </w:t>
            </w:r>
            <w:r w:rsidR="00A16DDB" w:rsidRPr="0062705D">
              <w:rPr>
                <w:color w:val="auto"/>
              </w:rPr>
              <w:t>Vysoký zájem spotřebitelů o tuzemskou produkci</w:t>
            </w:r>
          </w:p>
          <w:p w14:paraId="79F37004" w14:textId="292D20C6" w:rsidR="00A16DDB" w:rsidRPr="0062705D" w:rsidRDefault="00F9766F" w:rsidP="00F9766F">
            <w:pPr>
              <w:pStyle w:val="UZEIOdrky"/>
              <w:ind w:left="460" w:hanging="425"/>
              <w:rPr>
                <w:color w:val="auto"/>
              </w:rPr>
            </w:pPr>
            <w:r w:rsidRPr="0062705D">
              <w:rPr>
                <w:color w:val="auto"/>
              </w:rPr>
              <w:t xml:space="preserve">O6: </w:t>
            </w:r>
            <w:r w:rsidR="00A16DDB" w:rsidRPr="0062705D">
              <w:rPr>
                <w:color w:val="auto"/>
              </w:rPr>
              <w:t>Nárůst zájmu spotřebitelů o produkci EZ</w:t>
            </w:r>
          </w:p>
          <w:p w14:paraId="0B1D3AAC" w14:textId="4DFF80C7" w:rsidR="00A16DDB" w:rsidRPr="0062705D" w:rsidRDefault="00F9766F" w:rsidP="00F9766F">
            <w:pPr>
              <w:pStyle w:val="UZEIOdrky"/>
              <w:ind w:left="460" w:hanging="425"/>
              <w:rPr>
                <w:color w:val="auto"/>
              </w:rPr>
            </w:pPr>
            <w:r w:rsidRPr="0062705D">
              <w:rPr>
                <w:color w:val="auto"/>
              </w:rPr>
              <w:t xml:space="preserve">O7: </w:t>
            </w:r>
            <w:r w:rsidR="00A16DDB" w:rsidRPr="0062705D">
              <w:rPr>
                <w:color w:val="auto"/>
              </w:rPr>
              <w:t>Výsadba odrůd/podnoží s vyšší tolerancí ke klimatickým změnám a s nimi spojeným tlakem škůdců a chorob</w:t>
            </w:r>
          </w:p>
        </w:tc>
        <w:tc>
          <w:tcPr>
            <w:tcW w:w="4606" w:type="dxa"/>
          </w:tcPr>
          <w:p w14:paraId="7B609DA4" w14:textId="2A5BF7B7" w:rsidR="00A16DDB" w:rsidRPr="0062705D" w:rsidRDefault="00F9766F" w:rsidP="00F9766F">
            <w:pPr>
              <w:pStyle w:val="UZEIOdrky"/>
              <w:ind w:left="460" w:hanging="425"/>
              <w:rPr>
                <w:color w:val="auto"/>
              </w:rPr>
            </w:pPr>
            <w:r w:rsidRPr="0062705D">
              <w:rPr>
                <w:color w:val="auto"/>
              </w:rPr>
              <w:t xml:space="preserve">T1: </w:t>
            </w:r>
            <w:r w:rsidR="00A16DDB" w:rsidRPr="0062705D">
              <w:rPr>
                <w:color w:val="auto"/>
              </w:rPr>
              <w:t>Rostoucí vstupy do výroby</w:t>
            </w:r>
          </w:p>
          <w:p w14:paraId="5F6AAD5E" w14:textId="00925A35" w:rsidR="00A16DDB" w:rsidRPr="0062705D" w:rsidRDefault="00F9766F" w:rsidP="00F9766F">
            <w:pPr>
              <w:pStyle w:val="UZEIOdrky"/>
              <w:ind w:left="460" w:hanging="425"/>
              <w:rPr>
                <w:color w:val="auto"/>
              </w:rPr>
            </w:pPr>
            <w:r w:rsidRPr="0062705D">
              <w:rPr>
                <w:color w:val="auto"/>
              </w:rPr>
              <w:t xml:space="preserve">T2: </w:t>
            </w:r>
            <w:r w:rsidR="00A16DDB" w:rsidRPr="0062705D">
              <w:rPr>
                <w:color w:val="auto"/>
              </w:rPr>
              <w:t>Liberalizace výsadbových práv a značení vína v rámci EU</w:t>
            </w:r>
          </w:p>
          <w:p w14:paraId="1A89D700" w14:textId="2955AAA8" w:rsidR="00A16DDB" w:rsidRPr="0062705D" w:rsidRDefault="00F9766F" w:rsidP="00F9766F">
            <w:pPr>
              <w:pStyle w:val="UZEIOdrky"/>
              <w:ind w:left="460" w:hanging="425"/>
              <w:rPr>
                <w:color w:val="auto"/>
              </w:rPr>
            </w:pPr>
            <w:r w:rsidRPr="0062705D">
              <w:rPr>
                <w:color w:val="auto"/>
              </w:rPr>
              <w:t xml:space="preserve">T3: </w:t>
            </w:r>
            <w:r w:rsidR="00A16DDB" w:rsidRPr="0062705D">
              <w:rPr>
                <w:color w:val="auto"/>
              </w:rPr>
              <w:t>Zavedení spotřební daně na víno</w:t>
            </w:r>
          </w:p>
          <w:p w14:paraId="3509EB66" w14:textId="22B94CB7" w:rsidR="00A16DDB" w:rsidRPr="0062705D" w:rsidRDefault="00F9766F" w:rsidP="00F9766F">
            <w:pPr>
              <w:pStyle w:val="UZEIOdrky"/>
              <w:ind w:left="460" w:hanging="425"/>
              <w:rPr>
                <w:color w:val="auto"/>
              </w:rPr>
            </w:pPr>
            <w:r w:rsidRPr="0062705D">
              <w:rPr>
                <w:color w:val="auto"/>
              </w:rPr>
              <w:t xml:space="preserve">T4: </w:t>
            </w:r>
            <w:r w:rsidR="00A16DDB" w:rsidRPr="0062705D">
              <w:rPr>
                <w:color w:val="auto"/>
              </w:rPr>
              <w:t>Dovoz levných vín</w:t>
            </w:r>
          </w:p>
          <w:p w14:paraId="58987E12" w14:textId="2F61433D" w:rsidR="00A16DDB" w:rsidRPr="0062705D" w:rsidRDefault="00F9766F" w:rsidP="00F9766F">
            <w:pPr>
              <w:pStyle w:val="UZEIOdrky"/>
              <w:ind w:left="460" w:hanging="425"/>
              <w:rPr>
                <w:color w:val="auto"/>
              </w:rPr>
            </w:pPr>
            <w:r w:rsidRPr="0062705D">
              <w:rPr>
                <w:color w:val="auto"/>
              </w:rPr>
              <w:t xml:space="preserve">T5: </w:t>
            </w:r>
            <w:r w:rsidR="00A16DDB" w:rsidRPr="0062705D">
              <w:rPr>
                <w:color w:val="auto"/>
              </w:rPr>
              <w:t>Klamavé značení vín z dovozu (EU)</w:t>
            </w:r>
          </w:p>
          <w:p w14:paraId="6D296675" w14:textId="5A6A090B" w:rsidR="00A16DDB" w:rsidRPr="0062705D" w:rsidRDefault="00F9766F" w:rsidP="00F9766F">
            <w:pPr>
              <w:pStyle w:val="UZEIOdrky"/>
              <w:ind w:left="460" w:hanging="425"/>
              <w:rPr>
                <w:color w:val="auto"/>
              </w:rPr>
            </w:pPr>
            <w:r w:rsidRPr="0062705D">
              <w:rPr>
                <w:color w:val="auto"/>
              </w:rPr>
              <w:t xml:space="preserve">T6: </w:t>
            </w:r>
            <w:r w:rsidR="00A16DDB" w:rsidRPr="0062705D">
              <w:rPr>
                <w:color w:val="auto"/>
              </w:rPr>
              <w:t>Tlak obchodních řetězců na ceny tuzemského vína</w:t>
            </w:r>
          </w:p>
          <w:p w14:paraId="684C8240" w14:textId="77777777" w:rsidR="00A16DDB" w:rsidRPr="0062705D" w:rsidRDefault="00A16DDB" w:rsidP="00F9766F">
            <w:pPr>
              <w:pStyle w:val="UZEIOdrky"/>
              <w:numPr>
                <w:ilvl w:val="0"/>
                <w:numId w:val="0"/>
              </w:numPr>
              <w:ind w:left="460"/>
              <w:rPr>
                <w:color w:val="auto"/>
              </w:rPr>
            </w:pPr>
          </w:p>
        </w:tc>
      </w:tr>
    </w:tbl>
    <w:p w14:paraId="26345594" w14:textId="77777777" w:rsidR="00A16DDB" w:rsidRPr="0062705D" w:rsidRDefault="00A16DDB" w:rsidP="00A16DDB">
      <w:pPr>
        <w:rPr>
          <w:rFonts w:cs="Times New Roman"/>
          <w:szCs w:val="24"/>
          <w:lang w:val="cs-CZ"/>
        </w:rPr>
      </w:pPr>
    </w:p>
    <w:p w14:paraId="35B12023" w14:textId="12A7F656" w:rsidR="00A16DDB" w:rsidRPr="00EE6983" w:rsidRDefault="00A16DDB" w:rsidP="00EE6983">
      <w:pPr>
        <w:pStyle w:val="UZEINormaln"/>
        <w:rPr>
          <w:b/>
          <w:bCs/>
          <w:sz w:val="28"/>
          <w:szCs w:val="28"/>
        </w:rPr>
      </w:pPr>
      <w:r w:rsidRPr="0062705D">
        <w:br w:type="page"/>
      </w:r>
      <w:bookmarkStart w:id="244" w:name="_Toc16691074"/>
      <w:r w:rsidRPr="00EE6983">
        <w:rPr>
          <w:b/>
          <w:bCs/>
          <w:sz w:val="28"/>
          <w:szCs w:val="28"/>
        </w:rPr>
        <w:t>OKOPANINY</w:t>
      </w:r>
      <w:bookmarkStart w:id="245" w:name="_Toc15304047"/>
      <w:r w:rsidRPr="00EE6983">
        <w:rPr>
          <w:b/>
          <w:bCs/>
          <w:sz w:val="28"/>
          <w:szCs w:val="28"/>
        </w:rPr>
        <w:t xml:space="preserve"> </w:t>
      </w:r>
      <w:bookmarkEnd w:id="141"/>
      <w:bookmarkEnd w:id="142"/>
      <w:bookmarkEnd w:id="143"/>
      <w:bookmarkEnd w:id="244"/>
      <w:bookmarkEnd w:id="245"/>
    </w:p>
    <w:p w14:paraId="672ABBD9" w14:textId="107B91CF" w:rsidR="00A16DDB" w:rsidRPr="00D95127" w:rsidRDefault="00A16DDB" w:rsidP="00B23C07">
      <w:pPr>
        <w:pStyle w:val="UZEINormaln"/>
      </w:pPr>
      <w:r w:rsidRPr="00D95127">
        <w:t>Okopaniny patří ke zlepšujícím polním plodinám s vysokou předplodinovou hodnotou, jejichž pěstování v polních kulturách je velmi náročné a pracné. Mají velký význam v soustavě hospodaření na půdě a zlepšování její dlouhodobé úrodnosti. Představují významnou skupinu polních plodin s vysokými produkčními schopnostmi biomasy, stravitelných dusíkatých látek a organických látek (cukr, škrob, inulín), ale i s nízkým obsahem sušiny (10–30 %), která limituje jejich dobu skladovatelnosti. Využívají se hlavně pro přímou výživu (brambory) nebo se z nich vyrábějí průmyslové produkty. V současné době se některé okopaniny využívají také jako energetické a speciální plodiny, určené k nepotravinářské výrobě a zajištění obnovitelných zdrojů energie (cukrovka-výroba kvasného lihu na lihobenzinové směsi a brambory-výroba škrobu pro nepotravinářské využití). Okopaniny se podílení přibližně 3,4 % na sklizňové ploše komodit v ČR.</w:t>
      </w:r>
    </w:p>
    <w:p w14:paraId="6D756B91" w14:textId="77777777" w:rsidR="00A16DDB" w:rsidRPr="00D95127" w:rsidRDefault="00A16DDB" w:rsidP="00B23C07">
      <w:pPr>
        <w:pStyle w:val="UZEINormaln"/>
      </w:pPr>
      <w:r w:rsidRPr="00D95127">
        <w:t xml:space="preserve">Postavení cukrové řepy a brambor v zemědělské výrobě mají odlišný charakter. Společným jmenovatelem jsou vyšší náklady na pěstování ve srovnání s obilovinami a olejninami, vyšší cenové výkyvy a nižší dosažená rentabilita. </w:t>
      </w:r>
    </w:p>
    <w:p w14:paraId="56DE00BC" w14:textId="58B7FA7F" w:rsidR="00A16DDB" w:rsidRPr="00B10832" w:rsidRDefault="00A16DDB" w:rsidP="00B10832">
      <w:pPr>
        <w:pStyle w:val="UZEINadpis1stbezsla"/>
        <w:rPr>
          <w:rFonts w:cs="Times New Roman"/>
        </w:rPr>
      </w:pPr>
      <w:bookmarkStart w:id="246" w:name="_Toc23509851"/>
      <w:bookmarkStart w:id="247" w:name="_Toc76137358"/>
      <w:bookmarkStart w:id="248" w:name="_Toc76637557"/>
      <w:bookmarkStart w:id="249" w:name="_Toc80953236"/>
      <w:bookmarkStart w:id="250" w:name="_Toc81739192"/>
      <w:r w:rsidRPr="00EE6983">
        <w:t>B</w:t>
      </w:r>
      <w:bookmarkEnd w:id="246"/>
      <w:r w:rsidRPr="00EE6983">
        <w:t>RAMBORY</w:t>
      </w:r>
      <w:bookmarkEnd w:id="247"/>
      <w:bookmarkEnd w:id="248"/>
      <w:bookmarkEnd w:id="249"/>
      <w:bookmarkEnd w:id="250"/>
    </w:p>
    <w:p w14:paraId="1DCF023E" w14:textId="77777777" w:rsidR="00A16DDB" w:rsidRPr="00D95127" w:rsidRDefault="00A16DDB" w:rsidP="00DE7D57">
      <w:pPr>
        <w:pStyle w:val="Nadpis1"/>
        <w:numPr>
          <w:ilvl w:val="0"/>
          <w:numId w:val="12"/>
        </w:numPr>
      </w:pPr>
      <w:bookmarkStart w:id="251" w:name="_Toc16691075"/>
      <w:bookmarkStart w:id="252" w:name="_Toc15304048"/>
      <w:bookmarkStart w:id="253" w:name="_Toc23509852"/>
      <w:bookmarkStart w:id="254" w:name="_Toc76137359"/>
      <w:bookmarkStart w:id="255" w:name="_Toc76637558"/>
      <w:bookmarkStart w:id="256" w:name="_Toc80953237"/>
      <w:bookmarkStart w:id="257" w:name="_Toc81739193"/>
      <w:r w:rsidRPr="00D95127">
        <w:t>Analýza stávajících/navrhovaných právních předpisů EK/ČR a pravděpodobné nastavení směrů a cílů SZP</w:t>
      </w:r>
      <w:bookmarkEnd w:id="251"/>
      <w:bookmarkEnd w:id="252"/>
      <w:bookmarkEnd w:id="253"/>
      <w:bookmarkEnd w:id="254"/>
      <w:bookmarkEnd w:id="255"/>
      <w:bookmarkEnd w:id="256"/>
      <w:bookmarkEnd w:id="257"/>
    </w:p>
    <w:p w14:paraId="2995C51D" w14:textId="17797C24" w:rsidR="00A16DDB" w:rsidRPr="00C624B3" w:rsidRDefault="00A16DDB" w:rsidP="00EE6983">
      <w:pPr>
        <w:pStyle w:val="UZEINormaln"/>
        <w:rPr>
          <w:u w:val="single"/>
        </w:rPr>
      </w:pPr>
      <w:r w:rsidRPr="00C624B3">
        <w:rPr>
          <w:u w:val="single"/>
        </w:rPr>
        <w:t>Tato část je zpracována souhrnně v základním analytickém dokumentu za oblast konkurenceschopnost zemědělství.</w:t>
      </w:r>
      <w:r w:rsidR="00633E4A" w:rsidRPr="00C624B3">
        <w:rPr>
          <w:u w:val="single"/>
        </w:rPr>
        <w:t xml:space="preserve"> </w:t>
      </w:r>
    </w:p>
    <w:p w14:paraId="61A0DC19" w14:textId="1ABEB3E8" w:rsidR="00B63111" w:rsidRPr="00B63111" w:rsidRDefault="00B63111" w:rsidP="00B63111">
      <w:pPr>
        <w:spacing w:after="160" w:line="259" w:lineRule="auto"/>
        <w:jc w:val="left"/>
        <w:rPr>
          <w:rFonts w:eastAsia="Times New Roman" w:cstheme="minorHAnsi"/>
          <w:szCs w:val="24"/>
          <w:lang w:val="cs-CZ" w:eastAsia="cs-CZ"/>
        </w:rPr>
      </w:pPr>
      <w:r>
        <w:br w:type="page"/>
      </w:r>
    </w:p>
    <w:p w14:paraId="71B7B309" w14:textId="56A2B62F" w:rsidR="00A16DDB" w:rsidRPr="0002779D" w:rsidRDefault="00A16DDB" w:rsidP="00A02646">
      <w:pPr>
        <w:pStyle w:val="Nadpis1"/>
      </w:pPr>
      <w:bookmarkStart w:id="258" w:name="_Toc16691076"/>
      <w:bookmarkStart w:id="259" w:name="_Toc15304049"/>
      <w:bookmarkStart w:id="260" w:name="_Toc23509853"/>
      <w:bookmarkStart w:id="261" w:name="_Toc76137360"/>
      <w:bookmarkStart w:id="262" w:name="_Toc76637559"/>
      <w:bookmarkStart w:id="263" w:name="_Toc80953238"/>
      <w:bookmarkStart w:id="264" w:name="_Toc81739194"/>
      <w:r w:rsidRPr="0002779D">
        <w:t>Co je skutečným problémem, na který má politika reagovat?</w:t>
      </w:r>
      <w:bookmarkEnd w:id="258"/>
      <w:bookmarkEnd w:id="259"/>
      <w:bookmarkEnd w:id="260"/>
      <w:bookmarkEnd w:id="261"/>
      <w:bookmarkEnd w:id="262"/>
      <w:bookmarkEnd w:id="263"/>
      <w:bookmarkEnd w:id="264"/>
    </w:p>
    <w:p w14:paraId="2F5C67BE" w14:textId="3CC605CD" w:rsidR="00A16DDB" w:rsidRPr="00D95127" w:rsidRDefault="00A16DDB" w:rsidP="0002779D">
      <w:pPr>
        <w:pStyle w:val="UZEINormaln"/>
        <w:rPr>
          <w:rFonts w:cs="Times New Roman"/>
        </w:rPr>
      </w:pPr>
      <w:r w:rsidRPr="00D95127">
        <w:t>Brambory konzumní nedosahují dostatečnou míru soběstačnosti, mají nízkou konkurenceschopnost na evropském trhu. I z těchto důvodů došlo k vyššímu poklesu plochy a produkce. Plochy konzumních brambor se v letech 2011–2020 každoročně snižovaly, celkový pokles sklizňové plochy za sledované období představoval 28,8 %. Dosažená produkce konzumních brambor reagovala na výnos v daném roce a na měnící se sklizňovou plochu. Čeští pěstitelé se zatím nepřibližují průměrnému výnosu pěstitelsky největším producentům v zemích EU (5). V roce 2020 dosáhl pouze 60 % průměrného výnosu EU (5)</w:t>
      </w:r>
      <w:r w:rsidRPr="00D95127">
        <w:rPr>
          <w:rStyle w:val="Znakapoznpodarou"/>
        </w:rPr>
        <w:footnoteReference w:id="11"/>
      </w:r>
      <w:r w:rsidRPr="00D95127">
        <w:t xml:space="preserve">. Ve srovnání s rokem 2011 se produkce brambor konzumních v roce 2020 zvýšila o 24,3 %, ale jednalo se o rok s extrémně nízkým výnosem, který neodpovídá 10-letému průměru 374,7 tis. t. </w:t>
      </w:r>
    </w:p>
    <w:p w14:paraId="0704A717" w14:textId="2C213C31" w:rsidR="00A16DDB" w:rsidRPr="00D95127" w:rsidRDefault="00A16DDB" w:rsidP="0002779D">
      <w:pPr>
        <w:pStyle w:val="UZEINormaln"/>
        <w:rPr>
          <w:rFonts w:cs="Times New Roman"/>
        </w:rPr>
      </w:pPr>
      <w:r w:rsidRPr="00D95127">
        <w:t>Přibližně 30</w:t>
      </w:r>
      <w:r w:rsidRPr="00D95127">
        <w:noBreakHyphen/>
        <w:t xml:space="preserve">35 % nabídky konzumních brambor je kryto dovozem. Sektor brambor na výrobu škrobu je stabilizovaný, produkční plocha je cca 6 tis. ha, z čehož 25 % brambor je vyváženo do Rakouska. Škrobárny v České republice mají větší potenciál zpracování brambor, než je současná produkční plocha. V sousedních zemích rozsah pěstovaných ploch škrobových brambor dosahuje 5 tis. ha v Rakousku a 39 tis. ha v Německu. </w:t>
      </w:r>
    </w:p>
    <w:p w14:paraId="588AC045" w14:textId="58886C3A" w:rsidR="00B66A14" w:rsidRDefault="00A16DDB" w:rsidP="0002779D">
      <w:pPr>
        <w:pStyle w:val="UZEINormaln"/>
        <w:rPr>
          <w:rFonts w:cs="Times New Roman"/>
        </w:rPr>
      </w:pPr>
      <w:r w:rsidRPr="0002779D">
        <w:t xml:space="preserve">Míra soběstačnosti za brambory celkem kolísá v důsledku velkých meziročních výkyvů ve </w:t>
      </w:r>
      <w:r w:rsidRPr="00B10832">
        <w:t>výnosu ve sledovaném období mezi 66</w:t>
      </w:r>
      <w:r w:rsidRPr="00B10832">
        <w:noBreakHyphen/>
        <w:t>76 %, přičemž v roce 2020 se očekává soběstačnost cca 80 %.</w:t>
      </w:r>
      <w:r w:rsidRPr="00B10832" w:rsidDel="00515BAF">
        <w:rPr>
          <w:rFonts w:cs="Times New Roman"/>
        </w:rPr>
        <w:t xml:space="preserve"> </w:t>
      </w:r>
      <w:r w:rsidRPr="00B10832">
        <w:rPr>
          <w:rFonts w:cs="Times New Roman"/>
        </w:rPr>
        <w:t>V případě brambor se mezi obdobími let 2009</w:t>
      </w:r>
      <w:r w:rsidRPr="00B10832">
        <w:rPr>
          <w:rFonts w:cs="Times New Roman"/>
        </w:rPr>
        <w:noBreakHyphen/>
        <w:t xml:space="preserve">11 a 2015-17 záporná obchodní bilance prohloubila téměř o polovinu na </w:t>
      </w:r>
      <w:r w:rsidRPr="00B10832">
        <w:rPr>
          <w:rFonts w:cs="Times New Roman"/>
        </w:rPr>
        <w:noBreakHyphen/>
        <w:t>704 mil. Kč.  Konkurenční pozice českých producentů konzumních brambor zůstává slabá a vážně ohrožuje plnění strategických vizí z hlediska rozsahu ploch a míry soběstačnosti u tohoto odvětví.</w:t>
      </w:r>
      <w:r w:rsidRPr="00B10832">
        <w:rPr>
          <w:rStyle w:val="Znakapoznpodarou"/>
        </w:rPr>
        <w:footnoteReference w:id="12"/>
      </w:r>
    </w:p>
    <w:p w14:paraId="409613F5" w14:textId="7FC4B5E6" w:rsidR="00A16DDB" w:rsidRPr="00B66A14" w:rsidRDefault="00B66A14" w:rsidP="00B66A14">
      <w:pPr>
        <w:spacing w:after="160" w:line="259" w:lineRule="auto"/>
        <w:jc w:val="left"/>
        <w:rPr>
          <w:rFonts w:eastAsia="Times New Roman" w:cs="Times New Roman"/>
          <w:szCs w:val="24"/>
          <w:lang w:val="cs-CZ" w:eastAsia="cs-CZ"/>
        </w:rPr>
      </w:pPr>
      <w:r>
        <w:rPr>
          <w:rFonts w:cs="Times New Roman"/>
        </w:rPr>
        <w:br w:type="page"/>
      </w:r>
    </w:p>
    <w:p w14:paraId="46B77AF3" w14:textId="77777777" w:rsidR="00A16DDB" w:rsidRPr="0002779D" w:rsidRDefault="00A16DDB" w:rsidP="00A02646">
      <w:pPr>
        <w:pStyle w:val="Nadpis1"/>
      </w:pPr>
      <w:bookmarkStart w:id="265" w:name="_Toc27156896"/>
      <w:bookmarkStart w:id="266" w:name="_Toc27172131"/>
      <w:bookmarkStart w:id="267" w:name="_Toc27172783"/>
      <w:bookmarkStart w:id="268" w:name="_Toc27172936"/>
      <w:bookmarkStart w:id="269" w:name="_Toc16691077"/>
      <w:bookmarkStart w:id="270" w:name="_Toc15304050"/>
      <w:bookmarkStart w:id="271" w:name="_Toc23509854"/>
      <w:bookmarkStart w:id="272" w:name="_Toc76137361"/>
      <w:bookmarkStart w:id="273" w:name="_Toc76637560"/>
      <w:bookmarkStart w:id="274" w:name="_Toc80953239"/>
      <w:bookmarkStart w:id="275" w:name="_Toc81739195"/>
      <w:bookmarkEnd w:id="265"/>
      <w:bookmarkEnd w:id="266"/>
      <w:bookmarkEnd w:id="267"/>
      <w:bookmarkEnd w:id="268"/>
      <w:r w:rsidRPr="0002779D">
        <w:t>Jaký je mechanismus a příčiny tohoto problému?</w:t>
      </w:r>
      <w:bookmarkEnd w:id="269"/>
      <w:bookmarkEnd w:id="270"/>
      <w:bookmarkEnd w:id="271"/>
      <w:bookmarkEnd w:id="272"/>
      <w:bookmarkEnd w:id="273"/>
      <w:bookmarkEnd w:id="274"/>
      <w:bookmarkEnd w:id="275"/>
    </w:p>
    <w:p w14:paraId="07F4930C" w14:textId="77777777" w:rsidR="00A16DDB" w:rsidRPr="00D95127" w:rsidRDefault="00A16DDB" w:rsidP="0002779D">
      <w:pPr>
        <w:pStyle w:val="UZEINormaln"/>
        <w:rPr>
          <w:rFonts w:cs="Times New Roman"/>
        </w:rPr>
      </w:pPr>
      <w:r w:rsidRPr="00D95127">
        <w:t xml:space="preserve">Příčiny problémů v odvětví </w:t>
      </w:r>
      <w:r w:rsidRPr="00D95127">
        <w:rPr>
          <w:rFonts w:cs="Times New Roman"/>
          <w:b/>
        </w:rPr>
        <w:t>brambor celkem</w:t>
      </w:r>
      <w:r w:rsidRPr="00D95127">
        <w:rPr>
          <w:rFonts w:cs="Times New Roman"/>
        </w:rPr>
        <w:t xml:space="preserve"> zahrnující brambory konzumní pozdní, rané, sadbu a brambory pro výrobu škrobu, jsou:</w:t>
      </w:r>
    </w:p>
    <w:p w14:paraId="4CB9F3DF" w14:textId="77777777" w:rsidR="00A16DDB" w:rsidRPr="00D95127" w:rsidRDefault="00A16DDB" w:rsidP="0002779D">
      <w:pPr>
        <w:pStyle w:val="UZEIOdrky"/>
        <w:rPr>
          <w:b/>
        </w:rPr>
      </w:pPr>
      <w:r w:rsidRPr="00D95127">
        <w:rPr>
          <w:b/>
        </w:rPr>
        <w:t>nižší úroveň výnosů a jejich vyšší variabilita ve srovnání s konkurenty</w:t>
      </w:r>
    </w:p>
    <w:p w14:paraId="14CD9AEA" w14:textId="77777777" w:rsidR="00A16DDB" w:rsidRPr="00D95127" w:rsidRDefault="00A16DDB" w:rsidP="0002779D">
      <w:pPr>
        <w:pStyle w:val="UZEIOdrky"/>
        <w:rPr>
          <w:b/>
        </w:rPr>
      </w:pPr>
      <w:r w:rsidRPr="00D95127">
        <w:rPr>
          <w:b/>
        </w:rPr>
        <w:t>vysoká meziroční volatilita cen konzumních brambor</w:t>
      </w:r>
    </w:p>
    <w:p w14:paraId="2EBCC1E0" w14:textId="77777777" w:rsidR="00A16DDB" w:rsidRPr="00D95127" w:rsidRDefault="00A16DDB" w:rsidP="0002779D">
      <w:pPr>
        <w:pStyle w:val="UZEIOdrky"/>
        <w:rPr>
          <w:b/>
        </w:rPr>
      </w:pPr>
      <w:r w:rsidRPr="00D95127">
        <w:rPr>
          <w:b/>
        </w:rPr>
        <w:t>vysoká variabilita nákladů mezi třetinami nejlepších a nejhorších podniků</w:t>
      </w:r>
    </w:p>
    <w:p w14:paraId="1A667110" w14:textId="77777777" w:rsidR="00A16DDB" w:rsidRPr="00D95127" w:rsidRDefault="00A16DDB" w:rsidP="0002779D">
      <w:pPr>
        <w:pStyle w:val="UZEIOdrky"/>
        <w:rPr>
          <w:b/>
        </w:rPr>
      </w:pPr>
      <w:r w:rsidRPr="00D95127">
        <w:rPr>
          <w:b/>
        </w:rPr>
        <w:t>vysoké dovozy konzumních brambor za nižší ceny na trhu</w:t>
      </w:r>
    </w:p>
    <w:p w14:paraId="670C3F9D" w14:textId="77777777" w:rsidR="00A16DDB" w:rsidRPr="00D95127" w:rsidRDefault="00A16DDB" w:rsidP="0002779D">
      <w:pPr>
        <w:pStyle w:val="UZEIOdrky"/>
        <w:rPr>
          <w:b/>
        </w:rPr>
      </w:pPr>
      <w:r w:rsidRPr="00D95127">
        <w:rPr>
          <w:b/>
        </w:rPr>
        <w:t>nedostatečná kapacita kvalitních (klimatizovaných) skladů brambor</w:t>
      </w:r>
    </w:p>
    <w:p w14:paraId="5BF14AD7" w14:textId="7841F8F2" w:rsidR="00A16DDB" w:rsidRPr="00D95127" w:rsidRDefault="00A16DDB" w:rsidP="0002779D">
      <w:pPr>
        <w:pStyle w:val="UZEIOdrky"/>
        <w:rPr>
          <w:b/>
        </w:rPr>
      </w:pPr>
      <w:r w:rsidRPr="00D95127">
        <w:rPr>
          <w:b/>
        </w:rPr>
        <w:t>vysoká nákladovost a pracnost pěstování brambor v porovnání s cukrovou řepou téměř 2x vyšší a s obilím 4x vyšší)</w:t>
      </w:r>
    </w:p>
    <w:p w14:paraId="52D10E05" w14:textId="77777777" w:rsidR="00A16DDB" w:rsidRPr="00D95127" w:rsidRDefault="00A16DDB" w:rsidP="0002779D">
      <w:pPr>
        <w:pStyle w:val="UZEIOdrky"/>
        <w:rPr>
          <w:b/>
        </w:rPr>
      </w:pPr>
      <w:r w:rsidRPr="00D95127">
        <w:rPr>
          <w:b/>
        </w:rPr>
        <w:t>nedostatečná organizovanost prvovýrobců v rámci vertikály (např. v odbytových organizacích)</w:t>
      </w:r>
    </w:p>
    <w:p w14:paraId="3913AF95" w14:textId="77777777" w:rsidR="00A16DDB" w:rsidRPr="00D95127" w:rsidRDefault="00A16DDB" w:rsidP="0002779D">
      <w:pPr>
        <w:pStyle w:val="UZEIOdrky"/>
        <w:rPr>
          <w:b/>
        </w:rPr>
      </w:pPr>
      <w:r w:rsidRPr="00D95127">
        <w:rPr>
          <w:b/>
        </w:rPr>
        <w:t>pokles a změna struktury spotřeby konzumních brambor, které se nepřizpůsobili pěstitelé volbou vhodných odrůd, ani zpracovatelé výrobou výrobků s vyšší přidanou hodnotou)</w:t>
      </w:r>
    </w:p>
    <w:p w14:paraId="4343B1D5" w14:textId="77777777" w:rsidR="00A16DDB" w:rsidRPr="0002779D" w:rsidRDefault="00A16DDB" w:rsidP="0002779D">
      <w:pPr>
        <w:pStyle w:val="UZEIOdrky"/>
        <w:rPr>
          <w:b/>
        </w:rPr>
      </w:pPr>
      <w:r w:rsidRPr="00D95127">
        <w:rPr>
          <w:b/>
        </w:rPr>
        <w:t>technologicky obtížně realizovatelná produkce brambor v ekologickém režimu</w:t>
      </w:r>
    </w:p>
    <w:p w14:paraId="170A15E4" w14:textId="77777777" w:rsidR="00A16DDB" w:rsidRPr="00D95127" w:rsidRDefault="00A16DDB" w:rsidP="003570A6">
      <w:pPr>
        <w:pStyle w:val="UZEINormaln"/>
        <w:rPr>
          <w:rFonts w:cs="Times New Roman"/>
        </w:rPr>
      </w:pPr>
      <w:r w:rsidRPr="00D95127">
        <w:t>Vlivem těchto příčin postupně došlo v sektoru brambor celkem k poklesu rozlohy, celkové produkce a její nahrazení dovozy především v kategorii brambor konzumních</w:t>
      </w:r>
    </w:p>
    <w:p w14:paraId="78F699AD" w14:textId="61CC7F5C" w:rsidR="00A16DDB" w:rsidRPr="00D95127" w:rsidRDefault="00A16DDB" w:rsidP="003570A6">
      <w:pPr>
        <w:pStyle w:val="UZEINormaln"/>
        <w:rPr>
          <w:rFonts w:cs="Times New Roman"/>
        </w:rPr>
      </w:pPr>
      <w:r w:rsidRPr="00D95127">
        <w:t>Hlavní příčinou nízké konkurenceschopnosti konzumních brambor je dlouhodobě nízká rentabilita jejich pěstování (2011-2018). Zlepšení nastalo až v roce 2019 a 2020 z důvodu zvýšení CZV a výnosu. Finanční podpory formou přímých plateb, VCS a ostatních plateb zvyšují souhrnnou rentabilitu pěstování konzumních brambor, ale méně u brambor na výrobu škrobu. Přesto je úroveň rentability až na výjimky záporná. Úroveň přímých plateb na hektar se na škrobové brambory s rostoucí plochou snižovala.  Průměrné osázené plochy brambor na výrobu škrobu se v rozmezí let 2017-2020 pohybovaly na úrovni 6 tis. ha. Lze předpokládat podobný trend v budoucnu za předpokladu, že se nebude měnit celkový finanční objem prostředků vyplácený nyní na přímé platby. Pěstování brambor na výrobu škrobu se stabilizovalo, pěstování konzumních brambor se plošně spíše omezuje.</w:t>
      </w:r>
    </w:p>
    <w:p w14:paraId="2772777D" w14:textId="3FAF03A8" w:rsidR="00A16DDB" w:rsidRPr="00D95127" w:rsidRDefault="00A16DDB" w:rsidP="003570A6">
      <w:pPr>
        <w:pStyle w:val="UZEINormaln"/>
        <w:rPr>
          <w:rFonts w:cs="Times New Roman"/>
        </w:rPr>
      </w:pPr>
      <w:r w:rsidRPr="00D95127">
        <w:t xml:space="preserve">Nízká rentabilita u brambor je způsobena mj. nízkou úrovní hektarového výnosu. Rok 2018 byl pro většinu pěstitelů v Evropě výrazně ovlivněn povětrnostními podmínkami. V EU (5) poklesl průměrný výnos na 40,9 t/ha (snížení o 18,6 %). Čeští pěstitelé zaznamenali pokles průměrného výnosu na 25,5 t/ha (snížení o 10,5 %). </w:t>
      </w:r>
      <w:bookmarkStart w:id="276" w:name="_Hlk19021583"/>
      <w:r w:rsidRPr="00D95127">
        <w:t xml:space="preserve">Ke zvýšení průměrného výnosu brambor konzumních došlo v zemích EU (5) na 43,8 t/ha v roce 2019 a 44,8 t/ha v roce 2020, zatímco </w:t>
      </w:r>
      <w:r w:rsidRPr="00D95127">
        <w:rPr>
          <w:sz w:val="22"/>
        </w:rPr>
        <w:t>v</w:t>
      </w:r>
      <w:r w:rsidRPr="00D95127">
        <w:t> ČR průměrný výnos v období 2018-2020 dosáhl pouze 26,3 t/ha. Rozdíly v dosažených hektarových výnosech brambor mezi ČR a např. Německem jsou dány většinou vlivem odlišné kvality půd nižším množstvím přípravků na ochranu rostlin, nižším množstvím minerálních hnojiv a někde i využitím závlahy, která se u nás u brambor pozdních téměř nevyužívá</w:t>
      </w:r>
      <w:bookmarkEnd w:id="276"/>
      <w:r w:rsidRPr="00D95127">
        <w:t xml:space="preserve">. Negativně se na nabídce tuzemských brambor projevuje nedostatečné množství kvalitních skladů. Použité technologické systémy skladování brambor rozhodují o konečných výsledcích produkce. Zavádění nových technologických postupů do praxe v ČR je finančně náročné a využívají je hlavně velcí pěstitelé, kteří se na pěstování brambor specializují. Rozdílná úroveň specializace podniků a jejich technického vybavení a dále různé podmínky, ve kterých pěstitelé pěstují brambory v odlišných přírodně-klimatických a půdních podmínkách (Vysočina–oblast pro klasické pěstování brambor, Polabí – intenzivní produkce pod závlahou…) a nároky na technologická zajištění, úroveň ošetření POR a rozdílná pracovní náročnost vede k vysoké </w:t>
      </w:r>
      <w:r w:rsidRPr="00D95127">
        <w:rPr>
          <w:rFonts w:cs="Times New Roman"/>
        </w:rPr>
        <w:t>variabilitě nákladů v přepočtu na ha mezi třetinami nejlepších a nejhorších podniků.</w:t>
      </w:r>
    </w:p>
    <w:p w14:paraId="6D5EB0C7" w14:textId="77777777" w:rsidR="00A16DDB" w:rsidRPr="00D95127" w:rsidRDefault="00A16DDB" w:rsidP="003570A6">
      <w:pPr>
        <w:pStyle w:val="UZEINormaln"/>
        <w:rPr>
          <w:rFonts w:cs="Times New Roman"/>
        </w:rPr>
      </w:pPr>
      <w:r w:rsidRPr="003570A6">
        <w:t>Současně je v ČR dosahována vyšší variabilita meziročního výnosu měřená variačním koeficientem v období let 2005-2017 ve výši 10 % zatímco průměrný variační koeficient u nejvýznamnějších 5 evropských pěstitelů (EU 5) dosahuje 6,7 %.</w:t>
      </w:r>
      <w:r w:rsidRPr="00D95127">
        <w:rPr>
          <w:rFonts w:cs="Times New Roman"/>
        </w:rPr>
        <w:t xml:space="preserve"> To je částečně způsobeno vhodnějšími klimatickými podmínkami pro pěstování brambor, využíváním závlah (v ČR je pod závlahou přibližně pouze 1 000 ha, tj. 4 % plochy brambor) a vysokou intenzitou produkce. Jisté rezervy jsou i v dosahované efektivnosti českých producentů, protože rozdíl v jednotkových nákladech na tunu produkce mezi nadprůměrnou a podprůměrnou třetinou podniků dosahuje v průměru rozdílu 68 %.</w:t>
      </w:r>
    </w:p>
    <w:p w14:paraId="64B0AF3D" w14:textId="1A2299C1" w:rsidR="00A16DDB" w:rsidRPr="00D95127" w:rsidRDefault="00A16DDB" w:rsidP="003570A6">
      <w:pPr>
        <w:pStyle w:val="UZEINormaln"/>
        <w:rPr>
          <w:rFonts w:cs="Times New Roman"/>
        </w:rPr>
      </w:pPr>
      <w:bookmarkStart w:id="277" w:name="_Hlk19022205"/>
      <w:r w:rsidRPr="00D95127">
        <w:t xml:space="preserve">Neustálým problémem je meziroční kolísání cen zemědělských výrobců, které je ovlivněno mj.  vysokým dovozem nadsmluvních konzumních brambor od významných evropských konkurentů (především z Německa). Brambory prodané na základě dlouhodobých smluv a za ceny platné pro tyto smlouvy v EU (5) české pěstitele neohrožují. I při nižších výnosech, které domácí pěstitelé běžně dosahují, jsou pěstitelské náklady na tunu brambor u nás přibližně stejné jako v zemích EU (5).  </w:t>
      </w:r>
    </w:p>
    <w:p w14:paraId="693F9531" w14:textId="36E1E067" w:rsidR="00A16DDB" w:rsidRPr="00D95127" w:rsidRDefault="00A16DDB" w:rsidP="003570A6">
      <w:pPr>
        <w:pStyle w:val="UZEINormaln"/>
        <w:rPr>
          <w:rFonts w:cs="Times New Roman"/>
        </w:rPr>
      </w:pPr>
      <w:r w:rsidRPr="00D95127">
        <w:t xml:space="preserve">V zemích EU (5) se plochy konzumních brambor v letech 2011-2020 zvýšily o 13,7 % a produkce vzhledem k propadu výnosu v roce 2018 vzrostla v období 2011-2020 jen o 4,3 %. Současně jsou průměrné ceny zemědělských výrobců těchto nejvýznamnějších producentů v období 2011-2020 oproti českým v průměru o přibližně 9,2 % vyšší. Pro české pěstitele jsou konkurenční především ceny přebytkových (nadsmluvních) brambor v Německu, kde se zvýšila produkce od roku 2011 do 2020 o 75 %. Předpokládá se, že přebytky brambor po pokrytí vlastní domácí spotřeby a cenová dostupnost zvýší objem dovozu brambor do ČR právě z Německa. Cena těchto brambor a může ovlivnit nabídku brambor českých pěstitelů. </w:t>
      </w:r>
    </w:p>
    <w:bookmarkEnd w:id="277"/>
    <w:p w14:paraId="474B776E" w14:textId="37FAA55D" w:rsidR="00A16DDB" w:rsidRPr="00D95127" w:rsidRDefault="00A16DDB" w:rsidP="003570A6">
      <w:pPr>
        <w:pStyle w:val="UZEINormaln"/>
        <w:rPr>
          <w:rFonts w:cs="Times New Roman"/>
        </w:rPr>
      </w:pPr>
      <w:r w:rsidRPr="00D95127">
        <w:t>Nízká organizovanost prvovýrobců způsobuje také omezené možnosti dodávat brambory zpracovatelům a přímo do obchodních řetězců. Dlouhodobě aktivní jsou na tuzemském trhu dvě organizace producentů</w:t>
      </w:r>
      <w:r w:rsidRPr="00D95127">
        <w:rPr>
          <w:rStyle w:val="Znakapoznpodarou"/>
        </w:rPr>
        <w:footnoteReference w:id="13"/>
      </w:r>
      <w:r w:rsidRPr="00D95127">
        <w:rPr>
          <w:rFonts w:cs="Times New Roman"/>
        </w:rPr>
        <w:t>: Odbytové družstvo Polabí (cca 600 ha brambor) a Východočeská zelenina – družstvo producentů zeleniny a jedna nadnárodní organizace producentů Družstvo BRAMKO CZ, které společně pokrývají cca 10 % celkové produkce brambor. Velké obchodní řetězce požadují plynulé zásobování v požadované kvalitě, třídění, balení, velikosti hlíz aj. to je vše tak investičně a pracovně náročné, že to jsou schopné realizovat jen velké firmy. I to je jeden z důvodů, proč nové OP dosud více nevznikaly a prodej brambor se odehrával jinde (velkoobchod, přímý prodej odběratelům, farmářské trhy, prodej ze dvora aj.). Pěstitelé obvykle nejsou kapitálově propojeni se zpracovateli. Někteří investují do vybavení a snaží se zpracovávat produkci a prodávat konečné výrobky sami, cca z 20 %, dále je dodávají (smluvní dodávky) postupně zpracovatelům a baličkám, často je pro ně i skladují</w:t>
      </w:r>
      <w:r w:rsidRPr="00D95127">
        <w:rPr>
          <w:rStyle w:val="Znakapoznpodarou"/>
        </w:rPr>
        <w:footnoteReference w:id="14"/>
      </w:r>
      <w:r w:rsidRPr="00D95127">
        <w:rPr>
          <w:rFonts w:cs="Times New Roman"/>
        </w:rPr>
        <w:t xml:space="preserve">.S nástupem nového programového prostředí zvažují pěstitelé spojit finanční prostředky a na základě vzájemné spolupráce vytvořit odbytové organizace, které jsou podmínkou pro využití odvětvových intervencí. </w:t>
      </w:r>
    </w:p>
    <w:p w14:paraId="35318FC0" w14:textId="77777777" w:rsidR="00A16DDB" w:rsidRPr="00D95127" w:rsidRDefault="00A16DDB" w:rsidP="003570A6">
      <w:pPr>
        <w:pStyle w:val="UZEINormaln"/>
        <w:rPr>
          <w:rFonts w:cs="Times New Roman"/>
        </w:rPr>
      </w:pPr>
      <w:r w:rsidRPr="00D95127">
        <w:t>Příčiny poklesu poptávky po konzumních bramborách spočívají ve změně struktury spotřeby brambor. Spotřebitelé snížili zájem o vlastní skladování brambor a celkovou spotřebu brambor ve slupce, orientují se více na brambory ve výrobcích, na kterou nedostatečně zareagovali výrobci a zpracovatelé těchto výrobků. Více jak polovinu objemu dovozů představují brambory ve výrobcích. Současně jsou na trhu potravin nabízeny substituční potraviny, kterými je možné čerstvé brambory nahradit. V podstatě stále neřešeným a velkým problémem je nedostatečná informovanost spotřebitelů o domácí produkci konzumních brambor, o její kvalitě, o odrůdách brambor, o způsobech správného nakupování a skladování balených brambor.  Stejným problémem jsou v řadě případů stále nevyhovující mezisklady pro brambory v maloobchodní síti a způsob jejich nabídky v prodejních prostorách, kde jsou brambory uchovávány na světle a v teple. Garanci kvality pěstování konzumních brambor, dohledatelnost a potravinovou bezpečnost ve vertikále pěstitel-spotřebitel zaručuje systém kvality Q CZ konzumních brambor k přímé spotřebě i ke zpracování platný od 1.1.2021.</w:t>
      </w:r>
    </w:p>
    <w:p w14:paraId="49649BF4" w14:textId="77777777" w:rsidR="00A16DDB" w:rsidRPr="00D95127" w:rsidRDefault="00A16DDB" w:rsidP="003570A6">
      <w:pPr>
        <w:pStyle w:val="UZEINormaln"/>
        <w:rPr>
          <w:rFonts w:cs="Times New Roman"/>
        </w:rPr>
      </w:pPr>
      <w:r w:rsidRPr="00D95127">
        <w:t>Další příčinou uváděných problémů je nedostatečná informovanost, úroveň odborného poradenství a také nedostatečný transfer poznatků z výzkumu do praxe. Z dotazníkového šetření ÚZEI vyplývá, že nejvýznamnější zdrojem informací pro zajištění a zlepšení řízení svého podniku v závislosti na různé oblasti činností</w:t>
      </w:r>
      <w:r w:rsidRPr="00D95127">
        <w:rPr>
          <w:rStyle w:val="Znakapoznpodarou"/>
        </w:rPr>
        <w:footnoteReference w:id="15"/>
      </w:r>
      <w:r w:rsidRPr="00D95127">
        <w:rPr>
          <w:rFonts w:cs="Times New Roman"/>
        </w:rPr>
        <w:t xml:space="preserve"> bývá profesní svaz, dodavatelé technologií a strojů a výzkumné ústavy. Poměrně vysoké procento potřebných informací získávají členové svazů na vzdělávacích akcích. Nezávislé poradenské služby jsou využívány v oblasti účetnictví a daní, případně na využití a optimalizaci strojového parku. Nejvíce jsou postrádány informace z oblasti odbytu a marketingu, dotací a ekonomickém řízení podniku. Za velmi důležitou považují pěstitelé činnost ČBS</w:t>
      </w:r>
      <w:r w:rsidRPr="00D95127">
        <w:rPr>
          <w:rStyle w:val="Znakapoznpodarou"/>
        </w:rPr>
        <w:footnoteReference w:id="16"/>
      </w:r>
      <w:r w:rsidRPr="00D95127">
        <w:rPr>
          <w:rFonts w:cs="Times New Roman"/>
        </w:rPr>
        <w:t xml:space="preserve"> především v oblasti zprostředkování informací, poradenství a zastupování při jednání s orgány státní správy. Mnohem méně znají pěstitelé poradenské subjekty, i když kvalita je dle ČBS velmi dobrá. Poradenské služby využívají hlavně v oblasti chemické ochrany brambor během vegetace, výživy rostlin, odrůdové skladby brambor, nových technologií a skladování brambor. Přivítali by lepší poradenské služby v oblasti péče a ochrany půdy, optimalizace ekonomiky podniku a dotační politiky a finanční podpory. Negativně hodnotí nedořešený systém zemědělského poradenství a jeho časté změny a úpravy. Ve spolupráci s výzkumnými ústavy vidí pěstitelé, resp. ČBS, problém v tom, že se řeší problémy spojené se zemědělskou praxí ve velmi omezené míře, nejspíše z finančních důvodů. </w:t>
      </w:r>
    </w:p>
    <w:p w14:paraId="33BFCC5D" w14:textId="77777777" w:rsidR="00A16DDB" w:rsidRPr="00D95127" w:rsidRDefault="00A16DDB" w:rsidP="003570A6">
      <w:pPr>
        <w:pStyle w:val="UZEINormaln"/>
        <w:rPr>
          <w:rFonts w:cs="Times New Roman"/>
        </w:rPr>
      </w:pPr>
      <w:r w:rsidRPr="00D95127">
        <w:t xml:space="preserve">Uvedené strukturální slabiny v sektoru brambor výrazně ovlivňují rentabilitu pěstovaných brambor a celkovou ekonomiku jednotlivých podniků. Podle nákladového šetření ÚZEI nákladová rentabilita konzumních brambor a brambor na škrob je převážně záporná, tedy, že cena neuhradí vynaložené náklady. Souhrnná rentabilita zahrnující přímé platby, VCS a ostatní podpory se zlepšila hlavně u brambor na škrob, u konzumních brambor vylepšila situaci v posledních dvou letech. </w:t>
      </w:r>
    </w:p>
    <w:p w14:paraId="600FD4C4" w14:textId="67FCDB53" w:rsidR="00A16DDB" w:rsidRPr="00D95127" w:rsidRDefault="00A16DDB" w:rsidP="00987820">
      <w:pPr>
        <w:pStyle w:val="UZEITaB"/>
      </w:pPr>
      <w:bookmarkStart w:id="278" w:name="_Toc81738451"/>
      <w:r w:rsidRPr="00D95127">
        <w:t>Ekonomika pěstování konzumních brambor (rané a konzumní ostatní) v letech 2011 až 2020</w:t>
      </w:r>
      <w:bookmarkEnd w:id="278"/>
    </w:p>
    <w:p w14:paraId="5A6239E5" w14:textId="77777777" w:rsidR="00A16DDB" w:rsidRPr="00D95127" w:rsidRDefault="00A16DDB" w:rsidP="00A16DDB">
      <w:pPr>
        <w:jc w:val="center"/>
        <w:rPr>
          <w:rFonts w:eastAsia="Times New Roman" w:cs="Times New Roman"/>
          <w:i/>
          <w:szCs w:val="24"/>
          <w:vertAlign w:val="superscript"/>
          <w:lang w:val="cs-CZ"/>
        </w:rPr>
      </w:pPr>
      <w:bookmarkStart w:id="279" w:name="OLE_LINK1"/>
      <w:r w:rsidRPr="00D95127">
        <w:rPr>
          <w:rFonts w:cs="Times New Roman"/>
          <w:noProof/>
          <w:lang w:val="cs-CZ"/>
        </w:rPr>
        <w:drawing>
          <wp:inline distT="0" distB="0" distL="0" distR="0" wp14:anchorId="335056BE" wp14:editId="2C1C86E6">
            <wp:extent cx="5760720" cy="1331367"/>
            <wp:effectExtent l="0" t="0" r="0" b="254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78894" cy="1335567"/>
                    </a:xfrm>
                    <a:prstGeom prst="rect">
                      <a:avLst/>
                    </a:prstGeom>
                    <a:noFill/>
                    <a:ln>
                      <a:noFill/>
                    </a:ln>
                  </pic:spPr>
                </pic:pic>
              </a:graphicData>
            </a:graphic>
          </wp:inline>
        </w:drawing>
      </w:r>
      <w:bookmarkEnd w:id="279"/>
    </w:p>
    <w:p w14:paraId="0553E61B" w14:textId="6E7C1C24" w:rsidR="00A16DDB" w:rsidRPr="00D95127" w:rsidRDefault="00A16DDB" w:rsidP="00987820">
      <w:pPr>
        <w:pStyle w:val="UZEINormaln"/>
        <w:rPr>
          <w:rFonts w:cs="Times New Roman"/>
        </w:rPr>
      </w:pPr>
      <w:r w:rsidRPr="00D95127">
        <w:t xml:space="preserve">Vývoj </w:t>
      </w:r>
      <w:r w:rsidRPr="00D95127">
        <w:rPr>
          <w:rFonts w:cs="Times New Roman"/>
        </w:rPr>
        <w:t>ekonomiky konzumních brambor dle Výběrového šetření o nákladech a výnosech zemědělských výrobků ÚZEI není dlouhodobě příznivý. Ve sledovaném období 2011-2020 nepřesáhla částka dotací 10 500,- K</w:t>
      </w:r>
      <w:r w:rsidRPr="00D95127">
        <w:rPr>
          <w:rFonts w:cs="Times New Roman"/>
          <w:smallCaps/>
        </w:rPr>
        <w:t>č/</w:t>
      </w:r>
      <w:r w:rsidRPr="00D95127">
        <w:rPr>
          <w:rFonts w:cs="Times New Roman"/>
        </w:rPr>
        <w:t>ha. Na rozdíl od vlastních nákladů na tunu brambor, CZV brambor konzumních je meziročně proměnlivá a odráží se v dosažené rentabilitě. Ke zlepšení rentability došlo v roce 2019, kdy výši rentability pozitivně ovlivnilo meziroční zvýšení CZV brambor konzumních o 34,5 % na 5 403 Kč/t a raných o 87,5 % na 11 892 Kč/t. Tato cena raných brambor byla nadprůměrná a nebyla v uplynulých deseti letech dosažena, resp. od roku 1991. V roce 2017 a 2018 mohli někteří pěstitelé čerpat mj. i podporu na zmírnění škod způsobené suchem.</w:t>
      </w:r>
    </w:p>
    <w:p w14:paraId="4FFF015C" w14:textId="14E42636" w:rsidR="00987820" w:rsidRDefault="00A16DDB" w:rsidP="00987820">
      <w:pPr>
        <w:pStyle w:val="UZEINormaln"/>
      </w:pPr>
      <w:r w:rsidRPr="00D95127">
        <w:t>Situace se řešila dovozem brambor, avšak sucha zasáhla i pěstitele v okolních zemích, od kterých dovážíme nejvíce brambor, a dovozová cena se zvýšila z obdobných důvodů jako v ČR.</w:t>
      </w:r>
    </w:p>
    <w:p w14:paraId="70E49393" w14:textId="0BA42752" w:rsidR="0026735D" w:rsidRPr="0026735D" w:rsidRDefault="00A16DDB" w:rsidP="00A11169">
      <w:pPr>
        <w:pStyle w:val="UZEITaB"/>
        <w:rPr>
          <w:rStyle w:val="UZEITaBChar"/>
          <w:b/>
        </w:rPr>
      </w:pPr>
      <w:bookmarkStart w:id="280" w:name="_Toc81738452"/>
      <w:r w:rsidRPr="0026735D">
        <w:rPr>
          <w:rStyle w:val="UZEITaBChar"/>
          <w:b/>
        </w:rPr>
        <w:t>Ekonomika pěstování škrobových brambor v letech 2011 až 2020</w:t>
      </w:r>
      <w:bookmarkEnd w:id="280"/>
      <w:r w:rsidRPr="0026735D">
        <w:rPr>
          <w:rStyle w:val="UZEITaBChar"/>
          <w:b/>
        </w:rPr>
        <w:t xml:space="preserve"> </w:t>
      </w:r>
    </w:p>
    <w:p w14:paraId="09943C55" w14:textId="6B892708" w:rsidR="00A16DDB" w:rsidRPr="00987820" w:rsidRDefault="00715A59" w:rsidP="000625A1">
      <w:pPr>
        <w:pStyle w:val="UZEINormaln"/>
      </w:pPr>
      <w:r w:rsidRPr="003F4653">
        <w:rPr>
          <w:noProof/>
        </w:rPr>
        <w:drawing>
          <wp:inline distT="0" distB="0" distL="0" distR="0" wp14:anchorId="234F4D64" wp14:editId="0252EE0B">
            <wp:extent cx="5760720" cy="1345565"/>
            <wp:effectExtent l="0" t="0" r="0" b="635"/>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60720" cy="1345565"/>
                    </a:xfrm>
                    <a:prstGeom prst="rect">
                      <a:avLst/>
                    </a:prstGeom>
                    <a:noFill/>
                    <a:ln>
                      <a:noFill/>
                    </a:ln>
                  </pic:spPr>
                </pic:pic>
              </a:graphicData>
            </a:graphic>
          </wp:inline>
        </w:drawing>
      </w:r>
    </w:p>
    <w:p w14:paraId="16DB51DD" w14:textId="77777777" w:rsidR="00A16DDB" w:rsidRPr="00D95127" w:rsidRDefault="00A16DDB" w:rsidP="0026735D">
      <w:pPr>
        <w:pStyle w:val="UZEINormaln"/>
        <w:rPr>
          <w:rFonts w:cs="Times New Roman"/>
        </w:rPr>
      </w:pPr>
      <w:r w:rsidRPr="00D95127">
        <w:t xml:space="preserve">Nákladová </w:t>
      </w:r>
      <w:r w:rsidRPr="00D95127">
        <w:rPr>
          <w:rFonts w:cs="Times New Roman"/>
        </w:rPr>
        <w:t>rentabilita (bez započtení podpor) dosahuje v období 2011-2020 záporných hodnot. Zvlášť rok 2015 a 2019 byl pro pěstitele brambor na výrobu škrobu velmi nepříznivý. Realizační cena byla na rozdíl od konzumních brambor nižší, ale stabilní, a rovněž i vlastní náklady na tunu jsou proti bramborám konzumním nižší, ale vcelku vyrovnané. V období 2011-20198 dosáhli pěstitelé průměrnou CZV 2 278 Kč/t. V roce 2020 je uvedena cena ČSÚ, následující rok bude v definitivních datech uvedena reálně dosažená cena pěstitelů, odhadem 2 350 Kč/t brambor na výrobu škrobu. Z tohoto odhadu by se předpokládaná nákladová rentabilita dostala na -9,3 %, s podporami celkem na 24,2 %.</w:t>
      </w:r>
    </w:p>
    <w:p w14:paraId="4CE33D95" w14:textId="548081D0" w:rsidR="00B732F2" w:rsidRDefault="00A16DDB" w:rsidP="00B732F2">
      <w:pPr>
        <w:pStyle w:val="UZEINormaln"/>
      </w:pPr>
      <w:r w:rsidRPr="00D95127">
        <w:t>Z Výběrového šetření ÚZEI je zřejmé, že pokud výnos dosáhne více jak 35 t/ha, CZV neklesne pod 2 100 Kč/t a náklady na tunu vyrobených škrobových brambor se nebudou výrazně zvyšovat, rentabilita se započtenými dotacemi nebude v záporných hodnotách. Celkově lze říci, že jsou pěstitelé plně závislí na poskytnutých dotacích. Plocha brambor na výrobu škrobu v hospodářském roce 2020/21 klesla o 2,3 %.</w:t>
      </w:r>
    </w:p>
    <w:p w14:paraId="52F4F688" w14:textId="6100EA0B" w:rsidR="00A16DDB" w:rsidRPr="00163472" w:rsidRDefault="00163472" w:rsidP="00163472">
      <w:pPr>
        <w:spacing w:after="160" w:line="259" w:lineRule="auto"/>
        <w:jc w:val="left"/>
        <w:rPr>
          <w:rFonts w:eastAsia="Times New Roman" w:cstheme="minorHAnsi"/>
          <w:szCs w:val="24"/>
          <w:lang w:val="cs-CZ" w:eastAsia="cs-CZ"/>
        </w:rPr>
      </w:pPr>
      <w:r>
        <w:br w:type="page"/>
      </w:r>
    </w:p>
    <w:p w14:paraId="135BD5F2" w14:textId="77777777" w:rsidR="00A16DDB" w:rsidRPr="0026735D" w:rsidRDefault="00A16DDB" w:rsidP="00A02646">
      <w:pPr>
        <w:pStyle w:val="Nadpis1"/>
      </w:pPr>
      <w:bookmarkStart w:id="281" w:name="_Toc27156898"/>
      <w:bookmarkStart w:id="282" w:name="_Toc27172133"/>
      <w:bookmarkStart w:id="283" w:name="_Toc27172785"/>
      <w:bookmarkStart w:id="284" w:name="_Toc27172938"/>
      <w:bookmarkStart w:id="285" w:name="_Toc27156899"/>
      <w:bookmarkStart w:id="286" w:name="_Toc27172134"/>
      <w:bookmarkStart w:id="287" w:name="_Toc27172786"/>
      <w:bookmarkStart w:id="288" w:name="_Toc27172939"/>
      <w:bookmarkStart w:id="289" w:name="_Toc27156900"/>
      <w:bookmarkStart w:id="290" w:name="_Toc27172135"/>
      <w:bookmarkStart w:id="291" w:name="_Toc27172787"/>
      <w:bookmarkStart w:id="292" w:name="_Toc27172940"/>
      <w:bookmarkStart w:id="293" w:name="_Toc16691078"/>
      <w:bookmarkStart w:id="294" w:name="_Toc15304051"/>
      <w:bookmarkStart w:id="295" w:name="_Toc23509855"/>
      <w:bookmarkStart w:id="296" w:name="_Toc76137362"/>
      <w:bookmarkStart w:id="297" w:name="_Toc76637561"/>
      <w:bookmarkStart w:id="298" w:name="_Toc80953240"/>
      <w:bookmarkStart w:id="299" w:name="_Toc81739196"/>
      <w:bookmarkEnd w:id="281"/>
      <w:bookmarkEnd w:id="282"/>
      <w:bookmarkEnd w:id="283"/>
      <w:bookmarkEnd w:id="284"/>
      <w:bookmarkEnd w:id="285"/>
      <w:bookmarkEnd w:id="286"/>
      <w:bookmarkEnd w:id="287"/>
      <w:bookmarkEnd w:id="288"/>
      <w:bookmarkEnd w:id="289"/>
      <w:bookmarkEnd w:id="290"/>
      <w:bookmarkEnd w:id="291"/>
      <w:bookmarkEnd w:id="292"/>
      <w:r w:rsidRPr="0026735D">
        <w:t>Jak závažný je tento problém?</w:t>
      </w:r>
      <w:bookmarkEnd w:id="293"/>
      <w:bookmarkEnd w:id="294"/>
      <w:bookmarkEnd w:id="295"/>
      <w:bookmarkEnd w:id="296"/>
      <w:bookmarkEnd w:id="297"/>
      <w:bookmarkEnd w:id="298"/>
      <w:bookmarkEnd w:id="299"/>
    </w:p>
    <w:p w14:paraId="452B6B92" w14:textId="77777777" w:rsidR="00A16DDB" w:rsidRPr="00D95127" w:rsidRDefault="00A16DDB" w:rsidP="00A02646">
      <w:pPr>
        <w:pStyle w:val="UZEINormaln"/>
        <w:rPr>
          <w:rFonts w:cs="Times New Roman"/>
        </w:rPr>
      </w:pPr>
      <w:r w:rsidRPr="00D95127">
        <w:t xml:space="preserve">Ekonomika brambor bude bez podpor ztrátová a dlouhodobě neudržitelná. V této komoditě se sešla negativní kombinace meziročně nestabilních cen, vysokých nákladů a změna struktury spotřeby brambor. Úroveň cen zemědělských výrobců </w:t>
      </w:r>
      <w:r w:rsidRPr="00D95127">
        <w:rPr>
          <w:rFonts w:cs="Times New Roman"/>
        </w:rPr>
        <w:t>a spotřebitelské ceny českých brambor ohrožují brambory z dovozu, dosahující 30-40 % aktuální spotřeby. Ekonomické výsledky a vysoký dovoz brambor zvýšení soběstačnosti limitují.</w:t>
      </w:r>
    </w:p>
    <w:p w14:paraId="2DCAA4E5" w14:textId="77777777" w:rsidR="00A16DDB" w:rsidRPr="00D95127" w:rsidRDefault="00A16DDB" w:rsidP="00A02646">
      <w:pPr>
        <w:pStyle w:val="UZEINormaln"/>
        <w:rPr>
          <w:rFonts w:cs="Times New Roman"/>
        </w:rPr>
      </w:pPr>
      <w:r w:rsidRPr="00D95127">
        <w:t>Produkce brambor váže přibližně 5 700 zemědělských pracovníků, tj. 5 %</w:t>
      </w:r>
      <w:r w:rsidRPr="00D95127">
        <w:rPr>
          <w:rStyle w:val="Znakapoznpodarou"/>
        </w:rPr>
        <w:footnoteReference w:id="17"/>
      </w:r>
      <w:r w:rsidRPr="00D95127">
        <w:rPr>
          <w:rFonts w:cs="Times New Roman"/>
        </w:rPr>
        <w:t xml:space="preserve">. Na úrovni ČR další snížení produkce těchto sektorů nevyvolá sociální důsledky, ovšem lokálně může zvýšit nezaměstnanost v obcích a mikroregionech, především Polabí a Vysočiny. </w:t>
      </w:r>
    </w:p>
    <w:p w14:paraId="5224AB66" w14:textId="77777777" w:rsidR="00A16DDB" w:rsidRPr="0026735D" w:rsidRDefault="00A16DDB" w:rsidP="00A02646">
      <w:pPr>
        <w:pStyle w:val="Nadpis1"/>
      </w:pPr>
      <w:bookmarkStart w:id="300" w:name="_Toc23401558"/>
      <w:bookmarkStart w:id="301" w:name="_Toc23473630"/>
      <w:bookmarkStart w:id="302" w:name="_Toc23475084"/>
      <w:bookmarkStart w:id="303" w:name="_Toc23509702"/>
      <w:bookmarkStart w:id="304" w:name="_Toc23509856"/>
      <w:bookmarkStart w:id="305" w:name="_Toc76137363"/>
      <w:bookmarkStart w:id="306" w:name="_Toc76637562"/>
      <w:bookmarkStart w:id="307" w:name="_Toc80953241"/>
      <w:bookmarkStart w:id="308" w:name="_Toc81739197"/>
      <w:bookmarkEnd w:id="300"/>
      <w:bookmarkEnd w:id="301"/>
      <w:bookmarkEnd w:id="302"/>
      <w:bookmarkEnd w:id="303"/>
      <w:bookmarkEnd w:id="304"/>
      <w:r w:rsidRPr="0026735D">
        <w:t>Míra stávajícího řešení problému</w:t>
      </w:r>
      <w:bookmarkEnd w:id="305"/>
      <w:bookmarkEnd w:id="306"/>
      <w:bookmarkEnd w:id="307"/>
      <w:bookmarkEnd w:id="308"/>
    </w:p>
    <w:p w14:paraId="63D04976" w14:textId="77777777" w:rsidR="00A16DDB" w:rsidRPr="00B732F2" w:rsidRDefault="00A16DDB" w:rsidP="00B732F2">
      <w:pPr>
        <w:pStyle w:val="Nadpis2"/>
      </w:pPr>
      <w:bookmarkStart w:id="309" w:name="_Toc16691080"/>
      <w:bookmarkStart w:id="310" w:name="_Toc15304053"/>
      <w:bookmarkStart w:id="311" w:name="_Toc23509858"/>
      <w:bookmarkStart w:id="312" w:name="_Toc76137364"/>
      <w:bookmarkStart w:id="313" w:name="_Toc76637563"/>
      <w:bookmarkStart w:id="314" w:name="_Toc80953242"/>
      <w:bookmarkStart w:id="315" w:name="_Toc81739198"/>
      <w:r w:rsidRPr="00B732F2">
        <w:t>Míra řešení ve stávající SZP (úspěšnost/neúspěšnost)</w:t>
      </w:r>
      <w:bookmarkEnd w:id="309"/>
      <w:bookmarkEnd w:id="310"/>
      <w:bookmarkEnd w:id="311"/>
      <w:bookmarkEnd w:id="312"/>
      <w:bookmarkEnd w:id="313"/>
      <w:bookmarkEnd w:id="314"/>
      <w:bookmarkEnd w:id="315"/>
      <w:r w:rsidRPr="00B732F2">
        <w:t xml:space="preserve"> </w:t>
      </w:r>
    </w:p>
    <w:p w14:paraId="489F12CD" w14:textId="77777777" w:rsidR="00A16DDB" w:rsidRPr="00D95127" w:rsidRDefault="00A16DDB" w:rsidP="00A02646">
      <w:pPr>
        <w:pStyle w:val="UZEINormaln"/>
        <w:rPr>
          <w:rFonts w:cs="Times New Roman"/>
        </w:rPr>
      </w:pPr>
      <w:r w:rsidRPr="00D95127">
        <w:t>Komodita brambory konzumní a brambory na výrobu škrobu jsou zařazeny do citlivých komodit vzhledem k příjmové nestabilitě (s výjimkou škrobových brambor) a současně jsou všechny podporovány dalšími příjmovými i strukturálními podporami, a to jak z evropských, tak i doplňovaných národních zdrojů stále v rámci SZP.</w:t>
      </w:r>
    </w:p>
    <w:p w14:paraId="19A121A2" w14:textId="38B0B146" w:rsidR="00A16DDB" w:rsidRPr="00D95127" w:rsidRDefault="00A16DDB" w:rsidP="00841A26">
      <w:pPr>
        <w:pStyle w:val="UZEITaB"/>
      </w:pPr>
      <w:bookmarkStart w:id="316" w:name="_Toc81738453"/>
      <w:r w:rsidRPr="00D95127">
        <w:t>Dotační podpory brambor konzumních 2011-2020</w:t>
      </w:r>
      <w:bookmarkEnd w:id="316"/>
    </w:p>
    <w:p w14:paraId="5594118D" w14:textId="77777777" w:rsidR="00A16DDB" w:rsidRPr="00D95127" w:rsidRDefault="00A16DDB" w:rsidP="00A16DDB">
      <w:pPr>
        <w:pStyle w:val="Odstavecseseznamem"/>
        <w:ind w:left="0"/>
        <w:rPr>
          <w:i/>
        </w:rPr>
      </w:pPr>
      <w:r w:rsidRPr="00D95127">
        <w:rPr>
          <w:noProof/>
        </w:rPr>
        <w:drawing>
          <wp:inline distT="0" distB="0" distL="0" distR="0" wp14:anchorId="0F6A0CF4" wp14:editId="6D59C2F2">
            <wp:extent cx="5937250" cy="1755101"/>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0">
                      <a:extLst>
                        <a:ext uri="{28A0092B-C50C-407E-A947-70E740481C1C}">
                          <a14:useLocalDpi xmlns:a14="http://schemas.microsoft.com/office/drawing/2010/main" val="0"/>
                        </a:ext>
                      </a:extLst>
                    </a:blip>
                    <a:srcRect l="1111"/>
                    <a:stretch/>
                  </pic:blipFill>
                  <pic:spPr bwMode="auto">
                    <a:xfrm>
                      <a:off x="0" y="0"/>
                      <a:ext cx="5947182" cy="1758037"/>
                    </a:xfrm>
                    <a:prstGeom prst="rect">
                      <a:avLst/>
                    </a:prstGeom>
                    <a:noFill/>
                    <a:ln>
                      <a:noFill/>
                    </a:ln>
                    <a:extLst>
                      <a:ext uri="{53640926-AAD7-44D8-BBD7-CCE9431645EC}">
                        <a14:shadowObscured xmlns:a14="http://schemas.microsoft.com/office/drawing/2010/main"/>
                      </a:ext>
                    </a:extLst>
                  </pic:spPr>
                </pic:pic>
              </a:graphicData>
            </a:graphic>
          </wp:inline>
        </w:drawing>
      </w:r>
    </w:p>
    <w:p w14:paraId="2C7235ED" w14:textId="5702760D" w:rsidR="00A16DDB" w:rsidRPr="00D95127" w:rsidRDefault="00A16DDB" w:rsidP="009601C4">
      <w:pPr>
        <w:pStyle w:val="UZEINormaln"/>
        <w:rPr>
          <w:rFonts w:cs="Times New Roman"/>
        </w:rPr>
      </w:pPr>
      <w:r w:rsidRPr="00D95127">
        <w:t xml:space="preserve">V letech 2011-2020 byly podporovány brambory konzumní prostřednictvím SAPS a Top-Up (v roce 2012). Od roku 2013 do 2020 se proplácí přechodná vnitrostátní podpora, která má klesající trend. Pěstitelé mohou čerpat v uvedeném období podporu pojištění na ha z.p. a </w:t>
      </w:r>
      <w:r w:rsidRPr="00D95127">
        <w:rPr>
          <w:rStyle w:val="small"/>
          <w:rFonts w:cs="Times New Roman"/>
        </w:rPr>
        <w:t>vratky spotřební daně na zelenou naftu</w:t>
      </w:r>
      <w:r w:rsidRPr="00D95127">
        <w:rPr>
          <w:rFonts w:cs="Times New Roman"/>
        </w:rPr>
        <w:t>. Zlomový byl rok 2015, kdy pěstitelé mohli nárokovat VCS a nově LFA platby. V případě LFA bylo změněno vyplácení podpory v oblastech LFA H a S z TTP na plochu veškeré z. p. V roce 2018 došlo v rámci redefinice LFA oblastí také ke změně vyplácení podpory z TTP na z. p. i v oblastech LFA O, kde je nejvýznamnější zastoupení ploch s bramborami, a LFA platba představuje cca 5 % na celkových provozních podporách. Na zmírnění škod způsobených suchem byla vyplacena podpora v roce 2015, 2017 a 2018. Přesto, že je struktura provozních dotací široká, rentabilita se během let zásadně nezlepšila, stále přetrvávala v záporných hodnotách. Ke změně došlo v roce 2019 a odhadem i v roce 2020, kdy se rentabilita dostala do kladných hodnot. Finanční podpory většinou nejsou schopny pokrýt volatilní ceny brambor a meziroční výkyvy v nákladech. Přidají-li se nepříznivé povětrnostní podmínky a hektarový výnos nedosáhne alespoň na průměrnou výši, ekonomika dosahuje záporných hodnot. Produkční plocha se v roce 2019/20 zvýšila minimálně, v roce 2020/2021 se zvýšila o 8,1 %. Produkce brambor není schopná pokrýt domácí spotřebu, soběstačnost brambor se zvyšuje velmi pomalu a je třeba minimálně třetinu spotřeby brambor importovat. V tomto případě se dá říci, že dosavadní objem provozních podpor je nedostačující. V kombinaci s dalšími limity spojenými s opatřeními omezujících užití POR, investiční náročností a horší organizovaností vertikály se nepodařilo u konzumních brambor i přes navýšení plochy v roce 2020 dostatečně motivovat pěstitele k jejich pěstování.</w:t>
      </w:r>
    </w:p>
    <w:p w14:paraId="348B878F" w14:textId="062760BE" w:rsidR="00A16DDB" w:rsidRPr="00D95127" w:rsidRDefault="00A16DDB" w:rsidP="00736E95">
      <w:pPr>
        <w:pStyle w:val="UZEIGraf"/>
        <w:rPr>
          <w:szCs w:val="24"/>
        </w:rPr>
      </w:pPr>
      <w:bookmarkStart w:id="317" w:name="_Toc81738785"/>
      <w:r w:rsidRPr="00D95127">
        <w:rPr>
          <w:szCs w:val="24"/>
        </w:rPr>
        <w:t>Vývoj struktury provozních podpor u komodity brambory konzumní</w:t>
      </w:r>
      <w:bookmarkEnd w:id="317"/>
    </w:p>
    <w:p w14:paraId="67DC5735" w14:textId="77777777" w:rsidR="00A16DDB" w:rsidRPr="00D95127" w:rsidRDefault="00A16DDB" w:rsidP="00A16DDB">
      <w:pPr>
        <w:rPr>
          <w:rFonts w:eastAsia="Times New Roman" w:cs="Times New Roman"/>
          <w:i/>
          <w:szCs w:val="24"/>
          <w:vertAlign w:val="superscript"/>
          <w:lang w:val="cs-CZ"/>
        </w:rPr>
      </w:pPr>
      <w:r w:rsidRPr="00D95127">
        <w:rPr>
          <w:rFonts w:cs="Times New Roman"/>
          <w:noProof/>
          <w:lang w:val="cs-CZ"/>
        </w:rPr>
        <w:drawing>
          <wp:inline distT="0" distB="0" distL="0" distR="0" wp14:anchorId="24459B0C" wp14:editId="1D59E95D">
            <wp:extent cx="5760720" cy="3242945"/>
            <wp:effectExtent l="0" t="0" r="0" b="0"/>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60720" cy="3242945"/>
                    </a:xfrm>
                    <a:prstGeom prst="rect">
                      <a:avLst/>
                    </a:prstGeom>
                    <a:noFill/>
                    <a:ln>
                      <a:noFill/>
                    </a:ln>
                  </pic:spPr>
                </pic:pic>
              </a:graphicData>
            </a:graphic>
          </wp:inline>
        </w:drawing>
      </w:r>
    </w:p>
    <w:p w14:paraId="0B0A796E" w14:textId="77777777" w:rsidR="00A16DDB" w:rsidRPr="00D95127" w:rsidRDefault="00A16DDB" w:rsidP="00736E95">
      <w:pPr>
        <w:pStyle w:val="UZEIZdroj"/>
      </w:pPr>
      <w:r w:rsidRPr="00D95127">
        <w:t>Zdroj: ÚZEI, vlastní výpočty</w:t>
      </w:r>
    </w:p>
    <w:p w14:paraId="753D2581" w14:textId="77777777" w:rsidR="00A16DDB" w:rsidRPr="00D95127" w:rsidRDefault="00A16DDB" w:rsidP="00736E95">
      <w:pPr>
        <w:pStyle w:val="UZEINormaln"/>
      </w:pPr>
      <w:r w:rsidRPr="00D95127">
        <w:t xml:space="preserve">V případě brambor na výrobu škrobu je situace odlišná vzhledem k vyšší míře provozní podpory. V letech 2011-2020 byly podporovány brambory na výrobu škrobu dotacemi SAPS, podporou pojištění a </w:t>
      </w:r>
      <w:r w:rsidRPr="00D95127">
        <w:rPr>
          <w:rStyle w:val="small"/>
        </w:rPr>
        <w:t>vratky spotřební daně na zelenou naftu</w:t>
      </w:r>
      <w:r w:rsidRPr="00D95127">
        <w:t>. Top-Up byl vyplacen jen v roce 2012.V roce 2012-2014 byla poskytována přímá platba dle čl. 68. Přechodná vnitrostátní podpora na zemědělskou půdu byla vyplácená od roku 2013-2020. Top-Up couplovaná platba na škrob byla vyplacená v roce 2011, decouplovaná v roce 2011 a 2012. Doplatek přímé platby pěstitelům brambor na škrob byly realizovány v roce 2011 a 2012. Zlomovým rokem byl rok 2015, kdy byly speciální podpory nahrazeny VCS, greeningem a podporou LFA</w:t>
      </w:r>
    </w:p>
    <w:p w14:paraId="45D4CE62" w14:textId="77777777" w:rsidR="00A16DDB" w:rsidRPr="00D95127" w:rsidRDefault="00A16DDB" w:rsidP="00A16DDB">
      <w:pPr>
        <w:pStyle w:val="Odstavecseseznamem"/>
        <w:ind w:left="0"/>
      </w:pPr>
    </w:p>
    <w:p w14:paraId="6CF76E81" w14:textId="77777777" w:rsidR="00736E95" w:rsidRDefault="00736E95">
      <w:pPr>
        <w:spacing w:after="160" w:line="259" w:lineRule="auto"/>
        <w:jc w:val="left"/>
        <w:rPr>
          <w:rFonts w:eastAsia="Times New Roman" w:cs="Arial"/>
          <w:b/>
          <w:color w:val="000000" w:themeColor="text1"/>
          <w:sz w:val="20"/>
          <w:szCs w:val="20"/>
          <w:lang w:val="cs-CZ" w:eastAsia="cs-CZ"/>
        </w:rPr>
      </w:pPr>
      <w:r>
        <w:br w:type="page"/>
      </w:r>
    </w:p>
    <w:p w14:paraId="0FFE5DA5" w14:textId="2D9FF7F0" w:rsidR="00A16DDB" w:rsidRPr="00D95127" w:rsidRDefault="00A16DDB" w:rsidP="00736E95">
      <w:pPr>
        <w:pStyle w:val="UZEITaB"/>
      </w:pPr>
      <w:bookmarkStart w:id="318" w:name="_Toc81738454"/>
      <w:r w:rsidRPr="00D95127">
        <w:t>Dotační podpory brambor na výrobu škrobu 2011-2020</w:t>
      </w:r>
      <w:bookmarkEnd w:id="318"/>
    </w:p>
    <w:p w14:paraId="2C5B46D4" w14:textId="77777777" w:rsidR="00A16DDB" w:rsidRPr="00D95127" w:rsidRDefault="00A16DDB" w:rsidP="00A16DDB">
      <w:pPr>
        <w:rPr>
          <w:rFonts w:cs="Times New Roman"/>
          <w:szCs w:val="24"/>
          <w:lang w:val="cs-CZ"/>
        </w:rPr>
      </w:pPr>
      <w:r w:rsidRPr="00D95127">
        <w:rPr>
          <w:rFonts w:cs="Times New Roman"/>
          <w:noProof/>
          <w:lang w:val="cs-CZ"/>
        </w:rPr>
        <w:drawing>
          <wp:inline distT="0" distB="0" distL="0" distR="0" wp14:anchorId="1D5A4BA3" wp14:editId="2BB18DA2">
            <wp:extent cx="5995035" cy="2290936"/>
            <wp:effectExtent l="0" t="0" r="5715"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42">
                      <a:extLst>
                        <a:ext uri="{28A0092B-C50C-407E-A947-70E740481C1C}">
                          <a14:useLocalDpi xmlns:a14="http://schemas.microsoft.com/office/drawing/2010/main" val="0"/>
                        </a:ext>
                      </a:extLst>
                    </a:blip>
                    <a:srcRect l="1256"/>
                    <a:stretch/>
                  </pic:blipFill>
                  <pic:spPr bwMode="auto">
                    <a:xfrm>
                      <a:off x="0" y="0"/>
                      <a:ext cx="6009142" cy="2296327"/>
                    </a:xfrm>
                    <a:prstGeom prst="rect">
                      <a:avLst/>
                    </a:prstGeom>
                    <a:noFill/>
                    <a:ln>
                      <a:noFill/>
                    </a:ln>
                    <a:extLst>
                      <a:ext uri="{53640926-AAD7-44D8-BBD7-CCE9431645EC}">
                        <a14:shadowObscured xmlns:a14="http://schemas.microsoft.com/office/drawing/2010/main"/>
                      </a:ext>
                    </a:extLst>
                  </pic:spPr>
                </pic:pic>
              </a:graphicData>
            </a:graphic>
          </wp:inline>
        </w:drawing>
      </w:r>
    </w:p>
    <w:p w14:paraId="44B8FC38" w14:textId="77777777" w:rsidR="00A16DDB" w:rsidRPr="00D95127" w:rsidRDefault="00A16DDB" w:rsidP="00736E95">
      <w:pPr>
        <w:pStyle w:val="UZEINormaln"/>
      </w:pPr>
      <w:r w:rsidRPr="00D95127">
        <w:t>Souhrnná rentabilita brambor na výrobu škrobu dosahuje většinou přiměřených hodnot.  Přepočtené dotace celkem na tunu škrobových brambor dosáhly průměrně na 1 103 Kč/t (2011-2020). Současně produkční plocha brambor na výrobu škrobu se mezi roky 2011 a 2020 zvýšila z 3 104 ha na 5 847 ha, tedy o více jak 88 % výchozí plochy. V roce 2020 meziročně klesla produkční plocha těchto brambor o 2,3 % na 5 847 ha. Do budoucna je potřeba počítat, že přechodná vnitrostátní podpora na škrobárenské brambory může být v nové SZP snížena. Pro zachování stávající produkce škrobárenských brambor by bylo vhodné zachovat přímé platby na minimálně na stejné úrovni jako dosud, tj. cca 85 mil. Kč/rok. Omezením platby VCS by negativně ovlivnily dosavadní úroveň pěstování brambor na škrob. Bude také třeba nutné řešit určitou náhradu za případně zrušenou přechodnou vnitrostátní podporu.</w:t>
      </w:r>
    </w:p>
    <w:p w14:paraId="07B0DBF2" w14:textId="648A19F5" w:rsidR="00A16DDB" w:rsidRPr="00D95127" w:rsidRDefault="00A16DDB" w:rsidP="00FB195F">
      <w:pPr>
        <w:pStyle w:val="UZEIGraf"/>
        <w:rPr>
          <w:szCs w:val="24"/>
        </w:rPr>
      </w:pPr>
      <w:bookmarkStart w:id="319" w:name="_Toc81738786"/>
      <w:r w:rsidRPr="00D95127">
        <w:rPr>
          <w:szCs w:val="24"/>
        </w:rPr>
        <w:t>Vývoj struktury provozních podpor u komodity brambory škrobové</w:t>
      </w:r>
      <w:bookmarkEnd w:id="319"/>
    </w:p>
    <w:p w14:paraId="26F28019" w14:textId="77777777" w:rsidR="00A16DDB" w:rsidRPr="00D95127" w:rsidRDefault="00A16DDB" w:rsidP="00A16DDB">
      <w:pPr>
        <w:pStyle w:val="Odstavecseseznamem"/>
        <w:spacing w:line="240" w:lineRule="auto"/>
        <w:ind w:left="0"/>
        <w:rPr>
          <w:noProof/>
        </w:rPr>
      </w:pPr>
      <w:r w:rsidRPr="00D95127">
        <w:rPr>
          <w:noProof/>
        </w:rPr>
        <w:drawing>
          <wp:inline distT="0" distB="0" distL="0" distR="0" wp14:anchorId="246E5D90" wp14:editId="39081609">
            <wp:extent cx="5760720" cy="3696970"/>
            <wp:effectExtent l="0" t="0" r="0"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60720" cy="3696970"/>
                    </a:xfrm>
                    <a:prstGeom prst="rect">
                      <a:avLst/>
                    </a:prstGeom>
                    <a:noFill/>
                    <a:ln>
                      <a:noFill/>
                    </a:ln>
                  </pic:spPr>
                </pic:pic>
              </a:graphicData>
            </a:graphic>
          </wp:inline>
        </w:drawing>
      </w:r>
    </w:p>
    <w:p w14:paraId="402906DD" w14:textId="77777777" w:rsidR="00A16DDB" w:rsidRPr="00D95127" w:rsidRDefault="00A16DDB" w:rsidP="00A16DDB">
      <w:pPr>
        <w:spacing w:after="120"/>
        <w:rPr>
          <w:rFonts w:cs="Times New Roman"/>
          <w:i/>
          <w:sz w:val="18"/>
          <w:szCs w:val="18"/>
          <w:lang w:val="cs-CZ"/>
        </w:rPr>
      </w:pPr>
      <w:r w:rsidRPr="00D95127">
        <w:rPr>
          <w:rFonts w:cs="Times New Roman"/>
          <w:i/>
          <w:sz w:val="18"/>
          <w:szCs w:val="18"/>
          <w:lang w:val="cs-CZ"/>
        </w:rPr>
        <w:t>Zdroj: ÚZEI, vlastní výpočty</w:t>
      </w:r>
    </w:p>
    <w:p w14:paraId="00F92694" w14:textId="77777777" w:rsidR="00A16DDB" w:rsidRPr="00D95127" w:rsidRDefault="00A16DDB" w:rsidP="00FB195F">
      <w:pPr>
        <w:pStyle w:val="UZEINormaln"/>
        <w:rPr>
          <w:rFonts w:cs="Times New Roman"/>
        </w:rPr>
      </w:pPr>
      <w:r w:rsidRPr="00B732F2">
        <w:t>In</w:t>
      </w:r>
      <w:r w:rsidRPr="00B732F2">
        <w:rPr>
          <w:rFonts w:cs="Times New Roman"/>
        </w:rPr>
        <w:t>vestiční deficit pěstitelů brambor byl částečně řešen projekty z opatření M121 – Modernizace zemědělských podniků v rámci PRV 2007-13 v celkovém rozsahu 731 mil. Kč podpořených investic s celkovou podporou 243 mil. Kč a z opatření 4.1.1 – Investice do zemědělských podniků 2014–2020 o celkovém počtu 104 projektů v celkovém rozsahu 257 mil. Kč podpořených investic s celkovou podporou 113 mil. Kč vyplacených do roku 2018. V programovém období 2007-13 pěstitelé brambor čerpali dotace na investice do výstavby i rekonstrukce zemědělských staveb, pořízení potřebných technologií i pořízení mobilních strojů, kdy projekty zaměřené do rostlinné výroby přispěly k obnově nebo nové výstavbě skladů brambor a zeleniny 221 tis. tun v letech 2007-13 a 153 m</w:t>
      </w:r>
      <w:r w:rsidRPr="00B732F2">
        <w:rPr>
          <w:rFonts w:cs="Times New Roman"/>
          <w:vertAlign w:val="superscript"/>
        </w:rPr>
        <w:t>3</w:t>
      </w:r>
      <w:r w:rsidRPr="00B732F2">
        <w:rPr>
          <w:rFonts w:cs="Times New Roman"/>
        </w:rPr>
        <w:t xml:space="preserve"> skladovací plochy v letech 2014-2018. Současně bylo také podpořeno pořízení speciálních strojů.</w:t>
      </w:r>
      <w:r w:rsidRPr="00D95127">
        <w:rPr>
          <w:rFonts w:cs="Times New Roman"/>
        </w:rPr>
        <w:t xml:space="preserve"> </w:t>
      </w:r>
    </w:p>
    <w:p w14:paraId="7149AA85" w14:textId="77777777" w:rsidR="00A16DDB" w:rsidRPr="00B732F2" w:rsidRDefault="00A16DDB" w:rsidP="00B732F2">
      <w:pPr>
        <w:pStyle w:val="Nadpis2"/>
      </w:pPr>
      <w:bookmarkStart w:id="320" w:name="_Toc23401562"/>
      <w:bookmarkStart w:id="321" w:name="_Toc23473634"/>
      <w:bookmarkStart w:id="322" w:name="_Toc23475088"/>
      <w:bookmarkStart w:id="323" w:name="_Toc23509705"/>
      <w:bookmarkStart w:id="324" w:name="_Toc23509859"/>
      <w:bookmarkStart w:id="325" w:name="_Toc27156904"/>
      <w:bookmarkStart w:id="326" w:name="_Toc27172139"/>
      <w:bookmarkStart w:id="327" w:name="_Toc27172791"/>
      <w:bookmarkStart w:id="328" w:name="_Toc27172944"/>
      <w:bookmarkStart w:id="329" w:name="_Toc23401563"/>
      <w:bookmarkStart w:id="330" w:name="_Toc23473635"/>
      <w:bookmarkStart w:id="331" w:name="_Toc23475089"/>
      <w:bookmarkStart w:id="332" w:name="_Toc23509706"/>
      <w:bookmarkStart w:id="333" w:name="_Toc23509860"/>
      <w:bookmarkStart w:id="334" w:name="_Toc27156905"/>
      <w:bookmarkStart w:id="335" w:name="_Toc27172140"/>
      <w:bookmarkStart w:id="336" w:name="_Toc27172792"/>
      <w:bookmarkStart w:id="337" w:name="_Toc27172945"/>
      <w:bookmarkStart w:id="338" w:name="_Toc16691081"/>
      <w:bookmarkStart w:id="339" w:name="_Toc15304054"/>
      <w:bookmarkStart w:id="340" w:name="_Toc23509861"/>
      <w:bookmarkStart w:id="341" w:name="_Toc76137365"/>
      <w:bookmarkStart w:id="342" w:name="_Toc76637564"/>
      <w:bookmarkStart w:id="343" w:name="_Toc80953243"/>
      <w:bookmarkStart w:id="344" w:name="_Toc8173919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r w:rsidRPr="00B732F2">
        <w:t>Míra současného řešení problému jinými politikami</w:t>
      </w:r>
      <w:bookmarkEnd w:id="338"/>
      <w:bookmarkEnd w:id="339"/>
      <w:bookmarkEnd w:id="340"/>
      <w:bookmarkEnd w:id="341"/>
      <w:bookmarkEnd w:id="342"/>
      <w:bookmarkEnd w:id="343"/>
      <w:bookmarkEnd w:id="344"/>
    </w:p>
    <w:p w14:paraId="321F9758" w14:textId="77777777" w:rsidR="00A16DDB" w:rsidRPr="00B732F2" w:rsidRDefault="00A16DDB" w:rsidP="00B732F2">
      <w:pPr>
        <w:pStyle w:val="UZEINormaln"/>
      </w:pPr>
      <w:r w:rsidRPr="00B732F2">
        <w:t>Příjmové podpory v rámci SZP jsou doplněny podporami provozního nebo investičního charakteru z národních zdrojů, a to v podobně dlouhodobých programů nebo mimořádných plateb. Vzhledem k výkyvům klimatu to byla v letech 2015, 2017 a 2018 vyplacená mimořádná podpora na zmírnění škod způsobených suchem. Mezi další pravidelně vyplácené provozní podpory, které jsou méně významné z hlediska jejich výše, patří podpory na pojištění na ha z. p. a vratka zelené nafty.</w:t>
      </w:r>
    </w:p>
    <w:p w14:paraId="00FDE70F" w14:textId="77777777" w:rsidR="00A16DDB" w:rsidRPr="00B732F2" w:rsidRDefault="00A16DDB" w:rsidP="00B732F2">
      <w:pPr>
        <w:pStyle w:val="UZEINormaln"/>
      </w:pPr>
      <w:r w:rsidRPr="00B732F2">
        <w:t xml:space="preserve">Z hlediska strukturálních podpor mohou pěstitelé pro komoditu brambory využít následujících Národních dotačních programů: </w:t>
      </w:r>
    </w:p>
    <w:p w14:paraId="2795E6FE" w14:textId="77777777" w:rsidR="00A16DDB" w:rsidRPr="00B732F2" w:rsidRDefault="00A16DDB" w:rsidP="00B732F2">
      <w:pPr>
        <w:pStyle w:val="UZEINormaln"/>
      </w:pPr>
      <w:r w:rsidRPr="00B732F2">
        <w:t>Program 3. Podpora ozdravování polních a speciálních plodin</w:t>
      </w:r>
    </w:p>
    <w:p w14:paraId="3CCB6F1F" w14:textId="77777777" w:rsidR="00A16DDB" w:rsidRPr="00B732F2" w:rsidRDefault="00A16DDB" w:rsidP="00B732F2">
      <w:pPr>
        <w:pStyle w:val="UZEINormaln"/>
      </w:pPr>
      <w:r w:rsidRPr="00B732F2">
        <w:t>Účel: Zvýšení kvality rostlinné produkce cestou náhrady chemického ošetření a prevence šíření hospodářsky závažných virových a bakteriálních chorob a chorob přenosných osivem.</w:t>
      </w:r>
    </w:p>
    <w:p w14:paraId="6372DD3A" w14:textId="77777777" w:rsidR="00A16DDB" w:rsidRPr="00B732F2" w:rsidRDefault="00A16DDB" w:rsidP="00B732F2">
      <w:pPr>
        <w:pStyle w:val="UZEINormaln"/>
      </w:pPr>
      <w:r w:rsidRPr="00B732F2">
        <w:t xml:space="preserve">Předmět dotace: </w:t>
      </w:r>
    </w:p>
    <w:p w14:paraId="489DDDE0" w14:textId="77777777" w:rsidR="00A16DDB" w:rsidRPr="00D95127" w:rsidRDefault="00A16DDB" w:rsidP="00ED196E">
      <w:pPr>
        <w:pStyle w:val="UZEIOdrky"/>
        <w:rPr>
          <w:rFonts w:cs="Times New Roman"/>
        </w:rPr>
      </w:pPr>
      <w:r w:rsidRPr="00D95127">
        <w:t xml:space="preserve">3. c) podpora na testování množitelského materiálu s využitím imunoenzymatických metod a metod PCR, </w:t>
      </w:r>
    </w:p>
    <w:p w14:paraId="6B55B21D" w14:textId="77777777" w:rsidR="00A16DDB" w:rsidRPr="00D95127" w:rsidRDefault="00A16DDB" w:rsidP="00ED196E">
      <w:pPr>
        <w:pStyle w:val="UZEIOdrky"/>
        <w:rPr>
          <w:rFonts w:cs="Times New Roman"/>
        </w:rPr>
      </w:pPr>
      <w:r w:rsidRPr="00D95127">
        <w:t xml:space="preserve">3. d) podpora tvorby rostlinných genotypů s vysokou rezistencí k biotickým i abiotickým faktorům a diferencovanou kvalitou obilovin včetně kukuřice, malých zrnin, olejnin, luskovin, </w:t>
      </w:r>
      <w:r w:rsidRPr="00D95127">
        <w:rPr>
          <w:rFonts w:cs="Times New Roman"/>
        </w:rPr>
        <w:t>brambor, pícnin, zelenin, chmele, révy vinné a ovocných dřevin,</w:t>
      </w:r>
    </w:p>
    <w:p w14:paraId="519EF746" w14:textId="77777777" w:rsidR="00A16DDB" w:rsidRPr="00D95127" w:rsidRDefault="00A16DDB" w:rsidP="00ED196E">
      <w:pPr>
        <w:pStyle w:val="UZEIOdrky"/>
        <w:rPr>
          <w:rFonts w:cs="Times New Roman"/>
        </w:rPr>
      </w:pPr>
      <w:r w:rsidRPr="00D95127">
        <w:t xml:space="preserve"> 3. e) prevence proti šíření karanténních bakterióz bramboru v uzavřených sadbových oblastech vymezených zákonem č. 219/2003 Sb., o uvádění do oběhu osiva a sadby pěstovaných rostlin a o změně některých zákonů (zákon o oběhu osiva a sadby), ve znění pozdějších předpisů. ¨</w:t>
      </w:r>
    </w:p>
    <w:p w14:paraId="5A811244" w14:textId="77777777" w:rsidR="00A16DDB" w:rsidRPr="00D95127" w:rsidRDefault="00A16DDB" w:rsidP="00ED196E">
      <w:pPr>
        <w:pStyle w:val="UZEIOdrky"/>
        <w:rPr>
          <w:rFonts w:cs="Times New Roman"/>
        </w:rPr>
      </w:pPr>
      <w:r w:rsidRPr="00D95127">
        <w:t>Program 9. Poradenství a vzdělávání,</w:t>
      </w:r>
    </w:p>
    <w:p w14:paraId="24A6B2BE" w14:textId="2B5F145F" w:rsidR="00B732F2" w:rsidRDefault="00A16DDB" w:rsidP="00ED196E">
      <w:pPr>
        <w:pStyle w:val="UZEIOdrky"/>
      </w:pPr>
      <w:r w:rsidRPr="00D95127">
        <w:t>9. A.b.4) Podpora zajištění samostatných odrůdových zkoušek registrovaných odrůd polních plodin, za účelem zajistit získání a šíření informací o pěstitelských vlastnostech registrovaných odrůd polních plodin.</w:t>
      </w:r>
    </w:p>
    <w:p w14:paraId="04938B99" w14:textId="36432641" w:rsidR="00A16DDB" w:rsidRPr="00B732F2" w:rsidRDefault="00B732F2" w:rsidP="00B732F2">
      <w:pPr>
        <w:spacing w:after="160" w:line="259" w:lineRule="auto"/>
        <w:jc w:val="left"/>
        <w:rPr>
          <w:rFonts w:eastAsia="Times New Roman" w:cs="Calibri"/>
          <w:color w:val="000000"/>
          <w:szCs w:val="24"/>
          <w:lang w:val="cs-CZ"/>
        </w:rPr>
      </w:pPr>
      <w:r>
        <w:br w:type="page"/>
      </w:r>
    </w:p>
    <w:p w14:paraId="2A23D60D" w14:textId="77777777" w:rsidR="00A16DDB" w:rsidRPr="00D95127" w:rsidRDefault="00A16DDB" w:rsidP="00ED196E">
      <w:pPr>
        <w:pStyle w:val="Nadpis1"/>
      </w:pPr>
      <w:bookmarkStart w:id="345" w:name="_Toc76137366"/>
      <w:bookmarkStart w:id="346" w:name="_Toc76637565"/>
      <w:bookmarkStart w:id="347" w:name="_Toc80953244"/>
      <w:bookmarkStart w:id="348" w:name="_Toc81739200"/>
      <w:r w:rsidRPr="00D95127">
        <w:t>Existence/neexistence možnosti efektivního řešení v rámci nástrojů SZP, které lze uvažovat v nových návrzích SZP</w:t>
      </w:r>
      <w:bookmarkEnd w:id="345"/>
      <w:bookmarkEnd w:id="346"/>
      <w:bookmarkEnd w:id="347"/>
      <w:bookmarkEnd w:id="348"/>
    </w:p>
    <w:p w14:paraId="3BD77EF3" w14:textId="77777777" w:rsidR="00A16DDB" w:rsidRPr="00D95127" w:rsidRDefault="00A16DDB" w:rsidP="002F2C20">
      <w:pPr>
        <w:pStyle w:val="UZEINormaln"/>
        <w:rPr>
          <w:rFonts w:cs="Times New Roman"/>
        </w:rPr>
      </w:pPr>
      <w:r w:rsidRPr="00D95127">
        <w:t>Od roku 2015 jsou v souvislosti s dobrovolnou podporou vázanou na produkci poskytovanou podle článku 52 nařízení Evropského parlamentu a Rady (EU) č. 1307/2013 podporovány brambory konzumní pozdní a brambory určené na výrobu škrobu. Tyto podpory jsou ustanoveny v Nařízení vlády č. 50/2015 Sb., o stanovení některých podmínek poskytování přímých plateb zemědělcům a o změně některých souvisejících nařízení vlády. Pro brambory určené pro výrobu škrobu je vyčleněno 85 mil. Kč a pro konzumní brambory 50 mil. Kč.</w:t>
      </w:r>
    </w:p>
    <w:p w14:paraId="552DFC07" w14:textId="77777777" w:rsidR="00A16DDB" w:rsidRPr="00D95127" w:rsidRDefault="00A16DDB" w:rsidP="002F2C20">
      <w:pPr>
        <w:pStyle w:val="UZEINormaln"/>
        <w:rPr>
          <w:rFonts w:cs="Times New Roman"/>
        </w:rPr>
      </w:pPr>
      <w:r w:rsidRPr="00D95127">
        <w:t>Podle dosavadních propočtů rentabilita brambor konzumních bez započítání podpor byla v záporných hodnotách, relativně lepší výši měla s podporami. Problémem rentabilnosti brambor konzumních jsou volatilní ceny, stagnující výnos a stále vysoké náklady.</w:t>
      </w:r>
    </w:p>
    <w:p w14:paraId="602A8AE2" w14:textId="27211453" w:rsidR="00A16DDB" w:rsidRPr="00D95127" w:rsidRDefault="00A16DDB" w:rsidP="002F2C20">
      <w:pPr>
        <w:pStyle w:val="UZEINormaln"/>
        <w:rPr>
          <w:rFonts w:cs="Times New Roman"/>
        </w:rPr>
      </w:pPr>
      <w:r w:rsidRPr="00D95127">
        <w:t xml:space="preserve">Podle navržené predikce 2021-2030 by se měla nákladová rentabilita výrazně snížit a poté se udržovat na hranici okolo 0 %. Zlepšení nákladové rentability je uvažování až v posledních 3 letech projekce s maximální výši 7,41 % v roce 2030. Z výsledků je zřejmé, že bez podpor není možné výrazně zlepšit rentabilitu pěstování konzumních brambor. Předpokládá se, že se výše podpor bude snižovat, a to se dotkne i rentability konzumních brambor. První rok projekce se předpokládá pokles rentability celkem o 11 % p. b. Odhad celkové rentability by se měl pohybovat v období 2011-2030 od 8,6 % do 15,8 %. Jednalo by se o přiměřenou rentabilitu, která však negeneruje dostatečné množství finančních prostředků důležitých pro kvalitní rozvoj pěstování brambor. </w:t>
      </w:r>
    </w:p>
    <w:p w14:paraId="5B1EE0FC" w14:textId="77777777" w:rsidR="00A16DDB" w:rsidRPr="00D95127" w:rsidRDefault="00A16DDB" w:rsidP="002F2C20">
      <w:pPr>
        <w:pStyle w:val="UZEINormaln"/>
        <w:rPr>
          <w:rFonts w:cs="Times New Roman"/>
        </w:rPr>
      </w:pPr>
      <w:r w:rsidRPr="00D95127">
        <w:t xml:space="preserve"> Aby přímá platba pro konzumní brambory plnila stejnou roli jako u brambor určených pro výrobu škrobu, významně snižovala rizika plynoucí z jejich pěstováním a zvýšila jejich konkurenceschopnost s ostatními méně rizikovými plodinami, jako je obilí, řepka a kukuřice, měla by dosáhnout nejméně 10 % pěstitelských nákladů. </w:t>
      </w:r>
    </w:p>
    <w:p w14:paraId="4AA9F811" w14:textId="51C0EE79" w:rsidR="00A16DDB" w:rsidRPr="00B732F2" w:rsidRDefault="00A16DDB" w:rsidP="00B732F2">
      <w:pPr>
        <w:pStyle w:val="UZEITaB"/>
      </w:pPr>
      <w:bookmarkStart w:id="349" w:name="_Toc81738455"/>
      <w:r w:rsidRPr="00B732F2">
        <w:t>Ekonomika pěstování brambor konzumních v letech 2018-2020 s výhledem do roku 2030</w:t>
      </w:r>
      <w:bookmarkEnd w:id="349"/>
    </w:p>
    <w:p w14:paraId="759E79D1" w14:textId="77777777" w:rsidR="00A16DDB" w:rsidRPr="00D95127" w:rsidRDefault="00A16DDB" w:rsidP="00A16DDB">
      <w:pPr>
        <w:spacing w:after="60"/>
        <w:rPr>
          <w:rFonts w:cs="Times New Roman"/>
          <w:i/>
          <w:szCs w:val="24"/>
          <w:lang w:val="cs-CZ"/>
        </w:rPr>
      </w:pPr>
      <w:r w:rsidRPr="00D95127">
        <w:rPr>
          <w:rFonts w:cs="Times New Roman"/>
          <w:noProof/>
          <w:lang w:val="cs-CZ"/>
        </w:rPr>
        <w:drawing>
          <wp:inline distT="0" distB="0" distL="0" distR="0" wp14:anchorId="06421E01" wp14:editId="3185D1D3">
            <wp:extent cx="5760720" cy="1181735"/>
            <wp:effectExtent l="0" t="0" r="0" b="0"/>
            <wp:docPr id="114" name="Obrázek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60720" cy="1181735"/>
                    </a:xfrm>
                    <a:prstGeom prst="rect">
                      <a:avLst/>
                    </a:prstGeom>
                    <a:noFill/>
                    <a:ln>
                      <a:noFill/>
                    </a:ln>
                  </pic:spPr>
                </pic:pic>
              </a:graphicData>
            </a:graphic>
          </wp:inline>
        </w:drawing>
      </w:r>
    </w:p>
    <w:p w14:paraId="5BB4385E" w14:textId="77777777" w:rsidR="00A16DDB" w:rsidRPr="00D95127" w:rsidRDefault="00A16DDB" w:rsidP="00AB7C32">
      <w:pPr>
        <w:pStyle w:val="UZEIZdroj"/>
        <w:rPr>
          <w:i w:val="0"/>
          <w:sz w:val="18"/>
          <w:szCs w:val="18"/>
        </w:rPr>
      </w:pPr>
      <w:r w:rsidRPr="00D95127">
        <w:t>Zdroj: Výsledky Výběrového šetření o nákladech a výnosech zemědělských výrobků a vlastní výpočty ÚZEI</w:t>
      </w:r>
    </w:p>
    <w:p w14:paraId="2BE3484A" w14:textId="77777777" w:rsidR="00A16DDB" w:rsidRPr="00D95127" w:rsidRDefault="00A16DDB" w:rsidP="00AB7C32">
      <w:pPr>
        <w:pStyle w:val="UZEIZdroj"/>
        <w:rPr>
          <w:i w:val="0"/>
          <w:sz w:val="18"/>
          <w:szCs w:val="18"/>
        </w:rPr>
      </w:pPr>
      <w:r w:rsidRPr="00D95127">
        <w:t xml:space="preserve">Pozn.: Způsob provedení predikce je uveden </w:t>
      </w:r>
      <w:r w:rsidRPr="00D95127">
        <w:rPr>
          <w:sz w:val="18"/>
          <w:szCs w:val="18"/>
        </w:rPr>
        <w:t>v příloze I.</w:t>
      </w:r>
    </w:p>
    <w:p w14:paraId="0E9EDB91" w14:textId="36CC43D4" w:rsidR="00523AC4" w:rsidRDefault="00A16DDB" w:rsidP="00B732F2">
      <w:pPr>
        <w:pStyle w:val="UZEINormaln"/>
      </w:pPr>
      <w:bookmarkStart w:id="350" w:name="_Hlk19637962"/>
      <w:r w:rsidRPr="00D95127">
        <w:t>Cestou, jak se přizpůsobit budoucím podmínkám, může být připravený systém IPKB (Integrovaná produkce konzumních brambor) a Q CZ (režim jakosti Q CZ pro konzumní brambory a výrobky z nich), který se již od 1.1. 2021 realizuje Oba projekty by každý svým způsobem měly spotřebitelům garantovat lepší kvalitu a potravinovou bezpečnost brambor a také zavést systémy pěstování, které budou šetrnější k životnímu prostředí. Systémy by měly limitovat používání přípravků na ochranu rostlin. Zároveň zahrnují i určité nové postupy při kontrole kvality brambor. Byly nastaveny podmínky IPKB, které prezentují způsob zemědělského hospodaření, jehož základním cílem je zajištění trvale udržitelného rozvoje, který umožňuje zachovávat přirozené funkce agroekosystému a ostatních ekosystémů, jež jsou zemědělskou produkcí přímo či nepřímo ovlivňovány a která vyžaduje smysluplný soulad mezi biologickými, technickými a chemickými opatřeními. Předpokládá se snížení spotřeby minerálních hnojiv a zvýšení organických hnojiv. V tomto systému pěstování brambor by měly být sníženy prostředky proti plísni bramboru i četnost jejich aplikace. Lze využívat přípravky povolené v systému ekologického zemědělství (i proti mandelince bramborové). Konvenční přípravky by bylo možné používat na okrajích DPB (díl půdního bloku) s konzumními bramborami. Byly zpracovány obecné, povinné a doporučené podmínky pěstování IPKB. Dosud není tento systém využívaný v praxi. Režim Q CZ navíc zajišťuje dohledatelnost produkce konzumních brambor a výrobků z nich, kontroluje rezidua přípravků na ochranu rostlin a obsah těžkých kovů podle zpřísněných limitů. V neposlední řadě zavádí certifikaci a dozor akreditovanými orgány nad celou vertikálou od pěstování po zpracování brambor</w:t>
      </w:r>
      <w:bookmarkEnd w:id="350"/>
      <w:r w:rsidR="00523AC4">
        <w:t>.</w:t>
      </w:r>
    </w:p>
    <w:p w14:paraId="00938C5B" w14:textId="14BE8370" w:rsidR="00A16DDB" w:rsidRPr="00D95127" w:rsidRDefault="00A16DDB" w:rsidP="00AB7C32">
      <w:pPr>
        <w:pStyle w:val="UZEITaB"/>
        <w:rPr>
          <w:rFonts w:cs="Times New Roman"/>
          <w:i/>
          <w:szCs w:val="24"/>
        </w:rPr>
      </w:pPr>
      <w:bookmarkStart w:id="351" w:name="_Toc81738456"/>
      <w:r w:rsidRPr="00D95127">
        <w:t>Ekonomika pěstování brambor na výrobu škrobu v letech 2011-2020 s výhledem do roku 2030</w:t>
      </w:r>
      <w:bookmarkEnd w:id="351"/>
    </w:p>
    <w:p w14:paraId="377C3CBA" w14:textId="77777777" w:rsidR="00A16DDB" w:rsidRPr="00D95127" w:rsidRDefault="00A16DDB" w:rsidP="00A16DDB">
      <w:pPr>
        <w:spacing w:after="60"/>
        <w:rPr>
          <w:rFonts w:cs="Times New Roman"/>
          <w:i/>
          <w:sz w:val="20"/>
          <w:szCs w:val="24"/>
          <w:lang w:val="cs-CZ"/>
        </w:rPr>
      </w:pPr>
      <w:r w:rsidRPr="00D95127">
        <w:rPr>
          <w:rFonts w:cs="Times New Roman"/>
          <w:noProof/>
          <w:lang w:val="cs-CZ"/>
        </w:rPr>
        <w:drawing>
          <wp:inline distT="0" distB="0" distL="0" distR="0" wp14:anchorId="75CF4DBC" wp14:editId="2CE62D71">
            <wp:extent cx="5760720" cy="1075055"/>
            <wp:effectExtent l="0" t="0" r="0" b="0"/>
            <wp:docPr id="115" name="Obrázek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60720" cy="1075055"/>
                    </a:xfrm>
                    <a:prstGeom prst="rect">
                      <a:avLst/>
                    </a:prstGeom>
                    <a:noFill/>
                    <a:ln>
                      <a:noFill/>
                    </a:ln>
                  </pic:spPr>
                </pic:pic>
              </a:graphicData>
            </a:graphic>
          </wp:inline>
        </w:drawing>
      </w:r>
    </w:p>
    <w:p w14:paraId="343271DB" w14:textId="77777777" w:rsidR="00A16DDB" w:rsidRPr="00D95127" w:rsidRDefault="00A16DDB" w:rsidP="00AB7C32">
      <w:pPr>
        <w:pStyle w:val="UZEIZdroj"/>
        <w:rPr>
          <w:i w:val="0"/>
        </w:rPr>
      </w:pPr>
      <w:r w:rsidRPr="00D95127">
        <w:t>Zdroj: Výsledky Výběrového šetření o nákladech a výnosech zemědělských výrobků a vlastní výpočty ÚZEI, ČSÚ – realizační cena</w:t>
      </w:r>
    </w:p>
    <w:p w14:paraId="0E46AC0A" w14:textId="77777777" w:rsidR="00A16DDB" w:rsidRPr="00D95127" w:rsidRDefault="00A16DDB" w:rsidP="00AB7C32">
      <w:pPr>
        <w:pStyle w:val="UZEIZdroj"/>
        <w:rPr>
          <w:i w:val="0"/>
        </w:rPr>
      </w:pPr>
      <w:r w:rsidRPr="00D95127">
        <w:t>Pozn.: Způsob provedení predikce je uveden v příloze I.</w:t>
      </w:r>
    </w:p>
    <w:p w14:paraId="40366300" w14:textId="77777777" w:rsidR="00A16DDB" w:rsidRPr="00D95127" w:rsidRDefault="00A16DDB" w:rsidP="00AB7C32">
      <w:pPr>
        <w:pStyle w:val="UZEINormaln"/>
        <w:rPr>
          <w:rFonts w:cs="Times New Roman"/>
        </w:rPr>
      </w:pPr>
      <w:r w:rsidRPr="00D95127">
        <w:t xml:space="preserve">Brambory na výrobu škrobu (průmyslové) vykazují obdobný trend vývoje rentability jako brambory konzumní. Bez zařazení do citlivých komodit a čerpání VCS by tento užitkový směr brambor byl v útlumu. Potřebné jsou speciální a ostatní plošné dotace. Pokud budou celkové dotace ke komoditě srovnatelné jako v dosavadním programovém období, ekonomika pěstování průmyslových brambor by měla být akceptovatelná.  </w:t>
      </w:r>
    </w:p>
    <w:p w14:paraId="0180D424" w14:textId="26BA6A61" w:rsidR="00A16DDB" w:rsidRPr="00D95127" w:rsidRDefault="00A16DDB" w:rsidP="00523AC4">
      <w:pPr>
        <w:pStyle w:val="UZEITaB"/>
        <w:ind w:left="0" w:firstLine="0"/>
      </w:pPr>
      <w:bookmarkStart w:id="352" w:name="_Toc81738457"/>
      <w:r w:rsidRPr="00D95127">
        <w:t>Strukturální charakteristiky podniků s citlivými komoditami a vyhodnocení citlivosti příjmových indikátorů na eliminaci VCS podpory</w:t>
      </w:r>
      <w:bookmarkEnd w:id="352"/>
    </w:p>
    <w:p w14:paraId="46571416" w14:textId="77777777" w:rsidR="00A16DDB" w:rsidRPr="00D95127" w:rsidRDefault="00A16DDB" w:rsidP="00A16DDB">
      <w:pPr>
        <w:rPr>
          <w:rFonts w:cs="Times New Roman"/>
          <w:i/>
          <w:noProof/>
          <w:szCs w:val="24"/>
          <w:lang w:val="cs-CZ"/>
        </w:rPr>
      </w:pPr>
      <w:r w:rsidRPr="00D95127">
        <w:rPr>
          <w:rFonts w:cs="Times New Roman"/>
          <w:noProof/>
          <w:szCs w:val="24"/>
          <w:lang w:val="cs-CZ"/>
        </w:rPr>
        <w:drawing>
          <wp:inline distT="0" distB="0" distL="0" distR="0" wp14:anchorId="156A238B" wp14:editId="23E236A8">
            <wp:extent cx="5756910" cy="3530600"/>
            <wp:effectExtent l="0" t="0" r="0" b="0"/>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56910" cy="3530600"/>
                    </a:xfrm>
                    <a:prstGeom prst="rect">
                      <a:avLst/>
                    </a:prstGeom>
                    <a:noFill/>
                    <a:ln>
                      <a:noFill/>
                    </a:ln>
                  </pic:spPr>
                </pic:pic>
              </a:graphicData>
            </a:graphic>
          </wp:inline>
        </w:drawing>
      </w:r>
    </w:p>
    <w:p w14:paraId="15AA73E0" w14:textId="77777777" w:rsidR="00A16DDB" w:rsidRPr="00D95127" w:rsidRDefault="00A16DDB" w:rsidP="00516294">
      <w:pPr>
        <w:pStyle w:val="UZEIZdroj"/>
        <w:rPr>
          <w:i w:val="0"/>
          <w:sz w:val="16"/>
          <w:szCs w:val="16"/>
        </w:rPr>
      </w:pPr>
      <w:r w:rsidRPr="00D95127">
        <w:t>Zdroj: FADN CZ</w:t>
      </w:r>
    </w:p>
    <w:p w14:paraId="472C1C2F" w14:textId="77777777" w:rsidR="00A16DDB" w:rsidRPr="00D95127" w:rsidRDefault="00A16DDB" w:rsidP="00516294">
      <w:pPr>
        <w:pStyle w:val="UZEINormaln"/>
        <w:rPr>
          <w:rFonts w:cs="Times New Roman"/>
        </w:rPr>
      </w:pPr>
      <w:r w:rsidRPr="00D95127">
        <w:t>Konkrétní nastavení výše podpory CIS bude předmětem dalších analýz zohledňující scénáře vývoje ostatních politik v rámci celého komplexu podpor SZP.</w:t>
      </w:r>
    </w:p>
    <w:p w14:paraId="02421FAE" w14:textId="77777777" w:rsidR="00A16DDB" w:rsidRPr="00D95127" w:rsidRDefault="00A16DDB" w:rsidP="00516294">
      <w:pPr>
        <w:pStyle w:val="UZEINormaln"/>
        <w:rPr>
          <w:rFonts w:cs="Times New Roman"/>
        </w:rPr>
      </w:pPr>
      <w:r w:rsidRPr="00D95127">
        <w:t>Bramborářský sektor přispěl k vymezení základních potřeb odvětví, které se budou v následujícím období řešit. V tabulkách „Teorie změny“ jsou naznačeny hlavní okruhy problémů, jejich příčin, potřebných změn a navržených intervencí (</w:t>
      </w:r>
      <w:r w:rsidRPr="00D95127">
        <w:rPr>
          <w:rFonts w:cs="Times New Roman"/>
        </w:rPr>
        <w:fldChar w:fldCharType="begin"/>
      </w:r>
      <w:r w:rsidRPr="00D95127">
        <w:rPr>
          <w:rFonts w:cs="Times New Roman"/>
        </w:rPr>
        <w:instrText xml:space="preserve"> REF _Ref14703362 \h  \* MERGEFORMAT </w:instrText>
      </w:r>
      <w:r w:rsidRPr="00D95127">
        <w:rPr>
          <w:rFonts w:cs="Times New Roman"/>
        </w:rPr>
      </w:r>
      <w:r w:rsidRPr="00D95127">
        <w:rPr>
          <w:rFonts w:cs="Times New Roman"/>
        </w:rPr>
        <w:fldChar w:fldCharType="separate"/>
      </w:r>
      <w:r w:rsidRPr="00D95127">
        <w:rPr>
          <w:rFonts w:cs="Times New Roman"/>
        </w:rPr>
        <w:t xml:space="preserve">Tabulka </w:t>
      </w:r>
      <w:r w:rsidRPr="00D95127">
        <w:rPr>
          <w:rFonts w:cs="Times New Roman"/>
          <w:noProof/>
        </w:rPr>
        <w:t>28</w:t>
      </w:r>
      <w:r w:rsidRPr="00D95127">
        <w:rPr>
          <w:rFonts w:cs="Times New Roman"/>
        </w:rPr>
        <w:fldChar w:fldCharType="end"/>
      </w:r>
      <w:r w:rsidRPr="00D95127">
        <w:rPr>
          <w:rFonts w:cs="Times New Roman"/>
        </w:rPr>
        <w:t xml:space="preserve">). Příležitost pro okopaniny je možnost využití nově navržených odvětvových intervencí. Podmínkou je založení a schválení organizací producentů a jejich operačních programů. Nutná podmínka vzniku OP je založení provozního fondu finančních prostředků členů OP, které budou vzájemně sdíleny. Brambory konzumní by s určitostí využily některé navrhované odvětvové intervence, stále však není rozhodnuto, zda budou zařazeny mezi podporované komodity.  </w:t>
      </w:r>
    </w:p>
    <w:p w14:paraId="3DC5F934" w14:textId="77777777" w:rsidR="00A16DDB" w:rsidRPr="00D95127" w:rsidRDefault="00A16DDB" w:rsidP="00516294">
      <w:pPr>
        <w:pStyle w:val="UZEINormaln"/>
        <w:rPr>
          <w:rFonts w:cs="Times New Roman"/>
        </w:rPr>
      </w:pPr>
      <w:r w:rsidRPr="00D95127">
        <w:t xml:space="preserve">Je možné využít z nabízených odvětvových intervencí, které by zmírnily rizika uvedená v teorii změny (Návrh nařízení čl. 59, 60). Z široké škály možností se nabízí dle Návrhu nařízení: čl. 39 písm. </w:t>
      </w:r>
      <w:r w:rsidRPr="00D95127">
        <w:rPr>
          <w:rFonts w:cs="Times New Roman"/>
          <w:noProof/>
        </w:rPr>
        <w:t>f) ostatní odvětví.</w:t>
      </w:r>
    </w:p>
    <w:p w14:paraId="6EF61310" w14:textId="77777777" w:rsidR="00A16DDB" w:rsidRPr="00D95127" w:rsidRDefault="00A16DDB" w:rsidP="00516294">
      <w:pPr>
        <w:pStyle w:val="UZEINormaln"/>
        <w:rPr>
          <w:rFonts w:cs="Times New Roman"/>
        </w:rPr>
      </w:pPr>
      <w:r w:rsidRPr="00D95127">
        <w:t>Co se týká názoru zástupců ČBS a ČŠS ve vztahu k využití odvětvových intervencí pro ostatní sektory, ti předpokládají, že sektor brambor je jedním z potenciálních sektorů, kde by mohly vzniknout minimálně dvě funkční organizace producentů se schopností čerpat finanční prostředky vymezené na toto opatření v odhadovaném rozsahu cca 20 mil. Kč/rok. Finální rozhodnutí o založení těchto organizací je však závislé na tom, v jakém znění budou schválena konečná pravidla a nařízení v této věci. Hlavní překážkou pro jednoznačné rozhodnutí je znění stávajícího návrhu nařízení, které se odkazuje na stávající platné nařízení 1308/2013, kde komodita brambory není exaktně vyjmenována jako oprávněná komodita k možnému využití odvětvových intervencí pro ostatní odvětví.</w:t>
      </w:r>
    </w:p>
    <w:p w14:paraId="71462F1E" w14:textId="77777777" w:rsidR="00A16DDB" w:rsidRPr="00D95127" w:rsidRDefault="00A16DDB" w:rsidP="00516294">
      <w:pPr>
        <w:pStyle w:val="UZEINormaln"/>
        <w:rPr>
          <w:rFonts w:cs="Times New Roman"/>
        </w:rPr>
      </w:pPr>
      <w:r w:rsidRPr="00D95127">
        <w:t xml:space="preserve">V případě komodity brambory by bylo možné potencionálně využít tyto typy intervencí:  </w:t>
      </w:r>
    </w:p>
    <w:p w14:paraId="2C8A77BA" w14:textId="77777777" w:rsidR="00A16DDB" w:rsidRPr="00D95127" w:rsidRDefault="00A16DDB" w:rsidP="00516294">
      <w:pPr>
        <w:pStyle w:val="UZEIOdrky"/>
        <w:rPr>
          <w:rFonts w:cs="Times New Roman"/>
          <w:noProof/>
        </w:rPr>
      </w:pPr>
      <w:r w:rsidRPr="00D95127">
        <w:t xml:space="preserve">čl. 60, 1.a) </w:t>
      </w:r>
      <w:r w:rsidRPr="00D95127">
        <w:rPr>
          <w:rFonts w:cs="Times New Roman"/>
          <w:noProof/>
        </w:rPr>
        <w:t xml:space="preserve">investice do hmotných a nehmotných aktiv; výzkum a experimentální výroba, jakož i jiná opatření, </w:t>
      </w:r>
    </w:p>
    <w:p w14:paraId="571FEEB7" w14:textId="77777777" w:rsidR="00A16DDB" w:rsidRPr="00D95127" w:rsidRDefault="00A16DDB" w:rsidP="00516294">
      <w:pPr>
        <w:pStyle w:val="UZEIOdrky"/>
        <w:rPr>
          <w:rFonts w:cs="Times New Roman"/>
        </w:rPr>
      </w:pPr>
      <w:r w:rsidRPr="00D95127">
        <w:t>čl. 60, 1.b) poradenské služby a technická pomoc, zejména pokud jde o přizpůsobování se změně klimatu a její zmírňování</w:t>
      </w:r>
    </w:p>
    <w:p w14:paraId="7F15BBA4" w14:textId="77777777" w:rsidR="00A16DDB" w:rsidRPr="00D95127" w:rsidRDefault="00A16DDB" w:rsidP="00516294">
      <w:pPr>
        <w:pStyle w:val="UZEIOdrky"/>
        <w:rPr>
          <w:rFonts w:cs="Times New Roman"/>
        </w:rPr>
      </w:pPr>
      <w:r w:rsidRPr="00D95127">
        <w:t>čl. 60, 1.e) opatření ke zvýšení udržitelnosti a účinnosti přepravy a skladování produktů jednoho nebo více odvětví uvedených v čl. 40 písm. f)</w:t>
      </w:r>
    </w:p>
    <w:p w14:paraId="7FCC889F" w14:textId="77777777" w:rsidR="00A16DDB" w:rsidRPr="00D95127" w:rsidRDefault="00A16DDB" w:rsidP="00516294">
      <w:pPr>
        <w:pStyle w:val="UZEIOdrky"/>
        <w:rPr>
          <w:rFonts w:cs="Times New Roman"/>
        </w:rPr>
      </w:pPr>
      <w:r w:rsidRPr="00D95127">
        <w:t>čl. 60, 1.f) propagace, komunikace a marketing včetně opatření a činností zaměřených zejména na zvyšování povědomí spotřebitelů o režimech jakosti EU a důležitosti zdravého stravování a na diverzifikaci trhů</w:t>
      </w:r>
    </w:p>
    <w:p w14:paraId="64A23A50" w14:textId="77777777" w:rsidR="00A16DDB" w:rsidRPr="00D95127" w:rsidRDefault="00A16DDB" w:rsidP="00516294">
      <w:pPr>
        <w:pStyle w:val="UZEIOdrky"/>
        <w:rPr>
          <w:rFonts w:cs="Times New Roman"/>
        </w:rPr>
      </w:pPr>
      <w:r w:rsidRPr="00D95127">
        <w:t>čl. 60, 1.g) provádění unijních a vnitrostátních režimů jakosti</w:t>
      </w:r>
    </w:p>
    <w:p w14:paraId="3EA40753" w14:textId="77777777" w:rsidR="00A16DDB" w:rsidRPr="00D95127" w:rsidRDefault="00A16DDB" w:rsidP="00516294">
      <w:pPr>
        <w:pStyle w:val="UZEIOdrky"/>
        <w:rPr>
          <w:rFonts w:cs="Times New Roman"/>
        </w:rPr>
      </w:pPr>
      <w:r w:rsidRPr="00D95127">
        <w:t xml:space="preserve">čl. 60, 1.h) zavádění systémů sledování a certifikace, zejména sledování jakosti produktů prodávaných koncovým spotřebitelům  </w:t>
      </w:r>
    </w:p>
    <w:p w14:paraId="35B9C316" w14:textId="77777777" w:rsidR="00A16DDB" w:rsidRPr="00D95127" w:rsidRDefault="00A16DDB" w:rsidP="00A16DDB">
      <w:pPr>
        <w:spacing w:after="60"/>
        <w:rPr>
          <w:rFonts w:cs="Times New Roman"/>
          <w:szCs w:val="24"/>
          <w:lang w:val="cs-CZ"/>
        </w:rPr>
      </w:pPr>
    </w:p>
    <w:p w14:paraId="327DE4DB" w14:textId="77777777" w:rsidR="00A16DDB" w:rsidRPr="00D95127" w:rsidRDefault="00A16DDB" w:rsidP="00A16DDB">
      <w:pPr>
        <w:spacing w:after="60"/>
        <w:ind w:left="709"/>
        <w:rPr>
          <w:rFonts w:cs="Times New Roman"/>
          <w:szCs w:val="24"/>
          <w:lang w:val="cs-CZ"/>
        </w:rPr>
      </w:pPr>
    </w:p>
    <w:p w14:paraId="22C17270" w14:textId="77777777" w:rsidR="00A16DDB" w:rsidRPr="00D95127" w:rsidRDefault="00A16DDB" w:rsidP="00A16DDB">
      <w:pPr>
        <w:spacing w:after="60"/>
        <w:ind w:firstLine="709"/>
        <w:jc w:val="right"/>
        <w:rPr>
          <w:rFonts w:cs="Times New Roman"/>
          <w:szCs w:val="24"/>
          <w:lang w:val="cs-CZ"/>
        </w:rPr>
      </w:pPr>
    </w:p>
    <w:p w14:paraId="724FF419" w14:textId="77777777" w:rsidR="00A16DDB" w:rsidRPr="00D95127" w:rsidRDefault="00A16DDB" w:rsidP="00A16DDB">
      <w:pPr>
        <w:rPr>
          <w:rFonts w:cs="Times New Roman"/>
          <w:szCs w:val="24"/>
          <w:lang w:val="cs-CZ"/>
        </w:rPr>
      </w:pPr>
    </w:p>
    <w:p w14:paraId="005452E1" w14:textId="77777777" w:rsidR="00A16DDB" w:rsidRPr="00D95127" w:rsidRDefault="00A16DDB" w:rsidP="00A16DDB">
      <w:pPr>
        <w:rPr>
          <w:rFonts w:cs="Times New Roman"/>
          <w:szCs w:val="24"/>
          <w:lang w:val="cs-CZ"/>
        </w:rPr>
        <w:sectPr w:rsidR="00A16DDB" w:rsidRPr="00D95127" w:rsidSect="00C82CBD">
          <w:headerReference w:type="default" r:id="rId47"/>
          <w:footerReference w:type="default" r:id="rId48"/>
          <w:pgSz w:w="11906" w:h="16838"/>
          <w:pgMar w:top="1417" w:right="1417" w:bottom="1417" w:left="1417" w:header="708" w:footer="708" w:gutter="0"/>
          <w:cols w:space="708"/>
          <w:docGrid w:linePitch="360"/>
        </w:sectPr>
      </w:pPr>
    </w:p>
    <w:p w14:paraId="3DFC3584" w14:textId="28237045" w:rsidR="00A16DDB" w:rsidRPr="00D95127" w:rsidRDefault="00A16DDB" w:rsidP="009E0FED">
      <w:pPr>
        <w:pStyle w:val="UZEITaB"/>
      </w:pPr>
      <w:bookmarkStart w:id="353" w:name="_Toc81738458"/>
      <w:r w:rsidRPr="00D95127">
        <w:t>Teorie změny – brambory</w:t>
      </w:r>
      <w:bookmarkEnd w:id="353"/>
    </w:p>
    <w:p w14:paraId="0F9DD024" w14:textId="77777777" w:rsidR="00A16DDB" w:rsidRPr="00D95127" w:rsidRDefault="00A16DDB" w:rsidP="00A16DDB">
      <w:pPr>
        <w:spacing w:after="60"/>
        <w:rPr>
          <w:rFonts w:cs="Times New Roman"/>
          <w:szCs w:val="24"/>
          <w:lang w:val="cs-CZ"/>
        </w:rPr>
      </w:pPr>
      <w:r w:rsidRPr="00D95127">
        <w:rPr>
          <w:rFonts w:cs="Times New Roman"/>
          <w:noProof/>
          <w:lang w:val="cs-CZ"/>
        </w:rPr>
        <w:drawing>
          <wp:inline distT="0" distB="0" distL="0" distR="0" wp14:anchorId="3857967C" wp14:editId="1334E984">
            <wp:extent cx="8891270" cy="5004435"/>
            <wp:effectExtent l="0" t="0" r="5080" b="5715"/>
            <wp:docPr id="312" name="Obrázek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891270" cy="5004435"/>
                    </a:xfrm>
                    <a:prstGeom prst="rect">
                      <a:avLst/>
                    </a:prstGeom>
                    <a:noFill/>
                    <a:ln>
                      <a:noFill/>
                    </a:ln>
                  </pic:spPr>
                </pic:pic>
              </a:graphicData>
            </a:graphic>
          </wp:inline>
        </w:drawing>
      </w:r>
    </w:p>
    <w:p w14:paraId="63F426F6" w14:textId="77777777" w:rsidR="009E0FED" w:rsidRDefault="009E0FED" w:rsidP="00E454C2">
      <w:pPr>
        <w:pStyle w:val="UZEINormaln"/>
        <w:rPr>
          <w:rFonts w:cs="Arial"/>
          <w:color w:val="000000" w:themeColor="text1"/>
          <w:sz w:val="20"/>
          <w:szCs w:val="20"/>
        </w:rPr>
      </w:pPr>
      <w:r>
        <w:br w:type="page"/>
      </w:r>
    </w:p>
    <w:p w14:paraId="6E57AA15" w14:textId="77777777" w:rsidR="00A16DDB" w:rsidRPr="00D95127" w:rsidRDefault="00A16DDB" w:rsidP="00A16DDB">
      <w:pPr>
        <w:pStyle w:val="Titulek"/>
        <w:spacing w:before="120" w:after="60"/>
        <w:rPr>
          <w:szCs w:val="24"/>
        </w:rPr>
      </w:pPr>
      <w:r w:rsidRPr="00D95127">
        <w:rPr>
          <w:noProof/>
        </w:rPr>
        <w:drawing>
          <wp:inline distT="0" distB="0" distL="0" distR="0" wp14:anchorId="6FEF37F4" wp14:editId="47428506">
            <wp:extent cx="9734550" cy="4898560"/>
            <wp:effectExtent l="0" t="0" r="0" b="0"/>
            <wp:docPr id="316" name="Obrázek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746307" cy="4904476"/>
                    </a:xfrm>
                    <a:prstGeom prst="rect">
                      <a:avLst/>
                    </a:prstGeom>
                    <a:noFill/>
                    <a:ln>
                      <a:noFill/>
                    </a:ln>
                  </pic:spPr>
                </pic:pic>
              </a:graphicData>
            </a:graphic>
          </wp:inline>
        </w:drawing>
      </w:r>
    </w:p>
    <w:p w14:paraId="0338723C" w14:textId="77777777" w:rsidR="00A16DDB" w:rsidRPr="00D95127" w:rsidRDefault="00A16DDB" w:rsidP="00E454C2">
      <w:pPr>
        <w:pStyle w:val="UZEINormaln"/>
      </w:pPr>
    </w:p>
    <w:p w14:paraId="6D3E2CA4" w14:textId="77777777" w:rsidR="00A16DDB" w:rsidRPr="00D95127" w:rsidRDefault="00A16DDB" w:rsidP="00A16DDB">
      <w:pPr>
        <w:rPr>
          <w:rFonts w:cs="Times New Roman"/>
          <w:lang w:val="cs-CZ" w:eastAsia="cs-CZ"/>
        </w:rPr>
      </w:pPr>
      <w:r w:rsidRPr="00D95127">
        <w:rPr>
          <w:rFonts w:cs="Times New Roman"/>
          <w:noProof/>
          <w:lang w:val="cs-CZ"/>
        </w:rPr>
        <w:drawing>
          <wp:inline distT="0" distB="0" distL="0" distR="0" wp14:anchorId="5DF61AE8" wp14:editId="45732D6B">
            <wp:extent cx="8891270" cy="2232660"/>
            <wp:effectExtent l="0" t="0" r="5080" b="0"/>
            <wp:docPr id="317" name="Obrázek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8891270" cy="2232660"/>
                    </a:xfrm>
                    <a:prstGeom prst="rect">
                      <a:avLst/>
                    </a:prstGeom>
                    <a:noFill/>
                    <a:ln>
                      <a:noFill/>
                    </a:ln>
                  </pic:spPr>
                </pic:pic>
              </a:graphicData>
            </a:graphic>
          </wp:inline>
        </w:drawing>
      </w:r>
    </w:p>
    <w:p w14:paraId="05439315" w14:textId="77777777" w:rsidR="00A16DDB" w:rsidRPr="00D95127" w:rsidRDefault="00A16DDB" w:rsidP="00E454C2">
      <w:pPr>
        <w:pStyle w:val="UZEIZdroj"/>
        <w:rPr>
          <w:sz w:val="16"/>
          <w:szCs w:val="16"/>
          <w:lang w:eastAsia="cs-CZ"/>
        </w:rPr>
        <w:sectPr w:rsidR="00A16DDB" w:rsidRPr="00D95127" w:rsidSect="00C82CBD">
          <w:headerReference w:type="default" r:id="rId52"/>
          <w:footerReference w:type="default" r:id="rId53"/>
          <w:pgSz w:w="16838" w:h="11906" w:orient="landscape"/>
          <w:pgMar w:top="1418" w:right="1418" w:bottom="1418" w:left="1418" w:header="709" w:footer="709" w:gutter="0"/>
          <w:cols w:space="708"/>
          <w:docGrid w:linePitch="360"/>
        </w:sectPr>
      </w:pPr>
      <w:r w:rsidRPr="00D95127">
        <w:t>Zdroj: Vlastní zpracování ÚZEI</w:t>
      </w:r>
    </w:p>
    <w:p w14:paraId="565459ED" w14:textId="77777777" w:rsidR="00A16DDB" w:rsidRPr="00D95127" w:rsidRDefault="00A16DDB" w:rsidP="00A707C6">
      <w:pPr>
        <w:pStyle w:val="Nadpis1"/>
      </w:pPr>
      <w:bookmarkStart w:id="354" w:name="_Toc16691083"/>
      <w:bookmarkStart w:id="355" w:name="_Toc15304056"/>
      <w:bookmarkStart w:id="356" w:name="_Toc23509863"/>
      <w:bookmarkStart w:id="357" w:name="_Toc76137367"/>
      <w:bookmarkStart w:id="358" w:name="_Toc76637566"/>
      <w:bookmarkStart w:id="359" w:name="_Toc80953245"/>
      <w:bookmarkStart w:id="360" w:name="_Toc81739201"/>
      <w:bookmarkStart w:id="361" w:name="_Hlk525762953"/>
      <w:r w:rsidRPr="00D95127">
        <w:t>SWOT analýza</w:t>
      </w:r>
      <w:bookmarkEnd w:id="354"/>
      <w:bookmarkEnd w:id="355"/>
      <w:bookmarkEnd w:id="356"/>
      <w:bookmarkEnd w:id="357"/>
      <w:bookmarkEnd w:id="358"/>
      <w:bookmarkEnd w:id="359"/>
      <w:bookmarkEnd w:id="360"/>
    </w:p>
    <w:bookmarkEnd w:id="361"/>
    <w:p w14:paraId="7D0ABB1A" w14:textId="612B23CD" w:rsidR="00A16DDB" w:rsidRPr="00B10832" w:rsidRDefault="002D5780" w:rsidP="002D5780">
      <w:pPr>
        <w:pStyle w:val="UZEINormaln"/>
        <w:rPr>
          <w:rStyle w:val="Odkazintenzivn"/>
          <w:smallCaps w:val="0"/>
          <w:color w:val="auto"/>
          <w:spacing w:val="0"/>
        </w:rPr>
      </w:pPr>
      <w:r w:rsidRPr="00B10832">
        <w:rPr>
          <w:rStyle w:val="Odkazintenzivn"/>
          <w:smallCaps w:val="0"/>
          <w:color w:val="auto"/>
          <w:spacing w:val="0"/>
        </w:rPr>
        <w:t>BRAMBORY KONZUMNÍ</w:t>
      </w:r>
    </w:p>
    <w:tbl>
      <w:tblPr>
        <w:tblW w:w="9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49"/>
        <w:gridCol w:w="4819"/>
        <w:gridCol w:w="12"/>
      </w:tblGrid>
      <w:tr w:rsidR="00A16DDB" w:rsidRPr="00D95127" w14:paraId="467F4043" w14:textId="77777777" w:rsidTr="00EE56D0">
        <w:trPr>
          <w:gridAfter w:val="1"/>
          <w:wAfter w:w="12" w:type="dxa"/>
        </w:trPr>
        <w:tc>
          <w:tcPr>
            <w:tcW w:w="4849" w:type="dxa"/>
            <w:shd w:val="clear" w:color="auto" w:fill="auto"/>
          </w:tcPr>
          <w:p w14:paraId="1FB8C4C4" w14:textId="77777777" w:rsidR="00A16DDB" w:rsidRPr="00A707C6" w:rsidRDefault="00A16DDB" w:rsidP="00F254D5">
            <w:pPr>
              <w:pStyle w:val="UZEINormaln"/>
              <w:jc w:val="center"/>
              <w:rPr>
                <w:b/>
                <w:sz w:val="22"/>
                <w:szCs w:val="22"/>
              </w:rPr>
            </w:pPr>
            <w:r w:rsidRPr="00A707C6">
              <w:rPr>
                <w:b/>
                <w:sz w:val="22"/>
                <w:szCs w:val="22"/>
              </w:rPr>
              <w:t>Silné stránky</w:t>
            </w:r>
          </w:p>
        </w:tc>
        <w:tc>
          <w:tcPr>
            <w:tcW w:w="4819" w:type="dxa"/>
            <w:shd w:val="clear" w:color="auto" w:fill="auto"/>
          </w:tcPr>
          <w:p w14:paraId="0E615179" w14:textId="77777777" w:rsidR="00A16DDB" w:rsidRPr="00A707C6" w:rsidRDefault="00A16DDB" w:rsidP="00F254D5">
            <w:pPr>
              <w:pStyle w:val="UZEINormaln"/>
              <w:jc w:val="center"/>
              <w:rPr>
                <w:b/>
                <w:sz w:val="22"/>
                <w:szCs w:val="22"/>
              </w:rPr>
            </w:pPr>
            <w:r w:rsidRPr="00A707C6">
              <w:rPr>
                <w:b/>
                <w:sz w:val="22"/>
                <w:szCs w:val="22"/>
              </w:rPr>
              <w:t>Slabé stránky</w:t>
            </w:r>
          </w:p>
        </w:tc>
      </w:tr>
      <w:tr w:rsidR="00A16DDB" w:rsidRPr="00D95127" w14:paraId="4A2C1FA4" w14:textId="77777777" w:rsidTr="00EE56D0">
        <w:tc>
          <w:tcPr>
            <w:tcW w:w="4849" w:type="dxa"/>
            <w:shd w:val="clear" w:color="auto" w:fill="auto"/>
          </w:tcPr>
          <w:p w14:paraId="1AD111C0" w14:textId="224330A5" w:rsidR="00A16DDB" w:rsidRPr="00A707C6" w:rsidRDefault="00C551C1" w:rsidP="006B1A85">
            <w:pPr>
              <w:pStyle w:val="UZEIOdrky"/>
              <w:ind w:left="342" w:hanging="283"/>
              <w:rPr>
                <w:sz w:val="22"/>
                <w:szCs w:val="22"/>
              </w:rPr>
            </w:pPr>
            <w:r>
              <w:rPr>
                <w:sz w:val="22"/>
                <w:szCs w:val="22"/>
              </w:rPr>
              <w:t xml:space="preserve">S1: </w:t>
            </w:r>
            <w:r w:rsidR="00A16DDB" w:rsidRPr="00A707C6">
              <w:rPr>
                <w:sz w:val="22"/>
                <w:szCs w:val="22"/>
              </w:rPr>
              <w:t xml:space="preserve">zařazení do citlivých komodit </w:t>
            </w:r>
          </w:p>
          <w:p w14:paraId="61A2AA32" w14:textId="1E1B3AFD" w:rsidR="00A16DDB" w:rsidRPr="00A707C6" w:rsidDel="009E038D" w:rsidRDefault="00C551C1" w:rsidP="006B1A85">
            <w:pPr>
              <w:pStyle w:val="UZEIOdrky"/>
              <w:ind w:left="342" w:hanging="283"/>
              <w:rPr>
                <w:sz w:val="22"/>
                <w:szCs w:val="22"/>
              </w:rPr>
            </w:pPr>
            <w:r>
              <w:rPr>
                <w:sz w:val="22"/>
                <w:szCs w:val="22"/>
              </w:rPr>
              <w:t xml:space="preserve">S2: </w:t>
            </w:r>
            <w:r w:rsidR="00A16DDB" w:rsidRPr="00A707C6" w:rsidDel="009E038D">
              <w:rPr>
                <w:sz w:val="22"/>
                <w:szCs w:val="22"/>
              </w:rPr>
              <w:t>brambory – zdravá a tradiční potravina</w:t>
            </w:r>
          </w:p>
          <w:p w14:paraId="386829E3" w14:textId="61FD456B" w:rsidR="00A16DDB" w:rsidRPr="00A707C6" w:rsidRDefault="00C551C1" w:rsidP="006B1A85">
            <w:pPr>
              <w:pStyle w:val="UZEIOdrky"/>
              <w:ind w:left="342" w:hanging="283"/>
              <w:rPr>
                <w:sz w:val="22"/>
                <w:szCs w:val="22"/>
              </w:rPr>
            </w:pPr>
            <w:r>
              <w:rPr>
                <w:sz w:val="22"/>
                <w:szCs w:val="22"/>
              </w:rPr>
              <w:t xml:space="preserve">S3: </w:t>
            </w:r>
            <w:r w:rsidR="00A16DDB" w:rsidRPr="00A707C6">
              <w:rPr>
                <w:sz w:val="22"/>
                <w:szCs w:val="22"/>
              </w:rPr>
              <w:t>podpora zaměstnanosti</w:t>
            </w:r>
          </w:p>
          <w:p w14:paraId="0F1BCE9F" w14:textId="08D300D0" w:rsidR="00A16DDB" w:rsidRPr="00A707C6" w:rsidRDefault="00C551C1" w:rsidP="006B1A85">
            <w:pPr>
              <w:pStyle w:val="UZEIOdrky"/>
              <w:ind w:left="342" w:hanging="283"/>
              <w:rPr>
                <w:sz w:val="22"/>
                <w:szCs w:val="22"/>
              </w:rPr>
            </w:pPr>
            <w:r>
              <w:rPr>
                <w:sz w:val="22"/>
                <w:szCs w:val="22"/>
              </w:rPr>
              <w:t xml:space="preserve">S4: </w:t>
            </w:r>
            <w:r w:rsidR="00A16DDB" w:rsidRPr="00A707C6">
              <w:rPr>
                <w:sz w:val="22"/>
                <w:szCs w:val="22"/>
              </w:rPr>
              <w:t>spotřeba brambor na obyvatele se v průměru let příliš nemění, kolísá na úrovni 65 až 70 kg/obyvatele</w:t>
            </w:r>
          </w:p>
          <w:p w14:paraId="38D2657B" w14:textId="47677A43" w:rsidR="00A16DDB" w:rsidRPr="00A707C6" w:rsidRDefault="00C551C1" w:rsidP="006B1A85">
            <w:pPr>
              <w:pStyle w:val="UZEIOdrky"/>
              <w:ind w:left="342" w:hanging="283"/>
              <w:rPr>
                <w:sz w:val="22"/>
                <w:szCs w:val="22"/>
              </w:rPr>
            </w:pPr>
            <w:r>
              <w:rPr>
                <w:sz w:val="22"/>
                <w:szCs w:val="22"/>
              </w:rPr>
              <w:t xml:space="preserve">S5: </w:t>
            </w:r>
            <w:r w:rsidR="00A16DDB" w:rsidRPr="00A707C6">
              <w:rPr>
                <w:sz w:val="22"/>
                <w:szCs w:val="22"/>
              </w:rPr>
              <w:t>podpora zaměstnanosti</w:t>
            </w:r>
          </w:p>
        </w:tc>
        <w:tc>
          <w:tcPr>
            <w:tcW w:w="4831" w:type="dxa"/>
            <w:gridSpan w:val="2"/>
            <w:shd w:val="clear" w:color="auto" w:fill="auto"/>
          </w:tcPr>
          <w:p w14:paraId="7A8BF09A" w14:textId="77F167D7" w:rsidR="00A16DDB" w:rsidRPr="00A707C6" w:rsidRDefault="00C551C1" w:rsidP="006B1A85">
            <w:pPr>
              <w:pStyle w:val="UZEIOdrky"/>
              <w:ind w:left="318" w:hanging="284"/>
              <w:rPr>
                <w:sz w:val="22"/>
                <w:szCs w:val="22"/>
              </w:rPr>
            </w:pPr>
            <w:r>
              <w:rPr>
                <w:sz w:val="22"/>
                <w:szCs w:val="22"/>
              </w:rPr>
              <w:t xml:space="preserve">W1: </w:t>
            </w:r>
            <w:r w:rsidR="00A16DDB" w:rsidRPr="00A707C6">
              <w:rPr>
                <w:sz w:val="22"/>
                <w:szCs w:val="22"/>
              </w:rPr>
              <w:t>nižší úroveň výnosů a jejich vyšší variabilita ve srovnání s konkurenty</w:t>
            </w:r>
          </w:p>
          <w:p w14:paraId="659A4ABD" w14:textId="4F797E73" w:rsidR="00A16DDB" w:rsidRPr="00A707C6" w:rsidRDefault="00AB62EB" w:rsidP="006B1A85">
            <w:pPr>
              <w:pStyle w:val="UZEIOdrky"/>
              <w:ind w:left="318" w:hanging="284"/>
              <w:rPr>
                <w:sz w:val="22"/>
                <w:szCs w:val="22"/>
              </w:rPr>
            </w:pPr>
            <w:r>
              <w:rPr>
                <w:sz w:val="22"/>
                <w:szCs w:val="22"/>
              </w:rPr>
              <w:t xml:space="preserve">W2: </w:t>
            </w:r>
            <w:r w:rsidR="00A16DDB" w:rsidRPr="00A707C6">
              <w:rPr>
                <w:sz w:val="22"/>
                <w:szCs w:val="22"/>
              </w:rPr>
              <w:t>vysoká meziroční volatilita cen konzumních brambor</w:t>
            </w:r>
          </w:p>
          <w:p w14:paraId="6B322C2B" w14:textId="22FBE4FF" w:rsidR="00A16DDB" w:rsidRPr="00A707C6" w:rsidRDefault="00AB62EB" w:rsidP="006B1A85">
            <w:pPr>
              <w:pStyle w:val="UZEIOdrky"/>
              <w:ind w:left="318" w:hanging="284"/>
              <w:rPr>
                <w:sz w:val="22"/>
                <w:szCs w:val="22"/>
              </w:rPr>
            </w:pPr>
            <w:r>
              <w:rPr>
                <w:sz w:val="22"/>
                <w:szCs w:val="22"/>
              </w:rPr>
              <w:t xml:space="preserve">W3: </w:t>
            </w:r>
            <w:r w:rsidR="00A16DDB" w:rsidRPr="00A707C6">
              <w:rPr>
                <w:sz w:val="22"/>
                <w:szCs w:val="22"/>
              </w:rPr>
              <w:t>vysoká nákladovost a pracnost pěstování v průběhu celého procesu výroby, skladování a distribuce brambor v porovnání s obilím, kukuřicí a řepkou</w:t>
            </w:r>
          </w:p>
          <w:p w14:paraId="7ED562F5" w14:textId="3FE512A3" w:rsidR="00A16DDB" w:rsidRPr="00A707C6" w:rsidRDefault="00AB62EB" w:rsidP="006B1A85">
            <w:pPr>
              <w:pStyle w:val="UZEIOdrky"/>
              <w:ind w:left="318" w:hanging="284"/>
              <w:rPr>
                <w:sz w:val="22"/>
                <w:szCs w:val="22"/>
              </w:rPr>
            </w:pPr>
            <w:r>
              <w:rPr>
                <w:sz w:val="22"/>
                <w:szCs w:val="22"/>
              </w:rPr>
              <w:t xml:space="preserve">W4: </w:t>
            </w:r>
            <w:r w:rsidR="00A16DDB" w:rsidRPr="00A707C6">
              <w:rPr>
                <w:sz w:val="22"/>
                <w:szCs w:val="22"/>
              </w:rPr>
              <w:t>vysoká variabilita nákladů mezi třetinami nejlepších a nejhorších podniků</w:t>
            </w:r>
          </w:p>
          <w:p w14:paraId="5B423C3A" w14:textId="7BCC443B" w:rsidR="00A16DDB" w:rsidRPr="00A707C6" w:rsidRDefault="00AB62EB" w:rsidP="006B1A85">
            <w:pPr>
              <w:pStyle w:val="UZEIOdrky"/>
              <w:ind w:left="318" w:hanging="284"/>
              <w:rPr>
                <w:sz w:val="22"/>
                <w:szCs w:val="22"/>
              </w:rPr>
            </w:pPr>
            <w:r>
              <w:rPr>
                <w:sz w:val="22"/>
                <w:szCs w:val="22"/>
              </w:rPr>
              <w:t xml:space="preserve">W5: </w:t>
            </w:r>
            <w:r w:rsidR="00A16DDB" w:rsidRPr="00A707C6">
              <w:rPr>
                <w:sz w:val="22"/>
                <w:szCs w:val="22"/>
              </w:rPr>
              <w:t>rostoucí ceny práce a energií u pracovně, energeticky a investičně více náročné plodiny</w:t>
            </w:r>
          </w:p>
          <w:p w14:paraId="170D5437" w14:textId="56AD0897" w:rsidR="00A16DDB" w:rsidRPr="00A707C6" w:rsidRDefault="00AB62EB" w:rsidP="006B1A85">
            <w:pPr>
              <w:pStyle w:val="UZEIOdrky"/>
              <w:ind w:left="318" w:hanging="284"/>
              <w:rPr>
                <w:sz w:val="22"/>
                <w:szCs w:val="22"/>
              </w:rPr>
            </w:pPr>
            <w:r>
              <w:rPr>
                <w:sz w:val="22"/>
                <w:szCs w:val="22"/>
              </w:rPr>
              <w:t xml:space="preserve">W6: </w:t>
            </w:r>
            <w:r w:rsidR="00A16DDB" w:rsidRPr="00A707C6">
              <w:rPr>
                <w:sz w:val="22"/>
                <w:szCs w:val="22"/>
              </w:rPr>
              <w:t>nedostatečná kapacita kvalitních (klimatizovaných) skladů brambor</w:t>
            </w:r>
          </w:p>
          <w:p w14:paraId="75647EF8" w14:textId="6A93087C" w:rsidR="00A16DDB" w:rsidRPr="00A707C6" w:rsidRDefault="00AB62EB" w:rsidP="006B1A85">
            <w:pPr>
              <w:pStyle w:val="UZEIOdrky"/>
              <w:ind w:left="318" w:hanging="284"/>
              <w:rPr>
                <w:sz w:val="22"/>
                <w:szCs w:val="22"/>
              </w:rPr>
            </w:pPr>
            <w:r>
              <w:rPr>
                <w:sz w:val="22"/>
                <w:szCs w:val="22"/>
              </w:rPr>
              <w:t xml:space="preserve">W7: </w:t>
            </w:r>
            <w:r w:rsidR="00A16DDB" w:rsidRPr="00A707C6">
              <w:rPr>
                <w:sz w:val="22"/>
                <w:szCs w:val="22"/>
              </w:rPr>
              <w:t>nedostatečná organizovanost prvovýrobců v rámci vertikály, nedůvěra ve zřizování organizací producentů</w:t>
            </w:r>
          </w:p>
          <w:p w14:paraId="2B67EAC1" w14:textId="23DF5D97" w:rsidR="00A16DDB" w:rsidRPr="00A707C6" w:rsidRDefault="00AB62EB" w:rsidP="006B1A85">
            <w:pPr>
              <w:pStyle w:val="UZEIOdrky"/>
              <w:ind w:left="318" w:hanging="284"/>
              <w:rPr>
                <w:sz w:val="22"/>
                <w:szCs w:val="22"/>
              </w:rPr>
            </w:pPr>
            <w:r>
              <w:rPr>
                <w:sz w:val="22"/>
                <w:szCs w:val="22"/>
              </w:rPr>
              <w:t xml:space="preserve">W8: </w:t>
            </w:r>
            <w:r w:rsidR="00A16DDB" w:rsidRPr="00A707C6">
              <w:rPr>
                <w:sz w:val="22"/>
                <w:szCs w:val="22"/>
              </w:rPr>
              <w:t>dovozy konzumních brambor za nižší ceny ve srovnání s cenami na tuzemském trhu</w:t>
            </w:r>
          </w:p>
          <w:p w14:paraId="4CA5AEED" w14:textId="5C370AF6" w:rsidR="00A16DDB" w:rsidRPr="00A707C6" w:rsidRDefault="00AB62EB" w:rsidP="006B1A85">
            <w:pPr>
              <w:pStyle w:val="UZEIOdrky"/>
              <w:ind w:left="318" w:hanging="284"/>
              <w:rPr>
                <w:sz w:val="22"/>
                <w:szCs w:val="22"/>
              </w:rPr>
            </w:pPr>
            <w:r>
              <w:rPr>
                <w:sz w:val="22"/>
                <w:szCs w:val="22"/>
              </w:rPr>
              <w:t xml:space="preserve">W9: </w:t>
            </w:r>
            <w:r w:rsidR="00A16DDB" w:rsidRPr="00A707C6">
              <w:rPr>
                <w:sz w:val="22"/>
                <w:szCs w:val="22"/>
              </w:rPr>
              <w:t>pokles spotřeby brambor ve slupce, kromě škrobáren a výrobce lupínků neexistuje v ČR další dominantní zpracovatel brambor</w:t>
            </w:r>
          </w:p>
          <w:p w14:paraId="0B349883" w14:textId="2FC75270" w:rsidR="00A16DDB" w:rsidRPr="00A707C6" w:rsidRDefault="00AB62EB" w:rsidP="006B1A85">
            <w:pPr>
              <w:pStyle w:val="UZEIOdrky"/>
              <w:ind w:left="318" w:hanging="284"/>
              <w:rPr>
                <w:sz w:val="22"/>
                <w:szCs w:val="22"/>
              </w:rPr>
            </w:pPr>
            <w:r>
              <w:rPr>
                <w:sz w:val="22"/>
                <w:szCs w:val="22"/>
              </w:rPr>
              <w:t xml:space="preserve">W10: </w:t>
            </w:r>
            <w:r w:rsidR="00A16DDB" w:rsidRPr="00A707C6">
              <w:rPr>
                <w:sz w:val="22"/>
                <w:szCs w:val="22"/>
              </w:rPr>
              <w:t>změna struktury spotřeby konzumních brambor, které se nepřizpůsobili pěstitelé volbou vhodných odrůd, ani zpracovatelé volbou výrobků s vyšší přidanou hodnotou)</w:t>
            </w:r>
          </w:p>
          <w:p w14:paraId="7BCB87F8" w14:textId="4ECA1942" w:rsidR="00A16DDB" w:rsidRPr="00A707C6" w:rsidRDefault="00AB62EB" w:rsidP="006B1A85">
            <w:pPr>
              <w:pStyle w:val="UZEIOdrky"/>
              <w:ind w:left="318" w:hanging="284"/>
              <w:rPr>
                <w:sz w:val="22"/>
                <w:szCs w:val="22"/>
              </w:rPr>
            </w:pPr>
            <w:r>
              <w:rPr>
                <w:sz w:val="22"/>
                <w:szCs w:val="22"/>
              </w:rPr>
              <w:t xml:space="preserve">W11: </w:t>
            </w:r>
            <w:r w:rsidR="00A16DDB" w:rsidRPr="00A707C6">
              <w:rPr>
                <w:sz w:val="22"/>
                <w:szCs w:val="22"/>
              </w:rPr>
              <w:t>technologicky obtížně realizovatelná produkce bio brambor</w:t>
            </w:r>
          </w:p>
        </w:tc>
      </w:tr>
      <w:tr w:rsidR="00A16DDB" w:rsidRPr="00D95127" w14:paraId="73B7EF43" w14:textId="77777777" w:rsidTr="00EE56D0">
        <w:trPr>
          <w:gridAfter w:val="1"/>
          <w:wAfter w:w="12" w:type="dxa"/>
        </w:trPr>
        <w:tc>
          <w:tcPr>
            <w:tcW w:w="4849" w:type="dxa"/>
            <w:shd w:val="clear" w:color="auto" w:fill="auto"/>
          </w:tcPr>
          <w:p w14:paraId="19C6BBCF" w14:textId="77777777" w:rsidR="00A16DDB" w:rsidRPr="00A707C6" w:rsidRDefault="00A16DDB" w:rsidP="00F254D5">
            <w:pPr>
              <w:pStyle w:val="UZEINormaln"/>
              <w:jc w:val="center"/>
              <w:rPr>
                <w:b/>
                <w:sz w:val="22"/>
                <w:szCs w:val="22"/>
              </w:rPr>
            </w:pPr>
            <w:r w:rsidRPr="00A707C6">
              <w:rPr>
                <w:b/>
                <w:sz w:val="22"/>
                <w:szCs w:val="22"/>
              </w:rPr>
              <w:t>Příležitosti</w:t>
            </w:r>
          </w:p>
        </w:tc>
        <w:tc>
          <w:tcPr>
            <w:tcW w:w="4819" w:type="dxa"/>
            <w:shd w:val="clear" w:color="auto" w:fill="auto"/>
          </w:tcPr>
          <w:p w14:paraId="781FB6E2" w14:textId="77777777" w:rsidR="00A16DDB" w:rsidRPr="00A707C6" w:rsidRDefault="00A16DDB" w:rsidP="00F254D5">
            <w:pPr>
              <w:pStyle w:val="UZEINormaln"/>
              <w:jc w:val="center"/>
              <w:rPr>
                <w:b/>
                <w:sz w:val="22"/>
                <w:szCs w:val="22"/>
              </w:rPr>
            </w:pPr>
            <w:r w:rsidRPr="00A707C6">
              <w:rPr>
                <w:b/>
                <w:sz w:val="22"/>
                <w:szCs w:val="22"/>
              </w:rPr>
              <w:t>Hrozby</w:t>
            </w:r>
          </w:p>
        </w:tc>
      </w:tr>
      <w:tr w:rsidR="00A16DDB" w:rsidRPr="00D95127" w14:paraId="3C991ACE" w14:textId="77777777" w:rsidTr="00EE56D0">
        <w:trPr>
          <w:gridAfter w:val="1"/>
          <w:wAfter w:w="12" w:type="dxa"/>
        </w:trPr>
        <w:tc>
          <w:tcPr>
            <w:tcW w:w="4849" w:type="dxa"/>
            <w:shd w:val="clear" w:color="auto" w:fill="auto"/>
          </w:tcPr>
          <w:p w14:paraId="7262E495" w14:textId="3FA6B2BC" w:rsidR="00A16DDB" w:rsidRPr="00A707C6" w:rsidRDefault="00115152" w:rsidP="006B1A85">
            <w:pPr>
              <w:pStyle w:val="UZEIOdrky"/>
              <w:ind w:left="342" w:hanging="283"/>
              <w:rPr>
                <w:sz w:val="22"/>
                <w:szCs w:val="22"/>
              </w:rPr>
            </w:pPr>
            <w:r>
              <w:rPr>
                <w:sz w:val="22"/>
                <w:szCs w:val="22"/>
              </w:rPr>
              <w:t xml:space="preserve">O1: </w:t>
            </w:r>
            <w:r w:rsidR="00A16DDB" w:rsidRPr="00A707C6">
              <w:rPr>
                <w:sz w:val="22"/>
                <w:szCs w:val="22"/>
              </w:rPr>
              <w:t>využití stávajících podpor pro pěstitele brambor a podpora investic do sektoru brambor (např. z PRV)</w:t>
            </w:r>
          </w:p>
          <w:p w14:paraId="56E82316" w14:textId="0639EF2A" w:rsidR="00A16DDB" w:rsidRPr="00A707C6" w:rsidRDefault="00115152" w:rsidP="006B1A85">
            <w:pPr>
              <w:pStyle w:val="UZEIOdrky"/>
              <w:ind w:left="342" w:hanging="283"/>
              <w:rPr>
                <w:sz w:val="22"/>
                <w:szCs w:val="22"/>
              </w:rPr>
            </w:pPr>
            <w:r>
              <w:rPr>
                <w:sz w:val="22"/>
                <w:szCs w:val="22"/>
              </w:rPr>
              <w:t xml:space="preserve">O2: </w:t>
            </w:r>
            <w:r w:rsidR="00A16DDB" w:rsidRPr="00A707C6">
              <w:rPr>
                <w:sz w:val="22"/>
                <w:szCs w:val="22"/>
              </w:rPr>
              <w:t xml:space="preserve">zkvalitnění zpracování a balení brambor, zohlednění požadavků spotřebitelů </w:t>
            </w:r>
          </w:p>
          <w:p w14:paraId="2296DFAE" w14:textId="2AA10DD2" w:rsidR="00A16DDB" w:rsidRPr="00A707C6" w:rsidRDefault="00115152" w:rsidP="006B1A85">
            <w:pPr>
              <w:pStyle w:val="UZEIOdrky"/>
              <w:ind w:left="342" w:hanging="283"/>
              <w:rPr>
                <w:sz w:val="22"/>
                <w:szCs w:val="22"/>
              </w:rPr>
            </w:pPr>
            <w:r>
              <w:rPr>
                <w:sz w:val="22"/>
                <w:szCs w:val="22"/>
              </w:rPr>
              <w:t>O3:</w:t>
            </w:r>
            <w:r w:rsidR="0051278E">
              <w:rPr>
                <w:sz w:val="22"/>
                <w:szCs w:val="22"/>
              </w:rPr>
              <w:t xml:space="preserve"> </w:t>
            </w:r>
            <w:r w:rsidR="00A16DDB" w:rsidRPr="00A707C6">
              <w:rPr>
                <w:sz w:val="22"/>
                <w:szCs w:val="22"/>
              </w:rPr>
              <w:t>rozšíření sortimentu a atraktivnosti výrobků z brambor</w:t>
            </w:r>
          </w:p>
          <w:p w14:paraId="110FE424" w14:textId="28539C54" w:rsidR="00A16DDB" w:rsidRPr="006B1A85" w:rsidRDefault="0051278E" w:rsidP="006B1A85">
            <w:pPr>
              <w:pStyle w:val="UZEIOdrky"/>
              <w:ind w:left="342" w:hanging="283"/>
              <w:rPr>
                <w:sz w:val="22"/>
                <w:szCs w:val="22"/>
              </w:rPr>
            </w:pPr>
            <w:r>
              <w:rPr>
                <w:sz w:val="22"/>
                <w:szCs w:val="22"/>
              </w:rPr>
              <w:t xml:space="preserve">O4: </w:t>
            </w:r>
            <w:r w:rsidR="00A16DDB" w:rsidRPr="00A707C6">
              <w:rPr>
                <w:sz w:val="22"/>
                <w:szCs w:val="22"/>
              </w:rPr>
              <w:t xml:space="preserve">vytvoření Marketingového fondu nebo jiného dlouhodobého systému financujícího propagaci spotřeby brambor </w:t>
            </w:r>
          </w:p>
          <w:p w14:paraId="29AFE8F6" w14:textId="7B44BC46" w:rsidR="00A16DDB" w:rsidRPr="00A707C6" w:rsidRDefault="0051278E" w:rsidP="006B1A85">
            <w:pPr>
              <w:pStyle w:val="UZEIOdrky"/>
              <w:ind w:left="342" w:hanging="283"/>
              <w:rPr>
                <w:sz w:val="22"/>
                <w:szCs w:val="22"/>
              </w:rPr>
            </w:pPr>
            <w:r>
              <w:rPr>
                <w:sz w:val="22"/>
                <w:szCs w:val="22"/>
              </w:rPr>
              <w:t xml:space="preserve">O5: </w:t>
            </w:r>
            <w:r w:rsidR="00A16DDB" w:rsidRPr="00A707C6">
              <w:rPr>
                <w:sz w:val="22"/>
                <w:szCs w:val="22"/>
              </w:rPr>
              <w:t>možnost tvorby nových odbytových organizací a tím možnost využití odvětvových podpor</w:t>
            </w:r>
          </w:p>
          <w:p w14:paraId="5C88DB77" w14:textId="4E33E9AC" w:rsidR="00A16DDB" w:rsidRPr="00A707C6" w:rsidRDefault="0051278E" w:rsidP="00447717">
            <w:pPr>
              <w:pStyle w:val="UZEIOdrky"/>
              <w:ind w:left="342" w:hanging="283"/>
              <w:rPr>
                <w:sz w:val="22"/>
                <w:szCs w:val="22"/>
              </w:rPr>
            </w:pPr>
            <w:r>
              <w:rPr>
                <w:sz w:val="22"/>
                <w:szCs w:val="22"/>
              </w:rPr>
              <w:t xml:space="preserve">O6: </w:t>
            </w:r>
            <w:r w:rsidR="00A16DDB" w:rsidRPr="00A707C6">
              <w:rPr>
                <w:sz w:val="22"/>
                <w:szCs w:val="22"/>
              </w:rPr>
              <w:t>realizace režimu jakosti Q CZ</w:t>
            </w:r>
          </w:p>
          <w:p w14:paraId="0958439E" w14:textId="51B5BE5F" w:rsidR="00A16DDB" w:rsidRPr="00A707C6" w:rsidRDefault="0051278E" w:rsidP="00447717">
            <w:pPr>
              <w:pStyle w:val="UZEIOdrky"/>
              <w:ind w:left="342" w:hanging="283"/>
              <w:rPr>
                <w:sz w:val="22"/>
                <w:szCs w:val="22"/>
              </w:rPr>
            </w:pPr>
            <w:r>
              <w:rPr>
                <w:sz w:val="22"/>
                <w:szCs w:val="22"/>
              </w:rPr>
              <w:t xml:space="preserve">O7: </w:t>
            </w:r>
            <w:r w:rsidR="00A16DDB" w:rsidRPr="00A707C6">
              <w:rPr>
                <w:sz w:val="22"/>
                <w:szCs w:val="22"/>
              </w:rPr>
              <w:t>podpora zavedení Integrované produkce konzumních brambor (IPKB</w:t>
            </w:r>
          </w:p>
          <w:p w14:paraId="1A26C0A5" w14:textId="37B1D13B" w:rsidR="00A16DDB" w:rsidRPr="00A707C6" w:rsidRDefault="0051278E" w:rsidP="00447717">
            <w:pPr>
              <w:pStyle w:val="UZEIOdrky"/>
              <w:ind w:left="342" w:hanging="283"/>
              <w:rPr>
                <w:sz w:val="22"/>
                <w:szCs w:val="22"/>
              </w:rPr>
            </w:pPr>
            <w:r>
              <w:rPr>
                <w:sz w:val="22"/>
                <w:szCs w:val="22"/>
              </w:rPr>
              <w:t xml:space="preserve">O8: </w:t>
            </w:r>
            <w:r w:rsidR="00A16DDB" w:rsidRPr="00A707C6">
              <w:rPr>
                <w:sz w:val="22"/>
                <w:szCs w:val="22"/>
              </w:rPr>
              <w:t>vývoj nových technologií směřující k zadržování vody a živin během vegetace</w:t>
            </w:r>
          </w:p>
          <w:p w14:paraId="5BB92EEA" w14:textId="6EAE3524" w:rsidR="00A16DDB" w:rsidRPr="00A707C6" w:rsidRDefault="0051278E" w:rsidP="00447717">
            <w:pPr>
              <w:pStyle w:val="UZEIOdrky"/>
              <w:ind w:left="342" w:hanging="283"/>
              <w:rPr>
                <w:sz w:val="22"/>
                <w:szCs w:val="22"/>
              </w:rPr>
            </w:pPr>
            <w:r>
              <w:rPr>
                <w:sz w:val="22"/>
                <w:szCs w:val="22"/>
              </w:rPr>
              <w:t xml:space="preserve">O9: </w:t>
            </w:r>
            <w:r w:rsidR="00A16DDB" w:rsidRPr="00A707C6">
              <w:rPr>
                <w:sz w:val="22"/>
                <w:szCs w:val="22"/>
              </w:rPr>
              <w:t>využití odpadů a vedlejších produktů ze zpracování brambor k energetickým účelům a na nové výrobky</w:t>
            </w:r>
          </w:p>
        </w:tc>
        <w:tc>
          <w:tcPr>
            <w:tcW w:w="4819" w:type="dxa"/>
            <w:shd w:val="clear" w:color="auto" w:fill="auto"/>
          </w:tcPr>
          <w:p w14:paraId="6A49B0F4" w14:textId="7E6A8EA9" w:rsidR="00A16DDB" w:rsidRPr="00A707C6" w:rsidRDefault="0051278E" w:rsidP="00A11169">
            <w:pPr>
              <w:pStyle w:val="UZEIOdrky"/>
              <w:ind w:left="318" w:hanging="284"/>
              <w:rPr>
                <w:sz w:val="22"/>
                <w:szCs w:val="22"/>
              </w:rPr>
            </w:pPr>
            <w:r>
              <w:rPr>
                <w:sz w:val="22"/>
                <w:szCs w:val="22"/>
              </w:rPr>
              <w:t xml:space="preserve">T1: </w:t>
            </w:r>
            <w:r w:rsidR="00A16DDB" w:rsidRPr="00A707C6">
              <w:rPr>
                <w:sz w:val="22"/>
                <w:szCs w:val="22"/>
              </w:rPr>
              <w:t>nutná postupná průběžná modernizace a inovace v sektoru brambor, která je finančně náročná, dosáhnou na ni spíše velké podniky</w:t>
            </w:r>
          </w:p>
          <w:p w14:paraId="28167AB3" w14:textId="4864F7CD" w:rsidR="00A16DDB" w:rsidRPr="00A707C6" w:rsidRDefault="0051278E" w:rsidP="00A11169">
            <w:pPr>
              <w:pStyle w:val="UZEIOdrky"/>
              <w:ind w:left="318" w:hanging="284"/>
              <w:rPr>
                <w:sz w:val="22"/>
                <w:szCs w:val="22"/>
              </w:rPr>
            </w:pPr>
            <w:r>
              <w:rPr>
                <w:sz w:val="22"/>
                <w:szCs w:val="22"/>
              </w:rPr>
              <w:t xml:space="preserve">T2: </w:t>
            </w:r>
            <w:r w:rsidR="00A16DDB" w:rsidRPr="00A707C6">
              <w:rPr>
                <w:sz w:val="22"/>
                <w:szCs w:val="22"/>
              </w:rPr>
              <w:t>volatilita ceny a výnosu</w:t>
            </w:r>
          </w:p>
          <w:p w14:paraId="016DFAC0" w14:textId="7661CF45" w:rsidR="00A16DDB" w:rsidRPr="00D95127" w:rsidRDefault="0051278E" w:rsidP="00A11169">
            <w:pPr>
              <w:pStyle w:val="UZEIOdrky"/>
              <w:ind w:left="318" w:hanging="284"/>
            </w:pPr>
            <w:r>
              <w:rPr>
                <w:sz w:val="22"/>
                <w:szCs w:val="22"/>
              </w:rPr>
              <w:t xml:space="preserve">T3: </w:t>
            </w:r>
            <w:r w:rsidR="00A16DDB" w:rsidRPr="00A707C6">
              <w:rPr>
                <w:sz w:val="22"/>
                <w:szCs w:val="22"/>
              </w:rPr>
              <w:t>vysoké dovozy konzumních brambor kompenzující nesoběstačnost brambor za nižší ceny</w:t>
            </w:r>
          </w:p>
          <w:p w14:paraId="7339436E" w14:textId="5ACDF33E" w:rsidR="00A16DDB" w:rsidRPr="00D95127" w:rsidRDefault="0051278E" w:rsidP="00A11169">
            <w:pPr>
              <w:pStyle w:val="UZEIOdrky"/>
              <w:ind w:left="318" w:hanging="284"/>
            </w:pPr>
            <w:bookmarkStart w:id="362" w:name="_Hlk19025311"/>
            <w:r>
              <w:rPr>
                <w:sz w:val="22"/>
                <w:szCs w:val="22"/>
              </w:rPr>
              <w:t xml:space="preserve">T4: </w:t>
            </w:r>
            <w:r w:rsidR="00A16DDB" w:rsidRPr="00A707C6">
              <w:rPr>
                <w:sz w:val="22"/>
                <w:szCs w:val="22"/>
              </w:rPr>
              <w:t>ekologické investice na řešení odpadních vod a dalších odpadů</w:t>
            </w:r>
          </w:p>
          <w:bookmarkEnd w:id="362"/>
          <w:p w14:paraId="76DCCF31" w14:textId="1C12B79C" w:rsidR="00A16DDB" w:rsidRPr="00D95127" w:rsidRDefault="0051278E" w:rsidP="00A11169">
            <w:pPr>
              <w:pStyle w:val="UZEIOdrky"/>
              <w:ind w:left="318" w:hanging="284"/>
            </w:pPr>
            <w:r>
              <w:rPr>
                <w:sz w:val="22"/>
                <w:szCs w:val="22"/>
              </w:rPr>
              <w:t xml:space="preserve">T5: </w:t>
            </w:r>
            <w:r w:rsidR="00A16DDB" w:rsidRPr="00A707C6">
              <w:rPr>
                <w:sz w:val="22"/>
                <w:szCs w:val="22"/>
              </w:rPr>
              <w:t xml:space="preserve">nižší zájem </w:t>
            </w:r>
            <w:r w:rsidR="00A16DDB" w:rsidRPr="00D95127">
              <w:t>studentů o zemědělské obory</w:t>
            </w:r>
          </w:p>
          <w:p w14:paraId="10057653" w14:textId="75CD5784" w:rsidR="00A16DDB" w:rsidRPr="00A707C6" w:rsidRDefault="0051278E" w:rsidP="00A11169">
            <w:pPr>
              <w:pStyle w:val="UZEIOdrky"/>
              <w:ind w:left="318" w:hanging="284"/>
              <w:rPr>
                <w:sz w:val="22"/>
                <w:szCs w:val="22"/>
              </w:rPr>
            </w:pPr>
            <w:r>
              <w:rPr>
                <w:sz w:val="22"/>
                <w:szCs w:val="22"/>
              </w:rPr>
              <w:t xml:space="preserve">T6: </w:t>
            </w:r>
            <w:r w:rsidR="00A16DDB" w:rsidRPr="00A707C6">
              <w:rPr>
                <w:sz w:val="22"/>
                <w:szCs w:val="22"/>
              </w:rPr>
              <w:t>minimální až záporná (2011-2018) průměrná rentabilita pěstování brambor bez podpor v porovnání s obilím, řepkou a kukuřicí</w:t>
            </w:r>
          </w:p>
        </w:tc>
      </w:tr>
    </w:tbl>
    <w:p w14:paraId="78B4AC8B" w14:textId="77777777" w:rsidR="00A16DDB" w:rsidRPr="00B10832" w:rsidRDefault="00A16DDB" w:rsidP="00EE56D0">
      <w:pPr>
        <w:pStyle w:val="UZEINormaln"/>
        <w:rPr>
          <w:rStyle w:val="Odkazintenzivn"/>
          <w:rFonts w:cs="Times New Roman"/>
          <w:caps/>
          <w:smallCaps w:val="0"/>
        </w:rPr>
      </w:pPr>
      <w:r w:rsidRPr="00B10832">
        <w:rPr>
          <w:rStyle w:val="Odkazintenzivn"/>
          <w:rFonts w:cs="Times New Roman"/>
          <w:caps/>
          <w:smallCaps w:val="0"/>
          <w:color w:val="auto"/>
        </w:rPr>
        <w:t>Brambory pro výrobu škrobu</w:t>
      </w:r>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9"/>
        <w:gridCol w:w="4819"/>
      </w:tblGrid>
      <w:tr w:rsidR="00A16DDB" w:rsidRPr="00D95127" w14:paraId="56DA839E" w14:textId="77777777" w:rsidTr="00EE56D0">
        <w:tc>
          <w:tcPr>
            <w:tcW w:w="4849" w:type="dxa"/>
            <w:tcBorders>
              <w:top w:val="single" w:sz="4" w:space="0" w:color="auto"/>
              <w:left w:val="single" w:sz="4" w:space="0" w:color="auto"/>
              <w:bottom w:val="single" w:sz="4" w:space="0" w:color="auto"/>
              <w:right w:val="single" w:sz="4" w:space="0" w:color="auto"/>
            </w:tcBorders>
            <w:shd w:val="clear" w:color="auto" w:fill="auto"/>
            <w:hideMark/>
          </w:tcPr>
          <w:p w14:paraId="464C4FE0" w14:textId="77777777" w:rsidR="00A16DDB" w:rsidRPr="00D95127" w:rsidRDefault="00A16DDB" w:rsidP="0051278E">
            <w:pPr>
              <w:pStyle w:val="UZEINormaln"/>
              <w:jc w:val="center"/>
              <w:rPr>
                <w:rFonts w:cs="Times New Roman"/>
              </w:rPr>
            </w:pPr>
            <w:r w:rsidRPr="00EE56D0">
              <w:rPr>
                <w:b/>
                <w:sz w:val="22"/>
                <w:szCs w:val="22"/>
              </w:rPr>
              <w:t>Silné stránky</w:t>
            </w:r>
          </w:p>
        </w:tc>
        <w:tc>
          <w:tcPr>
            <w:tcW w:w="4819" w:type="dxa"/>
            <w:tcBorders>
              <w:top w:val="single" w:sz="4" w:space="0" w:color="auto"/>
              <w:left w:val="single" w:sz="4" w:space="0" w:color="auto"/>
              <w:bottom w:val="single" w:sz="4" w:space="0" w:color="auto"/>
              <w:right w:val="single" w:sz="4" w:space="0" w:color="auto"/>
            </w:tcBorders>
            <w:shd w:val="clear" w:color="auto" w:fill="auto"/>
            <w:hideMark/>
          </w:tcPr>
          <w:p w14:paraId="78A1161E" w14:textId="77777777" w:rsidR="00A16DDB" w:rsidRPr="00D95127" w:rsidRDefault="00A16DDB" w:rsidP="0051278E">
            <w:pPr>
              <w:pStyle w:val="UZEINormaln"/>
              <w:jc w:val="center"/>
              <w:rPr>
                <w:rFonts w:cs="Times New Roman"/>
              </w:rPr>
            </w:pPr>
            <w:r w:rsidRPr="00EE56D0">
              <w:rPr>
                <w:b/>
                <w:sz w:val="22"/>
                <w:szCs w:val="22"/>
              </w:rPr>
              <w:t>Slabé stránky</w:t>
            </w:r>
          </w:p>
        </w:tc>
      </w:tr>
      <w:tr w:rsidR="00A16DDB" w:rsidRPr="00D95127" w14:paraId="170C1D6C" w14:textId="77777777" w:rsidTr="00EE56D0">
        <w:tc>
          <w:tcPr>
            <w:tcW w:w="4849" w:type="dxa"/>
            <w:tcBorders>
              <w:top w:val="single" w:sz="4" w:space="0" w:color="auto"/>
              <w:left w:val="single" w:sz="4" w:space="0" w:color="auto"/>
              <w:bottom w:val="single" w:sz="4" w:space="0" w:color="auto"/>
              <w:right w:val="single" w:sz="4" w:space="0" w:color="auto"/>
            </w:tcBorders>
            <w:shd w:val="clear" w:color="auto" w:fill="auto"/>
            <w:hideMark/>
          </w:tcPr>
          <w:p w14:paraId="17F83505" w14:textId="6964458E" w:rsidR="00A16DDB" w:rsidRPr="00EE56D0" w:rsidRDefault="001367BD" w:rsidP="00447717">
            <w:pPr>
              <w:pStyle w:val="UZEIOdrky"/>
              <w:ind w:left="342" w:hanging="283"/>
              <w:rPr>
                <w:sz w:val="22"/>
                <w:szCs w:val="22"/>
              </w:rPr>
            </w:pPr>
            <w:r>
              <w:rPr>
                <w:sz w:val="22"/>
                <w:szCs w:val="22"/>
              </w:rPr>
              <w:t xml:space="preserve">S1: </w:t>
            </w:r>
            <w:r w:rsidR="00A16DDB" w:rsidRPr="00EE56D0">
              <w:rPr>
                <w:sz w:val="22"/>
                <w:szCs w:val="22"/>
              </w:rPr>
              <w:t>smluvní vazba výrobců škrobu a pěstitelů škrobových brambor z hlediska odběru, cen a kvality brambor</w:t>
            </w:r>
          </w:p>
          <w:p w14:paraId="2816B485" w14:textId="2E132F24" w:rsidR="00A16DDB" w:rsidRPr="00EE56D0" w:rsidRDefault="001367BD" w:rsidP="00447717">
            <w:pPr>
              <w:pStyle w:val="UZEIOdrky"/>
              <w:ind w:left="342" w:hanging="283"/>
              <w:rPr>
                <w:sz w:val="22"/>
                <w:szCs w:val="22"/>
              </w:rPr>
            </w:pPr>
            <w:r>
              <w:rPr>
                <w:sz w:val="22"/>
                <w:szCs w:val="22"/>
              </w:rPr>
              <w:t xml:space="preserve">S2: </w:t>
            </w:r>
            <w:r w:rsidR="00A16DDB" w:rsidRPr="00EE56D0">
              <w:rPr>
                <w:sz w:val="22"/>
                <w:szCs w:val="22"/>
              </w:rPr>
              <w:t>schopnost škrobáren odebrat i nadvýrobu brambor</w:t>
            </w:r>
          </w:p>
          <w:p w14:paraId="0A181289" w14:textId="6F7C4980" w:rsidR="00A16DDB" w:rsidRPr="00EE56D0" w:rsidRDefault="001367BD" w:rsidP="00447717">
            <w:pPr>
              <w:pStyle w:val="UZEIOdrky"/>
              <w:ind w:left="342" w:hanging="283"/>
              <w:rPr>
                <w:sz w:val="22"/>
                <w:szCs w:val="22"/>
              </w:rPr>
            </w:pPr>
            <w:r>
              <w:rPr>
                <w:sz w:val="22"/>
                <w:szCs w:val="22"/>
              </w:rPr>
              <w:t xml:space="preserve">S3: </w:t>
            </w:r>
            <w:r w:rsidR="00A16DDB" w:rsidRPr="00EE56D0">
              <w:rPr>
                <w:sz w:val="22"/>
                <w:szCs w:val="22"/>
              </w:rPr>
              <w:t>po započtení přímých a specifických podpor rentabilní komodita → zařazení do citlivých komodit</w:t>
            </w:r>
          </w:p>
          <w:p w14:paraId="588BB86E" w14:textId="789D67FA" w:rsidR="00A16DDB" w:rsidRPr="00EE56D0" w:rsidRDefault="00E8445A" w:rsidP="00447717">
            <w:pPr>
              <w:pStyle w:val="UZEIOdrky"/>
              <w:ind w:left="342" w:hanging="283"/>
              <w:rPr>
                <w:sz w:val="22"/>
                <w:szCs w:val="22"/>
              </w:rPr>
            </w:pPr>
            <w:r>
              <w:rPr>
                <w:sz w:val="22"/>
                <w:szCs w:val="22"/>
              </w:rPr>
              <w:t xml:space="preserve">S4: </w:t>
            </w:r>
            <w:r w:rsidR="00A16DDB" w:rsidRPr="00EE56D0">
              <w:rPr>
                <w:sz w:val="22"/>
                <w:szCs w:val="22"/>
              </w:rPr>
              <w:t>podpora zaměstnanosti v celé výrobní vertikále</w:t>
            </w:r>
          </w:p>
          <w:p w14:paraId="032F49AD" w14:textId="5A9CCEDE" w:rsidR="00A16DDB" w:rsidRPr="00EE56D0" w:rsidRDefault="00E8445A" w:rsidP="00447717">
            <w:pPr>
              <w:pStyle w:val="UZEIOdrky"/>
              <w:ind w:left="342" w:hanging="283"/>
              <w:rPr>
                <w:sz w:val="22"/>
                <w:szCs w:val="22"/>
              </w:rPr>
            </w:pPr>
            <w:r>
              <w:rPr>
                <w:sz w:val="22"/>
                <w:szCs w:val="22"/>
              </w:rPr>
              <w:t xml:space="preserve">S5: </w:t>
            </w:r>
            <w:r w:rsidR="00A16DDB" w:rsidRPr="00EE56D0">
              <w:rPr>
                <w:sz w:val="22"/>
                <w:szCs w:val="22"/>
              </w:rPr>
              <w:t>rizika při skladování jsou minimální – vše odeberou škrobárny</w:t>
            </w:r>
          </w:p>
          <w:p w14:paraId="482A3309" w14:textId="2EEF78D9" w:rsidR="00A16DDB" w:rsidRPr="00EE56D0" w:rsidRDefault="00E8445A" w:rsidP="00447717">
            <w:pPr>
              <w:pStyle w:val="UZEIOdrky"/>
              <w:ind w:left="342" w:hanging="283"/>
              <w:rPr>
                <w:sz w:val="22"/>
                <w:szCs w:val="22"/>
              </w:rPr>
            </w:pPr>
            <w:r>
              <w:rPr>
                <w:sz w:val="22"/>
                <w:szCs w:val="22"/>
              </w:rPr>
              <w:t xml:space="preserve">S6: </w:t>
            </w:r>
            <w:r w:rsidR="00A16DDB" w:rsidRPr="00EE56D0">
              <w:rPr>
                <w:sz w:val="22"/>
                <w:szCs w:val="22"/>
              </w:rPr>
              <w:t>evropské ceny škrobárenských brambor</w:t>
            </w:r>
          </w:p>
        </w:tc>
        <w:tc>
          <w:tcPr>
            <w:tcW w:w="4819" w:type="dxa"/>
            <w:tcBorders>
              <w:top w:val="single" w:sz="4" w:space="0" w:color="auto"/>
              <w:left w:val="single" w:sz="4" w:space="0" w:color="auto"/>
              <w:bottom w:val="single" w:sz="4" w:space="0" w:color="auto"/>
              <w:right w:val="single" w:sz="4" w:space="0" w:color="auto"/>
            </w:tcBorders>
            <w:shd w:val="clear" w:color="auto" w:fill="auto"/>
            <w:hideMark/>
          </w:tcPr>
          <w:p w14:paraId="15F4BB2A" w14:textId="233C36A4" w:rsidR="00A16DDB" w:rsidRPr="00EE56D0" w:rsidRDefault="00E8445A" w:rsidP="00447717">
            <w:pPr>
              <w:pStyle w:val="UZEIOdrky"/>
              <w:ind w:left="318" w:hanging="284"/>
              <w:rPr>
                <w:sz w:val="22"/>
                <w:szCs w:val="22"/>
              </w:rPr>
            </w:pPr>
            <w:r>
              <w:rPr>
                <w:sz w:val="22"/>
                <w:szCs w:val="22"/>
              </w:rPr>
              <w:t xml:space="preserve">W1: </w:t>
            </w:r>
            <w:r w:rsidR="00A16DDB" w:rsidRPr="00EE56D0">
              <w:rPr>
                <w:sz w:val="22"/>
                <w:szCs w:val="22"/>
              </w:rPr>
              <w:t>nízká až záporná průměrná rentabilita pěstování brambor bez podpor v porovnání s obilím, řepkou a kukuřicí</w:t>
            </w:r>
          </w:p>
          <w:p w14:paraId="68BCEB09" w14:textId="5627D30C" w:rsidR="00A16DDB" w:rsidRPr="00EE56D0" w:rsidRDefault="00E8445A" w:rsidP="00447717">
            <w:pPr>
              <w:pStyle w:val="UZEIOdrky"/>
              <w:ind w:left="318" w:hanging="284"/>
              <w:rPr>
                <w:sz w:val="22"/>
                <w:szCs w:val="22"/>
              </w:rPr>
            </w:pPr>
            <w:r>
              <w:rPr>
                <w:sz w:val="22"/>
                <w:szCs w:val="22"/>
              </w:rPr>
              <w:t xml:space="preserve">W2: </w:t>
            </w:r>
            <w:r w:rsidR="00A16DDB" w:rsidRPr="00EE56D0">
              <w:rPr>
                <w:sz w:val="22"/>
                <w:szCs w:val="22"/>
              </w:rPr>
              <w:t>rostoucí ceny práce a energií u pracovně, energeticky a investičně více náročné plodiny</w:t>
            </w:r>
          </w:p>
          <w:p w14:paraId="32919BA0" w14:textId="72CD353E" w:rsidR="00A16DDB" w:rsidRPr="00EE56D0" w:rsidRDefault="00E8445A" w:rsidP="00447717">
            <w:pPr>
              <w:pStyle w:val="UZEIOdrky"/>
              <w:ind w:left="318" w:hanging="284"/>
              <w:rPr>
                <w:sz w:val="22"/>
                <w:szCs w:val="22"/>
              </w:rPr>
            </w:pPr>
            <w:r>
              <w:rPr>
                <w:sz w:val="22"/>
                <w:szCs w:val="22"/>
              </w:rPr>
              <w:t xml:space="preserve">W3: </w:t>
            </w:r>
            <w:r w:rsidR="00A16DDB" w:rsidRPr="00EE56D0">
              <w:rPr>
                <w:sz w:val="22"/>
                <w:szCs w:val="22"/>
              </w:rPr>
              <w:t>v ČR pouze 2 výrobci bramborového škrobu (1 s majoritním podílem zahraničního vlastníka, 1 český)</w:t>
            </w:r>
          </w:p>
        </w:tc>
      </w:tr>
      <w:tr w:rsidR="00A16DDB" w:rsidRPr="00D95127" w14:paraId="3640B36C" w14:textId="77777777" w:rsidTr="00EE56D0">
        <w:tc>
          <w:tcPr>
            <w:tcW w:w="4849" w:type="dxa"/>
            <w:tcBorders>
              <w:top w:val="single" w:sz="4" w:space="0" w:color="auto"/>
              <w:left w:val="single" w:sz="4" w:space="0" w:color="auto"/>
              <w:bottom w:val="single" w:sz="4" w:space="0" w:color="auto"/>
              <w:right w:val="single" w:sz="4" w:space="0" w:color="auto"/>
            </w:tcBorders>
            <w:shd w:val="clear" w:color="auto" w:fill="auto"/>
            <w:hideMark/>
          </w:tcPr>
          <w:p w14:paraId="46D178F9" w14:textId="77777777" w:rsidR="00A16DDB" w:rsidRPr="00D95127" w:rsidRDefault="00A16DDB" w:rsidP="0051278E">
            <w:pPr>
              <w:pStyle w:val="UZEINormaln"/>
              <w:jc w:val="center"/>
              <w:rPr>
                <w:rFonts w:cs="Times New Roman"/>
              </w:rPr>
            </w:pPr>
            <w:r w:rsidRPr="00EE56D0">
              <w:rPr>
                <w:b/>
                <w:sz w:val="22"/>
                <w:szCs w:val="22"/>
              </w:rPr>
              <w:t>Příležitosti</w:t>
            </w:r>
          </w:p>
        </w:tc>
        <w:tc>
          <w:tcPr>
            <w:tcW w:w="4819" w:type="dxa"/>
            <w:tcBorders>
              <w:top w:val="single" w:sz="4" w:space="0" w:color="auto"/>
              <w:left w:val="single" w:sz="4" w:space="0" w:color="auto"/>
              <w:bottom w:val="single" w:sz="4" w:space="0" w:color="auto"/>
              <w:right w:val="single" w:sz="4" w:space="0" w:color="auto"/>
            </w:tcBorders>
            <w:shd w:val="clear" w:color="auto" w:fill="auto"/>
            <w:hideMark/>
          </w:tcPr>
          <w:p w14:paraId="6D1ABFE5" w14:textId="77777777" w:rsidR="00A16DDB" w:rsidRPr="00D95127" w:rsidRDefault="00A16DDB" w:rsidP="0051278E">
            <w:pPr>
              <w:pStyle w:val="UZEINormaln"/>
              <w:jc w:val="center"/>
              <w:rPr>
                <w:rFonts w:cs="Times New Roman"/>
              </w:rPr>
            </w:pPr>
            <w:r w:rsidRPr="00EE56D0">
              <w:rPr>
                <w:b/>
                <w:sz w:val="22"/>
                <w:szCs w:val="22"/>
              </w:rPr>
              <w:t>Hrozby</w:t>
            </w:r>
          </w:p>
        </w:tc>
      </w:tr>
      <w:tr w:rsidR="00A16DDB" w:rsidRPr="00D95127" w14:paraId="379C94FB" w14:textId="77777777" w:rsidTr="00EE56D0">
        <w:tc>
          <w:tcPr>
            <w:tcW w:w="4849" w:type="dxa"/>
            <w:tcBorders>
              <w:top w:val="single" w:sz="4" w:space="0" w:color="auto"/>
              <w:left w:val="single" w:sz="4" w:space="0" w:color="auto"/>
              <w:bottom w:val="single" w:sz="4" w:space="0" w:color="auto"/>
              <w:right w:val="single" w:sz="4" w:space="0" w:color="auto"/>
            </w:tcBorders>
            <w:shd w:val="clear" w:color="auto" w:fill="auto"/>
            <w:hideMark/>
          </w:tcPr>
          <w:p w14:paraId="6B2FFA31" w14:textId="79EB2953" w:rsidR="00A16DDB" w:rsidRPr="00EE56D0" w:rsidRDefault="00E8445A" w:rsidP="00447717">
            <w:pPr>
              <w:pStyle w:val="UZEIOdrky"/>
              <w:ind w:left="342" w:hanging="283"/>
              <w:rPr>
                <w:sz w:val="22"/>
                <w:szCs w:val="22"/>
              </w:rPr>
            </w:pPr>
            <w:r>
              <w:rPr>
                <w:sz w:val="22"/>
                <w:szCs w:val="22"/>
              </w:rPr>
              <w:t xml:space="preserve">O1: </w:t>
            </w:r>
            <w:r w:rsidR="00A16DDB" w:rsidRPr="00EE56D0">
              <w:rPr>
                <w:sz w:val="22"/>
                <w:szCs w:val="22"/>
              </w:rPr>
              <w:t>využití stávajících podpor pro pěstitele brambor a podpora investic do sektoru brambor</w:t>
            </w:r>
          </w:p>
          <w:p w14:paraId="2A9E2057" w14:textId="6A881D75" w:rsidR="00A16DDB" w:rsidRPr="00EE56D0" w:rsidRDefault="00E8445A" w:rsidP="00447717">
            <w:pPr>
              <w:pStyle w:val="UZEIOdrky"/>
              <w:ind w:left="342" w:hanging="283"/>
              <w:rPr>
                <w:sz w:val="22"/>
                <w:szCs w:val="22"/>
              </w:rPr>
            </w:pPr>
            <w:r>
              <w:rPr>
                <w:sz w:val="22"/>
                <w:szCs w:val="22"/>
              </w:rPr>
              <w:t xml:space="preserve">O2: </w:t>
            </w:r>
            <w:r w:rsidR="00A16DDB" w:rsidRPr="00EE56D0">
              <w:rPr>
                <w:sz w:val="22"/>
                <w:szCs w:val="22"/>
              </w:rPr>
              <w:t>tradice ve výrobě nativního i modifikovaného škrobu</w:t>
            </w:r>
          </w:p>
          <w:p w14:paraId="0F4B6ADF" w14:textId="6D0FE74D" w:rsidR="00A16DDB" w:rsidRPr="00EE56D0" w:rsidRDefault="00E8445A" w:rsidP="00447717">
            <w:pPr>
              <w:pStyle w:val="UZEIOdrky"/>
              <w:ind w:left="342" w:hanging="283"/>
              <w:rPr>
                <w:sz w:val="22"/>
                <w:szCs w:val="22"/>
              </w:rPr>
            </w:pPr>
            <w:r>
              <w:rPr>
                <w:sz w:val="22"/>
                <w:szCs w:val="22"/>
              </w:rPr>
              <w:t xml:space="preserve">O3: </w:t>
            </w:r>
            <w:r w:rsidR="00A16DDB" w:rsidRPr="00EE56D0">
              <w:rPr>
                <w:sz w:val="22"/>
                <w:szCs w:val="22"/>
              </w:rPr>
              <w:t>podpora zaměstnanosti v regionech</w:t>
            </w:r>
          </w:p>
          <w:p w14:paraId="5B4FA881" w14:textId="232E09A6" w:rsidR="00A16DDB" w:rsidRPr="00EE56D0" w:rsidRDefault="00E8445A" w:rsidP="00447717">
            <w:pPr>
              <w:pStyle w:val="UZEIOdrky"/>
              <w:ind w:left="342" w:hanging="283"/>
              <w:rPr>
                <w:sz w:val="22"/>
                <w:szCs w:val="22"/>
              </w:rPr>
            </w:pPr>
            <w:r>
              <w:rPr>
                <w:sz w:val="22"/>
                <w:szCs w:val="22"/>
              </w:rPr>
              <w:t xml:space="preserve">O4: </w:t>
            </w:r>
            <w:r w:rsidR="00A16DDB" w:rsidRPr="00EE56D0">
              <w:rPr>
                <w:sz w:val="22"/>
                <w:szCs w:val="22"/>
              </w:rPr>
              <w:t>využití odpadů a vedlejších produktů z výroby škrobu k energetickým účelům, hnojení, na výrobu proteinu a vlákniny</w:t>
            </w:r>
          </w:p>
          <w:p w14:paraId="1A003F3F" w14:textId="250ECD63" w:rsidR="00A16DDB" w:rsidRPr="00EE56D0" w:rsidRDefault="00E8445A" w:rsidP="00447717">
            <w:pPr>
              <w:pStyle w:val="UZEIOdrky"/>
              <w:ind w:left="342" w:hanging="283"/>
              <w:rPr>
                <w:sz w:val="22"/>
                <w:szCs w:val="22"/>
              </w:rPr>
            </w:pPr>
            <w:r>
              <w:rPr>
                <w:sz w:val="22"/>
                <w:szCs w:val="22"/>
              </w:rPr>
              <w:t xml:space="preserve">O5: </w:t>
            </w:r>
            <w:r w:rsidR="00A16DDB" w:rsidRPr="00EE56D0">
              <w:rPr>
                <w:sz w:val="22"/>
                <w:szCs w:val="22"/>
              </w:rPr>
              <w:t>vyšší poptávka po škrobu ze strany nepotravinářského průmyslu (papírenský, textilní, kosmetický, farmaceutický, aj.)</w:t>
            </w:r>
          </w:p>
        </w:tc>
        <w:tc>
          <w:tcPr>
            <w:tcW w:w="4819" w:type="dxa"/>
            <w:tcBorders>
              <w:top w:val="single" w:sz="4" w:space="0" w:color="auto"/>
              <w:left w:val="single" w:sz="4" w:space="0" w:color="auto"/>
              <w:bottom w:val="single" w:sz="4" w:space="0" w:color="auto"/>
              <w:right w:val="single" w:sz="4" w:space="0" w:color="auto"/>
            </w:tcBorders>
            <w:shd w:val="clear" w:color="auto" w:fill="auto"/>
            <w:hideMark/>
          </w:tcPr>
          <w:p w14:paraId="16871A52" w14:textId="31F24495" w:rsidR="00A16DDB" w:rsidRPr="00EE56D0" w:rsidRDefault="00E8445A" w:rsidP="00447717">
            <w:pPr>
              <w:pStyle w:val="UZEIOdrky"/>
              <w:ind w:left="318" w:hanging="284"/>
              <w:rPr>
                <w:sz w:val="22"/>
                <w:szCs w:val="22"/>
              </w:rPr>
            </w:pPr>
            <w:r>
              <w:rPr>
                <w:sz w:val="22"/>
                <w:szCs w:val="22"/>
              </w:rPr>
              <w:t xml:space="preserve">T1: </w:t>
            </w:r>
            <w:r w:rsidR="00A16DDB" w:rsidRPr="00EE56D0">
              <w:rPr>
                <w:sz w:val="22"/>
                <w:szCs w:val="22"/>
              </w:rPr>
              <w:t>rostoucí ceny práce a energií u pracovně, energeticky a investičně více náročné plodiny</w:t>
            </w:r>
          </w:p>
          <w:p w14:paraId="58098BBD" w14:textId="2DD1F69C" w:rsidR="00A16DDB" w:rsidRPr="00EE56D0" w:rsidRDefault="00E8445A" w:rsidP="00447717">
            <w:pPr>
              <w:pStyle w:val="UZEIOdrky"/>
              <w:ind w:left="318" w:hanging="284"/>
              <w:rPr>
                <w:sz w:val="22"/>
                <w:szCs w:val="22"/>
              </w:rPr>
            </w:pPr>
            <w:r>
              <w:rPr>
                <w:sz w:val="22"/>
                <w:szCs w:val="22"/>
              </w:rPr>
              <w:t xml:space="preserve">T2: </w:t>
            </w:r>
            <w:r w:rsidR="00A16DDB" w:rsidRPr="00EE56D0">
              <w:rPr>
                <w:sz w:val="22"/>
                <w:szCs w:val="22"/>
              </w:rPr>
              <w:t>konkurenční cenová hladina bramborového škrobu na evropském trhu</w:t>
            </w:r>
          </w:p>
          <w:p w14:paraId="0142A43C" w14:textId="1E522DFA" w:rsidR="00A16DDB" w:rsidRPr="00EE56D0" w:rsidRDefault="00E8445A" w:rsidP="00447717">
            <w:pPr>
              <w:pStyle w:val="UZEIOdrky"/>
              <w:ind w:left="318" w:hanging="284"/>
              <w:rPr>
                <w:sz w:val="22"/>
                <w:szCs w:val="22"/>
              </w:rPr>
            </w:pPr>
            <w:r>
              <w:rPr>
                <w:sz w:val="22"/>
                <w:szCs w:val="22"/>
              </w:rPr>
              <w:t xml:space="preserve">T3: </w:t>
            </w:r>
            <w:r w:rsidR="00A16DDB" w:rsidRPr="00EE56D0">
              <w:rPr>
                <w:sz w:val="22"/>
                <w:szCs w:val="22"/>
              </w:rPr>
              <w:t>ekologické investice na řešení odpadních vod a dalších odpadů</w:t>
            </w:r>
          </w:p>
          <w:p w14:paraId="74A34BB7" w14:textId="47F6495C" w:rsidR="00A16DDB" w:rsidRPr="00EE56D0" w:rsidRDefault="00E8445A" w:rsidP="00447717">
            <w:pPr>
              <w:pStyle w:val="UZEIOdrky"/>
              <w:ind w:left="318" w:hanging="284"/>
              <w:rPr>
                <w:sz w:val="22"/>
                <w:szCs w:val="22"/>
              </w:rPr>
            </w:pPr>
            <w:r>
              <w:rPr>
                <w:sz w:val="22"/>
                <w:szCs w:val="22"/>
              </w:rPr>
              <w:t xml:space="preserve">T4: </w:t>
            </w:r>
            <w:r w:rsidR="00A16DDB" w:rsidRPr="00EE56D0">
              <w:rPr>
                <w:sz w:val="22"/>
                <w:szCs w:val="22"/>
              </w:rPr>
              <w:t>konkurence ze strany ostatních škrobů (kukuřičný, pšeničný, tapiokový apod.)</w:t>
            </w:r>
          </w:p>
        </w:tc>
      </w:tr>
    </w:tbl>
    <w:p w14:paraId="0D0C3CF9" w14:textId="77777777" w:rsidR="00A16DDB" w:rsidRPr="00D95127" w:rsidRDefault="00A16DDB" w:rsidP="00A16DDB">
      <w:pPr>
        <w:rPr>
          <w:rStyle w:val="Odkazintenzivn"/>
          <w:rFonts w:cs="Times New Roman"/>
          <w:szCs w:val="24"/>
          <w:lang w:val="cs-CZ"/>
        </w:rPr>
      </w:pPr>
    </w:p>
    <w:p w14:paraId="298BE37E" w14:textId="77777777" w:rsidR="00A16DDB" w:rsidRPr="00D95127" w:rsidRDefault="00A16DDB" w:rsidP="00A16DDB">
      <w:pPr>
        <w:rPr>
          <w:rFonts w:eastAsia="Times New Roman" w:cs="Times New Roman"/>
          <w:b/>
          <w:color w:val="2E74B5"/>
          <w:szCs w:val="24"/>
          <w:lang w:val="cs-CZ"/>
        </w:rPr>
      </w:pPr>
      <w:bookmarkStart w:id="363" w:name="_Toc23509864"/>
      <w:r w:rsidRPr="00D95127">
        <w:rPr>
          <w:rFonts w:cs="Times New Roman"/>
          <w:b/>
          <w:szCs w:val="24"/>
          <w:lang w:val="cs-CZ"/>
        </w:rPr>
        <w:br w:type="page"/>
      </w:r>
    </w:p>
    <w:p w14:paraId="76A313BD" w14:textId="77777777" w:rsidR="00A16DDB" w:rsidRPr="00681339" w:rsidRDefault="00A16DDB" w:rsidP="00681339">
      <w:pPr>
        <w:pStyle w:val="UZEINadpis1stbezsla"/>
      </w:pPr>
      <w:bookmarkStart w:id="364" w:name="_Toc76137368"/>
      <w:bookmarkStart w:id="365" w:name="_Toc76637567"/>
      <w:bookmarkStart w:id="366" w:name="_Toc80953246"/>
      <w:bookmarkStart w:id="367" w:name="_Toc81739202"/>
      <w:r w:rsidRPr="00681339">
        <w:t>C</w:t>
      </w:r>
      <w:bookmarkEnd w:id="363"/>
      <w:r w:rsidRPr="00681339">
        <w:t>UKROVÁ ŘEPA</w:t>
      </w:r>
      <w:bookmarkEnd w:id="364"/>
      <w:bookmarkEnd w:id="365"/>
      <w:bookmarkEnd w:id="366"/>
      <w:bookmarkEnd w:id="367"/>
    </w:p>
    <w:p w14:paraId="693937FD" w14:textId="77777777" w:rsidR="00A16DDB" w:rsidRPr="008364F7" w:rsidRDefault="00A16DDB" w:rsidP="00DE7D57">
      <w:pPr>
        <w:pStyle w:val="Nadpis1"/>
        <w:numPr>
          <w:ilvl w:val="0"/>
          <w:numId w:val="13"/>
        </w:numPr>
      </w:pPr>
      <w:bookmarkStart w:id="368" w:name="_Toc23509865"/>
      <w:bookmarkStart w:id="369" w:name="_Toc76137369"/>
      <w:bookmarkStart w:id="370" w:name="_Toc76637568"/>
      <w:bookmarkStart w:id="371" w:name="_Toc80953247"/>
      <w:bookmarkStart w:id="372" w:name="_Toc81739203"/>
      <w:r w:rsidRPr="008364F7">
        <w:t>Analýza stávajících/navrhovaných právních předpisů EK/ČR a pravděpodobné nastavení směrů a cílů SZP</w:t>
      </w:r>
      <w:bookmarkEnd w:id="368"/>
      <w:bookmarkEnd w:id="369"/>
      <w:bookmarkEnd w:id="370"/>
      <w:bookmarkEnd w:id="371"/>
      <w:bookmarkEnd w:id="372"/>
    </w:p>
    <w:p w14:paraId="5325C857" w14:textId="372C011D" w:rsidR="00E8445A" w:rsidRPr="00B10832" w:rsidRDefault="00A16DDB" w:rsidP="005E7D09">
      <w:pPr>
        <w:pStyle w:val="UZEINormaln"/>
        <w:rPr>
          <w:u w:val="single"/>
        </w:rPr>
      </w:pPr>
      <w:r w:rsidRPr="00B10832">
        <w:rPr>
          <w:u w:val="single"/>
        </w:rPr>
        <w:t>Tato část je zpracována souhrnně v základním analytickém dokumentu za oblast konkurenceschopnost zemědělství.</w:t>
      </w:r>
    </w:p>
    <w:p w14:paraId="30E75EC9" w14:textId="0DD606D2" w:rsidR="00A16DDB" w:rsidRPr="00E8445A" w:rsidRDefault="00E8445A" w:rsidP="00E8445A">
      <w:pPr>
        <w:spacing w:after="160" w:line="259" w:lineRule="auto"/>
        <w:jc w:val="left"/>
        <w:rPr>
          <w:rFonts w:eastAsia="Times New Roman" w:cstheme="minorHAnsi"/>
          <w:szCs w:val="24"/>
          <w:lang w:val="cs-CZ" w:eastAsia="cs-CZ"/>
        </w:rPr>
      </w:pPr>
      <w:r>
        <w:br w:type="page"/>
      </w:r>
    </w:p>
    <w:p w14:paraId="6B838CDE" w14:textId="77777777" w:rsidR="00A16DDB" w:rsidRPr="002857F1" w:rsidRDefault="00A16DDB" w:rsidP="00DE7D57">
      <w:pPr>
        <w:pStyle w:val="Nadpis1"/>
        <w:numPr>
          <w:ilvl w:val="0"/>
          <w:numId w:val="13"/>
        </w:numPr>
      </w:pPr>
      <w:bookmarkStart w:id="373" w:name="_Toc23509866"/>
      <w:bookmarkStart w:id="374" w:name="_Toc76137370"/>
      <w:bookmarkStart w:id="375" w:name="_Toc76637569"/>
      <w:bookmarkStart w:id="376" w:name="_Toc80953248"/>
      <w:bookmarkStart w:id="377" w:name="_Toc81739204"/>
      <w:r w:rsidRPr="002857F1">
        <w:t>Co je skutečným problémem, na který má politika reagovat?</w:t>
      </w:r>
      <w:bookmarkEnd w:id="373"/>
      <w:bookmarkEnd w:id="374"/>
      <w:bookmarkEnd w:id="375"/>
      <w:bookmarkEnd w:id="376"/>
      <w:bookmarkEnd w:id="377"/>
    </w:p>
    <w:p w14:paraId="30C003A1" w14:textId="77777777" w:rsidR="00A16DDB" w:rsidRPr="00D95127" w:rsidRDefault="00A16DDB" w:rsidP="005E7D09">
      <w:pPr>
        <w:pStyle w:val="UZEINormaln"/>
        <w:rPr>
          <w:rFonts w:cs="Times New Roman"/>
        </w:rPr>
      </w:pPr>
      <w:r w:rsidRPr="00D95127">
        <w:t>Plocha a produkce cukrové řepy zajišťuje pro cukrovary dostatečné množství suroviny pro výrobu cukru. V současné době je velkým problémem propad ceny cukru na světovém, resp. evropském trhu, ovlivňující úhradu cukrové řepy z důvodu ukončení kvótového systému od října 2017. Pěstování cukrové řepy není ekonomicky přijatelné. Důležité je zařazení cukrové řepy do citlivých komodit. Platby VCS společně s přímými platbami, pojištěním a </w:t>
      </w:r>
      <w:r w:rsidRPr="00D95127">
        <w:rPr>
          <w:rStyle w:val="small"/>
          <w:rFonts w:cs="Times New Roman"/>
        </w:rPr>
        <w:t xml:space="preserve">vratky spotřební daně na zelenou naftu </w:t>
      </w:r>
      <w:r w:rsidRPr="00D95127">
        <w:rPr>
          <w:rFonts w:cs="Times New Roman"/>
        </w:rPr>
        <w:t>zlepšují ekonomiku pěstování cukrové řepy, ale vzhledem k predikci cen cukru nemusí být tyto platby dostačující.</w:t>
      </w:r>
    </w:p>
    <w:p w14:paraId="51580F61" w14:textId="40C56EFB" w:rsidR="00E8445A" w:rsidRDefault="00A16DDB" w:rsidP="005E7D09">
      <w:pPr>
        <w:pStyle w:val="UZEINormaln"/>
        <w:rPr>
          <w:rFonts w:cs="Times New Roman"/>
        </w:rPr>
      </w:pPr>
      <w:r w:rsidRPr="00D95127">
        <w:t xml:space="preserve">V případě cukru (KN kód 1701) se mezi </w:t>
      </w:r>
      <w:r w:rsidRPr="00D95127">
        <w:rPr>
          <w:rFonts w:cs="Times New Roman"/>
        </w:rPr>
        <w:t>obdobími let 2011-2020 saldo dovozu a vývozu pohybovalo od 3,4 mld. Kč v roce 2011 do 1,9 mld. Kč v roce 2020. Konkurenční pozice českých producentů cukrové řepy je stále vysoká a naplňuje plnění strategických vizí z hlediska rozsahu ploch a míry soběstačnosti u tohoto odvětví.</w:t>
      </w:r>
      <w:r w:rsidRPr="00D95127">
        <w:rPr>
          <w:rStyle w:val="Znakapoznpodarou"/>
        </w:rPr>
        <w:footnoteReference w:id="18"/>
      </w:r>
    </w:p>
    <w:p w14:paraId="6152CE69" w14:textId="16986211" w:rsidR="00A16DDB" w:rsidRPr="00E8445A" w:rsidRDefault="00E8445A" w:rsidP="00E8445A">
      <w:pPr>
        <w:spacing w:after="160" w:line="259" w:lineRule="auto"/>
        <w:jc w:val="left"/>
        <w:rPr>
          <w:rFonts w:eastAsia="Times New Roman" w:cs="Times New Roman"/>
          <w:szCs w:val="24"/>
          <w:lang w:val="cs-CZ" w:eastAsia="cs-CZ"/>
        </w:rPr>
      </w:pPr>
      <w:r>
        <w:rPr>
          <w:rFonts w:cs="Times New Roman"/>
        </w:rPr>
        <w:br w:type="page"/>
      </w:r>
    </w:p>
    <w:p w14:paraId="5C39F3EE" w14:textId="77777777" w:rsidR="00A16DDB" w:rsidRDefault="00A16DDB" w:rsidP="00DE7D57">
      <w:pPr>
        <w:pStyle w:val="Nadpis1"/>
        <w:numPr>
          <w:ilvl w:val="0"/>
          <w:numId w:val="13"/>
        </w:numPr>
      </w:pPr>
      <w:bookmarkStart w:id="378" w:name="_Toc23509867"/>
      <w:bookmarkStart w:id="379" w:name="_Toc76137371"/>
      <w:bookmarkStart w:id="380" w:name="_Toc76637570"/>
      <w:bookmarkStart w:id="381" w:name="_Toc80953249"/>
      <w:bookmarkStart w:id="382" w:name="_Toc81739205"/>
      <w:r w:rsidRPr="00D95127">
        <w:t>Jaký je mechanismus a příčiny tohoto problému?</w:t>
      </w:r>
      <w:bookmarkEnd w:id="378"/>
      <w:bookmarkEnd w:id="379"/>
      <w:bookmarkEnd w:id="380"/>
      <w:bookmarkEnd w:id="381"/>
      <w:bookmarkEnd w:id="382"/>
    </w:p>
    <w:p w14:paraId="174A6AAC" w14:textId="32CF77F6" w:rsidR="00A16DDB" w:rsidRPr="00D95127" w:rsidRDefault="00A16DDB" w:rsidP="00E75B9A">
      <w:pPr>
        <w:pStyle w:val="UZEINormaln"/>
        <w:rPr>
          <w:rFonts w:cs="Times New Roman"/>
        </w:rPr>
      </w:pPr>
      <w:r w:rsidRPr="00E75B9A">
        <w:t xml:space="preserve">Hlavní příčiny problémů ovlivňující pěstování </w:t>
      </w:r>
      <w:r w:rsidRPr="00D95127">
        <w:rPr>
          <w:rFonts w:cs="Times New Roman"/>
          <w:b/>
        </w:rPr>
        <w:t>cukrové řepy:</w:t>
      </w:r>
    </w:p>
    <w:p w14:paraId="1CEB0CF9" w14:textId="77777777" w:rsidR="00A16DDB" w:rsidRPr="00D95127" w:rsidRDefault="00A16DDB" w:rsidP="00E75B9A">
      <w:pPr>
        <w:pStyle w:val="UZEIOdrky"/>
        <w:rPr>
          <w:b/>
        </w:rPr>
      </w:pPr>
      <w:r w:rsidRPr="00D95127">
        <w:rPr>
          <w:b/>
        </w:rPr>
        <w:t>nižší úroveň výnosů</w:t>
      </w:r>
    </w:p>
    <w:p w14:paraId="005D60B0" w14:textId="77777777" w:rsidR="00A16DDB" w:rsidRPr="00D95127" w:rsidRDefault="00A16DDB" w:rsidP="00E75B9A">
      <w:pPr>
        <w:pStyle w:val="UZEIOdrky"/>
        <w:rPr>
          <w:b/>
        </w:rPr>
      </w:pPr>
      <w:r w:rsidRPr="00D95127">
        <w:rPr>
          <w:b/>
        </w:rPr>
        <w:t>vysoká variabilita nákladů mezi třetinami nejlepších a nejhorších podniků</w:t>
      </w:r>
    </w:p>
    <w:p w14:paraId="1952E435" w14:textId="77777777" w:rsidR="00A16DDB" w:rsidRPr="00D95127" w:rsidRDefault="00A16DDB" w:rsidP="00E75B9A">
      <w:pPr>
        <w:pStyle w:val="UZEIOdrky"/>
        <w:rPr>
          <w:rStyle w:val="small"/>
          <w:b/>
        </w:rPr>
      </w:pPr>
      <w:r w:rsidRPr="00D95127">
        <w:rPr>
          <w:rStyle w:val="small"/>
          <w:b/>
        </w:rPr>
        <w:t>rostoucí produkce cukru v EU i ČR a tím zvýšení konkurenčního tlaku jak u pěstitelů, tak výrobců cukru</w:t>
      </w:r>
    </w:p>
    <w:p w14:paraId="1C097570" w14:textId="77777777" w:rsidR="00A16DDB" w:rsidRPr="00D95127" w:rsidRDefault="00A16DDB" w:rsidP="00E75B9A">
      <w:pPr>
        <w:pStyle w:val="UZEIOdrky"/>
        <w:rPr>
          <w:rStyle w:val="small"/>
          <w:b/>
        </w:rPr>
      </w:pPr>
      <w:r w:rsidRPr="00D95127">
        <w:rPr>
          <w:rStyle w:val="small"/>
          <w:b/>
        </w:rPr>
        <w:t xml:space="preserve">pokles ceny cukru </w:t>
      </w:r>
    </w:p>
    <w:p w14:paraId="31EB03AA" w14:textId="77777777" w:rsidR="00A16DDB" w:rsidRPr="00E75B9A" w:rsidRDefault="00A16DDB" w:rsidP="00E75B9A">
      <w:pPr>
        <w:pStyle w:val="UZEIOdrky"/>
        <w:rPr>
          <w:rStyle w:val="small"/>
          <w:b/>
        </w:rPr>
      </w:pPr>
      <w:r w:rsidRPr="00D95127">
        <w:rPr>
          <w:rStyle w:val="small"/>
          <w:b/>
        </w:rPr>
        <w:t>snížení míry rentability pěstování cukrové řepy</w:t>
      </w:r>
    </w:p>
    <w:p w14:paraId="1FF862BB" w14:textId="77777777" w:rsidR="00A16DDB" w:rsidRPr="00D95127" w:rsidRDefault="00A16DDB" w:rsidP="00310526">
      <w:pPr>
        <w:pStyle w:val="UZEINormaln"/>
        <w:rPr>
          <w:rStyle w:val="small"/>
          <w:rFonts w:cs="Times New Roman"/>
        </w:rPr>
      </w:pPr>
      <w:r w:rsidRPr="00D95127">
        <w:rPr>
          <w:rStyle w:val="small"/>
          <w:rFonts w:cs="Times New Roman"/>
        </w:rPr>
        <w:t xml:space="preserve">ČR dosahuje v pěstování cukrové řepy a výrobě cukru v evropské konkurenci velmi dobrých kvalitativních výsledků a svým podílem výroby 3,6 % na celkové výrobě EU 28 v roce 2020/21 se pohybuje na úrovni okolo sedmého místa z 20 států vyrábějících cukr. Touto pozicí si nadále udržuje statut středně velkého výrobce cukru v EU. Výnos čistého cukru v ČR dosahuje hodnoty 9,7 t/ha, což představuje dobrou úroveň. Rok 2020/21 dopadl lépe pro Belgii s výnosem 13,3 t/ha čistého cukru a Nizozemsko s čistým výnosem 13,1 t/ha. Německo dosáhlo čistého výnosu pod hranicí 12 t/ha. Příčinou nižší úrovně výnosů je zpravidla dáno povětrnostními podmínkami během roku, zvolenou technologií během celého vegetačního období. Kvalita bulev tuzemských pěstitelů je srovnatelná s evropskou špičkou, Přesto jsou určité možnosti zlepšování v produkci a ekonomice cukrové řepy vzhledem k rozdílu v jednotkových nákladech na tunu produkce mezi nadprůměrnou a podprůměrnou třetinou podniků dosahující v průměru hodnoty 50 %. </w:t>
      </w:r>
    </w:p>
    <w:p w14:paraId="16F06ED6" w14:textId="77777777" w:rsidR="00A16DDB" w:rsidRPr="00D95127" w:rsidRDefault="00A16DDB" w:rsidP="00310526">
      <w:pPr>
        <w:pStyle w:val="UZEINormaln"/>
        <w:rPr>
          <w:rStyle w:val="small"/>
          <w:rFonts w:cs="Times New Roman"/>
        </w:rPr>
      </w:pPr>
      <w:r w:rsidRPr="00D95127">
        <w:rPr>
          <w:rStyle w:val="small"/>
          <w:rFonts w:cs="Times New Roman"/>
        </w:rPr>
        <w:t xml:space="preserve">Změny v nabídce a poptávce cukrové řepy od roku 2011 do roku 2017 byly minimální, protože fungoval v EU kvótový systém s přidělenou kvótou výroby cukru pro každou zemi, cukrovarnickou společnost a cukrovar. Po zrušení kvótového režimu výroby cukru pěstitelé a výrobci cukru pracují v prostředí volného trhu, tj. není limitována výroba cukru. To má však svá relativní negativa. V roce 2017 došlo k výraznému růstu ploch cukrové řepy v EU, zejména v Německu a Francii přibližně o 25 %. Plocha v ČR se navýšila o 8–10 %. Nejspíše se jedná o taktiku největších producentů cukru v EU zaujmout místa na trhu v období po uvolnění kvót, což s sebou nese pokles cen a míry rentability pro cukrovary i pěstitele a ekonomiku lze vidět pouze v dlouhé kampani a ředění fixních nákladů na výrobu cukru. </w:t>
      </w:r>
    </w:p>
    <w:p w14:paraId="20D8C57C" w14:textId="6EF6DB72" w:rsidR="00A16DDB" w:rsidRDefault="00A16DDB" w:rsidP="00310526">
      <w:pPr>
        <w:pStyle w:val="UZEINormaln"/>
        <w:rPr>
          <w:rStyle w:val="small"/>
          <w:rFonts w:cs="Times New Roman"/>
        </w:rPr>
      </w:pPr>
      <w:r w:rsidRPr="00D95127">
        <w:t>Cenové rozpětí cukru v EU se v období 2011-2020 pohybovalo od 564 €/t v roce 2011 do 376 €/t v roce 2020. Průměrná cena za uvedené období činila 490 €/t (12 791 Kč/t</w:t>
      </w:r>
      <w:r w:rsidRPr="00D95127">
        <w:rPr>
          <w:rStyle w:val="Znakapoznpodarou"/>
        </w:rPr>
        <w:footnoteReference w:id="19"/>
      </w:r>
      <w:r w:rsidRPr="00D95127">
        <w:rPr>
          <w:rFonts w:cs="Times New Roman"/>
        </w:rPr>
        <w:t xml:space="preserve">). </w:t>
      </w:r>
      <w:r w:rsidRPr="00D95127">
        <w:rPr>
          <w:rStyle w:val="small"/>
          <w:rFonts w:cs="Times New Roman"/>
        </w:rPr>
        <w:t xml:space="preserve">Snížení cen cukru má dopad i na české pěstitele cukrové řepy. Zrušení oddělené platby na cukr se citelně odrazilo v dosahované rentabilitě cukrové řepy po roce 2015, i když ve srovnání s většinou komodit dosahovala průměrné výše. Rentabilita cukrové řepy vychází z přepočteného výnosu na 16% cukernatost. Po výrazném poklesu rentability v roce 2015 (změna struktury podpor) následoval od roku 2018 další pokles, tentokrát do záporných hodnot, především z důvodu nepříznivých povětrnostních podmínek (nerovnoměrné rozložení srážek ve vegetačním období, vysoké teploty), chorob a škůdců, docházelo k nerovnoměrné cukernatosti řepy (např. v roce 2020 bylo dosaženo průměrné cukernatosti v ČR pouze 15,9 %). </w:t>
      </w:r>
    </w:p>
    <w:p w14:paraId="0F4DAA3D" w14:textId="356F35AD" w:rsidR="00E8445A" w:rsidRDefault="00E8445A" w:rsidP="00310526">
      <w:pPr>
        <w:pStyle w:val="UZEINormaln"/>
        <w:rPr>
          <w:rStyle w:val="small"/>
          <w:rFonts w:cs="Times New Roman"/>
        </w:rPr>
      </w:pPr>
    </w:p>
    <w:p w14:paraId="066AFEC6" w14:textId="51BCAC00" w:rsidR="00E8445A" w:rsidRDefault="00E8445A" w:rsidP="00310526">
      <w:pPr>
        <w:pStyle w:val="UZEINormaln"/>
        <w:rPr>
          <w:rStyle w:val="small"/>
          <w:rFonts w:cs="Times New Roman"/>
        </w:rPr>
      </w:pPr>
    </w:p>
    <w:p w14:paraId="4E1F4D12" w14:textId="21DC99E9" w:rsidR="00E8445A" w:rsidRDefault="00E8445A" w:rsidP="00310526">
      <w:pPr>
        <w:pStyle w:val="UZEINormaln"/>
        <w:rPr>
          <w:rStyle w:val="small"/>
          <w:rFonts w:cs="Times New Roman"/>
        </w:rPr>
      </w:pPr>
    </w:p>
    <w:p w14:paraId="2709487A" w14:textId="77777777" w:rsidR="00E8445A" w:rsidRPr="00D95127" w:rsidRDefault="00E8445A" w:rsidP="00310526">
      <w:pPr>
        <w:pStyle w:val="UZEINormaln"/>
        <w:rPr>
          <w:rStyle w:val="small"/>
          <w:rFonts w:cs="Times New Roman"/>
        </w:rPr>
      </w:pPr>
    </w:p>
    <w:p w14:paraId="371CF34C" w14:textId="2EAB39EB" w:rsidR="00A16DDB" w:rsidRPr="00D95127" w:rsidRDefault="00A16DDB" w:rsidP="00310526">
      <w:pPr>
        <w:pStyle w:val="UZEITaB"/>
        <w:rPr>
          <w:rFonts w:cs="Times New Roman"/>
          <w:szCs w:val="24"/>
        </w:rPr>
      </w:pPr>
      <w:r w:rsidRPr="00D95127">
        <w:t xml:space="preserve"> </w:t>
      </w:r>
      <w:bookmarkStart w:id="383" w:name="_Toc81738459"/>
      <w:r w:rsidRPr="00D95127">
        <w:t>Ekonomika pěstování cukrové řepy v letech 2011 až 2020</w:t>
      </w:r>
      <w:bookmarkEnd w:id="383"/>
    </w:p>
    <w:p w14:paraId="6CAE8EDC" w14:textId="77777777" w:rsidR="00A16DDB" w:rsidRPr="00D95127" w:rsidRDefault="00A16DDB" w:rsidP="00A16DDB">
      <w:pPr>
        <w:rPr>
          <w:rFonts w:cs="Times New Roman"/>
          <w:szCs w:val="24"/>
          <w:lang w:val="cs-CZ"/>
        </w:rPr>
      </w:pPr>
      <w:r w:rsidRPr="00D95127">
        <w:rPr>
          <w:rFonts w:cs="Times New Roman"/>
          <w:noProof/>
          <w:lang w:val="cs-CZ"/>
        </w:rPr>
        <w:drawing>
          <wp:inline distT="0" distB="0" distL="0" distR="0" wp14:anchorId="5D20437C" wp14:editId="39C9E249">
            <wp:extent cx="5961380" cy="1302105"/>
            <wp:effectExtent l="0" t="0" r="0" b="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72004" cy="1304426"/>
                    </a:xfrm>
                    <a:prstGeom prst="rect">
                      <a:avLst/>
                    </a:prstGeom>
                    <a:noFill/>
                    <a:ln>
                      <a:noFill/>
                    </a:ln>
                  </pic:spPr>
                </pic:pic>
              </a:graphicData>
            </a:graphic>
          </wp:inline>
        </w:drawing>
      </w:r>
    </w:p>
    <w:p w14:paraId="7FAB8F78" w14:textId="77777777" w:rsidR="00A16DDB" w:rsidRPr="00D95127" w:rsidRDefault="00A16DDB" w:rsidP="00BD0A73">
      <w:pPr>
        <w:pStyle w:val="UZEIZdroj"/>
        <w:rPr>
          <w:rFonts w:eastAsia="Times New Roman"/>
          <w:i w:val="0"/>
          <w:vertAlign w:val="superscript"/>
        </w:rPr>
      </w:pPr>
      <w:r w:rsidRPr="00BD0A73">
        <w:t xml:space="preserve">Poznámka:*) pro rok 2020 odhad, realizační </w:t>
      </w:r>
      <w:r w:rsidRPr="00E8445A">
        <w:t>cena ČSÚ Zdroj: Výběrové šetření o nákladech a výnosech zemědělských výrobků ÚZEI</w:t>
      </w:r>
    </w:p>
    <w:p w14:paraId="264B15FA" w14:textId="77777777" w:rsidR="00A16DDB" w:rsidRPr="00D95127" w:rsidRDefault="00A16DDB" w:rsidP="00BD0A73">
      <w:pPr>
        <w:pStyle w:val="UZEINormaln"/>
        <w:rPr>
          <w:rFonts w:cs="Times New Roman"/>
        </w:rPr>
      </w:pPr>
      <w:r w:rsidRPr="00D95127">
        <w:rPr>
          <w:rStyle w:val="small"/>
          <w:rFonts w:cs="Times New Roman"/>
        </w:rPr>
        <w:t>V současné době je cukrovarnický sektor na hranici ekonomické udržitelnosti. Nadvýroba cukru po ukončení kvót v EU (i ve světě) způsobila pád cen cukru i v ČR. Pokles ceny se promítá do cen cukrové řepy, vedoucí některé pěstitele k omezení pěstování cukrové řepy nebo přechodu na jiné ekonomicky výnosnější plodiny. V ČR pokles plochy není zásadní, daří se udržet plochu nad 60 tis. ha, došlo ke vzájemné dohodě o ceně za cukrovou řepu na rok 2020/21, avšak stále se ekonomické podmínky výrazně nezlepšují. Ohrožující je také ohlášené rušení neonikotinoidů k ošetření osiva cukrové řepy v raném stadiu vývoje. Dosud není adekvátní náhrada za tyto POR, zatím to vypadá, že budou nuceni je pěstitelé nahradit staršími POR ve větším objemu a s </w:t>
      </w:r>
      <w:r w:rsidRPr="00D95127">
        <w:rPr>
          <w:rFonts w:cs="Times New Roman"/>
        </w:rPr>
        <w:t>nižší účinností</w:t>
      </w:r>
      <w:r w:rsidRPr="00D95127">
        <w:rPr>
          <w:rStyle w:val="small"/>
          <w:rFonts w:cs="Times New Roman"/>
        </w:rPr>
        <w:t xml:space="preserve">, které zvýší náklady na pěstování cukrové řepy se všemi důsledky. Ve snaze udržet výrobu cukru musí cukrovary udržet cenu cukrové řepy na úrovni zaručující alespoň přijatelnou rentabilitu pěstování. S ohledem na klesající rentabilnost pěstování cukrové řepy by bylo vhodné přehodnotit dosavadní výši podpor ve smyslu jejich zvýšení nebo najít jiné cesty podpory cukrovarnického sektoru v zájmu zachování rozměru sektoru. </w:t>
      </w:r>
    </w:p>
    <w:p w14:paraId="2996EFB7" w14:textId="77777777" w:rsidR="00A16DDB" w:rsidRPr="00D95127" w:rsidRDefault="00A16DDB" w:rsidP="00BD0A73">
      <w:pPr>
        <w:pStyle w:val="UZEINormaln"/>
        <w:rPr>
          <w:rStyle w:val="small"/>
          <w:rFonts w:cs="Times New Roman"/>
        </w:rPr>
      </w:pPr>
      <w:r w:rsidRPr="00D95127">
        <w:rPr>
          <w:rStyle w:val="small"/>
          <w:rFonts w:cs="Times New Roman"/>
        </w:rPr>
        <w:t>Prostřednictvím dotazníkového šetření ÚZEI byl osloven Svaz pěstitelů cukrovky</w:t>
      </w:r>
      <w:r w:rsidRPr="00D95127">
        <w:rPr>
          <w:rStyle w:val="Znakapoznpodarou"/>
        </w:rPr>
        <w:footnoteReference w:id="20"/>
      </w:r>
      <w:r w:rsidRPr="00D95127">
        <w:rPr>
          <w:rStyle w:val="small"/>
          <w:rFonts w:cs="Times New Roman"/>
        </w:rPr>
        <w:t>. N</w:t>
      </w:r>
      <w:r w:rsidRPr="00D95127">
        <w:rPr>
          <w:rFonts w:cs="Times New Roman"/>
        </w:rPr>
        <w:t>ejvýznamnější zdrojem informací pěstitelů cukrové řepy pro zajištění a zlepšení řízení svého podniku v závislosti na různé oblasti činností</w:t>
      </w:r>
      <w:r w:rsidRPr="00D95127">
        <w:rPr>
          <w:rStyle w:val="Znakapoznpodarou"/>
        </w:rPr>
        <w:footnoteReference w:id="21"/>
      </w:r>
      <w:r w:rsidRPr="00D95127">
        <w:rPr>
          <w:rFonts w:cs="Times New Roman"/>
        </w:rPr>
        <w:t xml:space="preserve"> bývá využití vzdělávacích akcí, profesní svaz, dodavatelé technologií a vstupů. Nezávislé poradenské služby společně s dodavateli technologií a vstupů prezentují pěstitelům informace o nových technologických postupech, strojích a </w:t>
      </w:r>
      <w:r w:rsidRPr="00D95127">
        <w:rPr>
          <w:rStyle w:val="small"/>
          <w:rFonts w:cs="Times New Roman"/>
        </w:rPr>
        <w:t>zařízeních. Využité jsou i jako zdroj informací o účetnictví a daních. Praxe ukazuje, že velké rozdíly v informačních potřebách se tolik neliší u velkých či malých podniků, ev. specializovaných, odlišnosti vznikají jen v</w:t>
      </w:r>
      <w:r w:rsidRPr="00D95127">
        <w:rPr>
          <w:rFonts w:cs="Times New Roman"/>
        </w:rPr>
        <w:t xml:space="preserve"> konkrétním odborném tématu. </w:t>
      </w:r>
      <w:r w:rsidRPr="00D95127">
        <w:rPr>
          <w:rStyle w:val="small"/>
          <w:rFonts w:cs="Times New Roman"/>
        </w:rPr>
        <w:t xml:space="preserve">Členové SPC by uvítali více podkladů k novým způsobům hospodaření a novým technologickým postupům, případně novým vědecko-výzkumným poznatkům. Nejvíce jsou zapojení ve zprostředkování informací, významně v organizaci nebo zprostředkování poradenství a zprostředkování transferu výsledků vědy a výzkumu. Méně se angažuje SPC v organizaci vzdělávání. Povědomí o poradenských subjektech mají členové SPC velmi dobré. Poradci jsou zejména v sekci osivo, osiváři dokážou kvalitně poradit nejen s výběrem vhodné odrůdy, ale s celou pěstitelskou technologií cukrovky. Poradenství v případě požadavku pěstitele zajišťuje i výkonná složka Svazu pěstitelů cukrovky Čech, zároveň také agronomická služba jednotlivých cukrovarů. S poradenstvím pomáhají také dodavatelé přípravků na ochranu rostlin a dodavatelé hnojiv. Kvalita poradců je dobrá, pěstitelé by uvítali více komplexnosti poradenství, tj. obsažení celého technologického postupu od zasetí do sklizně. Četnost využití poradenských služeb bývá nejčastěji dvakrát až vícekrát ročně podle potřeby. Někteří pěstitelé mají natolik zkušeností, že tyto služby nevyužívají. </w:t>
      </w:r>
    </w:p>
    <w:p w14:paraId="1E76F56E" w14:textId="77777777" w:rsidR="00A16DDB" w:rsidRPr="00D95127" w:rsidRDefault="00A16DDB" w:rsidP="00BD0A73">
      <w:pPr>
        <w:pStyle w:val="UZEINormaln"/>
        <w:rPr>
          <w:rStyle w:val="small"/>
          <w:rFonts w:cs="Times New Roman"/>
        </w:rPr>
      </w:pPr>
      <w:r w:rsidRPr="00D95127">
        <w:rPr>
          <w:rStyle w:val="small"/>
          <w:rFonts w:cs="Times New Roman"/>
        </w:rPr>
        <w:t xml:space="preserve">Nejčastěji jsou využívané poradenské služby v oblasti péče o půdu, výživě rostlin a hnojení, přizpůsobování se změnám klimatu, modernizaci a inovaci, dotační politice a finančních podpor a optimalizace ekonomiky podniku. Pokud využívají pěstitelé poradenství, zvažují cenu, kvalitu poradce a operativnost pro řešení konkrétního problému. Preferují poradenské služby poskytované výhradně státními organizacemi (školy, výzkumné ústavy apod.), zástupce zemědělců (komory a svazy apod.) a poradenské služby poskytované poradci akreditovanými Ministerstvem zemědělství. Podle SPC je bariérou v transferu znalostí zaměření odborníků na základní výzkum a méně na aktuální potřeby praxe. </w:t>
      </w:r>
    </w:p>
    <w:p w14:paraId="54B24E68" w14:textId="0BCDBCFF" w:rsidR="00E8445A" w:rsidRDefault="00A16DDB" w:rsidP="00BD0A73">
      <w:pPr>
        <w:pStyle w:val="UZEINormaln"/>
        <w:rPr>
          <w:rStyle w:val="small"/>
          <w:rFonts w:cs="Times New Roman"/>
        </w:rPr>
      </w:pPr>
      <w:r w:rsidRPr="00D95127">
        <w:rPr>
          <w:rStyle w:val="small"/>
          <w:rFonts w:cs="Times New Roman"/>
        </w:rPr>
        <w:t>Dalším problémem se může stát zemědělské školství. Postupně se plánuje rušení odborných pracovišť a slučování kateder (např. ČZU) –nebude tak dostatek prostoru a času na agronomickou odbornost, která by měla být základem (problémem je i menší zájem studentů o klasickou rostlinnou výrobu, proti tomu je nedostatek nových kvalifikovaných nových mladých agronomů pro podniky – současní agronomové jsou často v důchodovém věku, generační obměna se realizuje pomalu). Na druhé straně ze strany zemědělské praxe není velká poptávka po nejnovějších poznatcích. To souvisí i s tím, že je nedostatek agronomů schopných je aplikovat. Zájem o spoluúčast na výzkumných projektech z velké části není, jejich potřebu kryjí hlavně dodavatelé technologií. Pěstitelé by uvítali lepší rozvržení vzdělávacích akcí v průběhu celého roku.</w:t>
      </w:r>
    </w:p>
    <w:p w14:paraId="4A50760D" w14:textId="7B6E52FA" w:rsidR="00A16DDB" w:rsidRPr="00E8445A" w:rsidRDefault="00E8445A" w:rsidP="00E8445A">
      <w:pPr>
        <w:spacing w:after="160" w:line="259" w:lineRule="auto"/>
        <w:jc w:val="left"/>
        <w:rPr>
          <w:rStyle w:val="small"/>
          <w:rFonts w:eastAsia="Times New Roman" w:cs="Times New Roman"/>
          <w:szCs w:val="24"/>
          <w:lang w:val="cs-CZ" w:eastAsia="cs-CZ"/>
        </w:rPr>
      </w:pPr>
      <w:r>
        <w:rPr>
          <w:rStyle w:val="small"/>
          <w:rFonts w:cs="Times New Roman"/>
        </w:rPr>
        <w:br w:type="page"/>
      </w:r>
    </w:p>
    <w:p w14:paraId="5776D6A1" w14:textId="77777777" w:rsidR="00A16DDB" w:rsidRPr="001C63C7" w:rsidRDefault="00A16DDB" w:rsidP="00DE7D57">
      <w:pPr>
        <w:pStyle w:val="Nadpis1"/>
        <w:numPr>
          <w:ilvl w:val="0"/>
          <w:numId w:val="13"/>
        </w:numPr>
      </w:pPr>
      <w:bookmarkStart w:id="384" w:name="_Toc23509868"/>
      <w:bookmarkStart w:id="385" w:name="_Toc76137372"/>
      <w:bookmarkStart w:id="386" w:name="_Toc76637571"/>
      <w:bookmarkStart w:id="387" w:name="_Toc80953250"/>
      <w:bookmarkStart w:id="388" w:name="_Toc81739206"/>
      <w:r w:rsidRPr="001C63C7">
        <w:t>Jak závažný je tento problém?</w:t>
      </w:r>
      <w:bookmarkEnd w:id="384"/>
      <w:bookmarkEnd w:id="385"/>
      <w:bookmarkEnd w:id="386"/>
      <w:bookmarkEnd w:id="387"/>
      <w:bookmarkEnd w:id="388"/>
    </w:p>
    <w:p w14:paraId="0514B915" w14:textId="77777777" w:rsidR="00A16DDB" w:rsidRPr="00D95127" w:rsidRDefault="00A16DDB" w:rsidP="001C63C7">
      <w:pPr>
        <w:pStyle w:val="UZEINormaln"/>
        <w:rPr>
          <w:rFonts w:cs="Times New Roman"/>
        </w:rPr>
      </w:pPr>
      <w:r w:rsidRPr="00D95127">
        <w:t xml:space="preserve">Ekonomika cukrové řepy po liberalizaci cukerného trhu bude v následujícím období bez podpor ztrátová a dlouhodobě neudržitelná. V této komoditě se sešla negativní kombinace výrazného snížení evropské ceny během posledních tří let, nepříznivých povětrnostních podmínek a plán omezení stávajících P0R. </w:t>
      </w:r>
    </w:p>
    <w:p w14:paraId="070CFEE6" w14:textId="4C74AD9D" w:rsidR="00E8445A" w:rsidRDefault="00A16DDB" w:rsidP="001C63C7">
      <w:pPr>
        <w:pStyle w:val="UZEINormaln"/>
        <w:rPr>
          <w:rFonts w:cs="Times New Roman"/>
        </w:rPr>
      </w:pPr>
      <w:r w:rsidRPr="00D95127">
        <w:t>Problémem zatím není u cukrové řepy, resp. cukru, zajištění soběstačnosti, ale delší období poklesu ceny cukru, který má zpětný vliv na cenu cukrové řepy a rentabilnost pěstování. Na rozdíl od brambor nejsou problémem sklady, řepa je distribuována přímo ke zpracování v cukrovaru. Existuje vzájemná smluvní propojenost mezi pěstiteli a cukrovary (Smlouvy o dodání cukrové řepy).</w:t>
      </w:r>
      <w:r w:rsidRPr="00D95127">
        <w:rPr>
          <w:rStyle w:val="small"/>
          <w:rFonts w:cs="Times New Roman"/>
        </w:rPr>
        <w:t xml:space="preserve"> Zařazení cukrové řepy do seznamu citlivých komodit bylo dáno snahou zachovat cukrovarnický průmysl v ČR minimálně v současném rozsahu za optimálních ekonomických podmínek ve vazbě na environmentální význam pěstování cukrové řepy a zachování zaměstnanosti. Rozhodnutí pěstitelů pěstovat či nepěstovat cukrovou řepu bude záležet také na rentabilitě ostatních komodit (pšenice, řepky, kukuřice, aj.), které mohou substituovat pěstování cukrové řepy a zajistit dobrou ekonomiku podniku. Bez finančních kompenzací by mohlo dojít k omezení pěstování cukrové řepy v ČR a poklesu soběstačnosti cukru</w:t>
      </w:r>
      <w:r w:rsidRPr="00D95127">
        <w:rPr>
          <w:rFonts w:cs="Times New Roman"/>
        </w:rPr>
        <w:t>. Na úrovni ČR další snížení produkce cukrové řepy nevyvolá sociální důsledky, ovšem lokálně může zvýšit nezaměstnanost v obcích a mikroregionech.</w:t>
      </w:r>
    </w:p>
    <w:p w14:paraId="01D1108D" w14:textId="04E7E32F" w:rsidR="00A16DDB" w:rsidRPr="00E8445A" w:rsidRDefault="00E8445A" w:rsidP="00E8445A">
      <w:pPr>
        <w:spacing w:after="160" w:line="259" w:lineRule="auto"/>
        <w:jc w:val="left"/>
        <w:rPr>
          <w:rFonts w:eastAsia="Times New Roman" w:cs="Times New Roman"/>
          <w:szCs w:val="24"/>
          <w:lang w:val="cs-CZ" w:eastAsia="cs-CZ"/>
        </w:rPr>
      </w:pPr>
      <w:r>
        <w:rPr>
          <w:rFonts w:cs="Times New Roman"/>
        </w:rPr>
        <w:br w:type="page"/>
      </w:r>
    </w:p>
    <w:p w14:paraId="6FAFB3CB" w14:textId="77777777" w:rsidR="00A16DDB" w:rsidRDefault="00A16DDB" w:rsidP="00DE7D57">
      <w:pPr>
        <w:pStyle w:val="Nadpis1"/>
        <w:numPr>
          <w:ilvl w:val="0"/>
          <w:numId w:val="13"/>
        </w:numPr>
      </w:pPr>
      <w:bookmarkStart w:id="389" w:name="_Toc23509869"/>
      <w:bookmarkStart w:id="390" w:name="_Toc76137373"/>
      <w:bookmarkStart w:id="391" w:name="_Toc76637572"/>
      <w:bookmarkStart w:id="392" w:name="_Toc80953251"/>
      <w:bookmarkStart w:id="393" w:name="_Toc81739207"/>
      <w:r w:rsidRPr="00D95127">
        <w:t>Míra stávajícího řešení problému</w:t>
      </w:r>
      <w:bookmarkEnd w:id="389"/>
      <w:bookmarkEnd w:id="390"/>
      <w:bookmarkEnd w:id="391"/>
      <w:bookmarkEnd w:id="392"/>
      <w:bookmarkEnd w:id="393"/>
    </w:p>
    <w:p w14:paraId="1DCD9745" w14:textId="35E3653D" w:rsidR="00A16DDB" w:rsidRPr="00E8445A" w:rsidRDefault="00A16DDB" w:rsidP="00E8445A">
      <w:pPr>
        <w:pStyle w:val="Nadpis2"/>
      </w:pPr>
      <w:bookmarkStart w:id="394" w:name="_Toc23509870"/>
      <w:bookmarkStart w:id="395" w:name="_Toc76137374"/>
      <w:bookmarkStart w:id="396" w:name="_Toc76637573"/>
      <w:bookmarkStart w:id="397" w:name="_Toc80953252"/>
      <w:bookmarkStart w:id="398" w:name="_Toc81739208"/>
      <w:r w:rsidRPr="00E8445A">
        <w:t>Míra řešení ve stávající SZP (úspěšnost/neúspěšnost)</w:t>
      </w:r>
      <w:bookmarkEnd w:id="394"/>
      <w:bookmarkEnd w:id="395"/>
      <w:bookmarkEnd w:id="396"/>
      <w:bookmarkEnd w:id="397"/>
      <w:bookmarkEnd w:id="398"/>
    </w:p>
    <w:p w14:paraId="733100F7" w14:textId="77777777" w:rsidR="00A16DDB" w:rsidRPr="00D95127" w:rsidRDefault="00A16DDB" w:rsidP="00F46382">
      <w:pPr>
        <w:pStyle w:val="UZEINormaln"/>
        <w:rPr>
          <w:rFonts w:cs="Times New Roman"/>
        </w:rPr>
      </w:pPr>
      <w:r w:rsidRPr="00D95127">
        <w:t xml:space="preserve">V případě cukrové řepy pobírali pěstitelé po celou dobu sledovaného období 2011-2020 platby SAPS, a dále Top-Up, kterou pobírali v roce 2012. Od roku 2013-2020 navazovala přechodná vnitrostátní podpora. Zásadní a nejvyšší podporou byla v letech 2011-2014 oddělená platba za cukr v rozpětí 24 674 Kč/ha (343,6 Kč/t) až 29 223 Kč/ha (382,3 Kč/t). Tato sazba není od roku 2015 plně kompenzována. V celém období 2011-2020 mohli pěstitelé řepy využít podpory na pojistné do rostlinné výroby a </w:t>
      </w:r>
      <w:r w:rsidRPr="00D95127">
        <w:rPr>
          <w:rStyle w:val="small"/>
          <w:rFonts w:cs="Times New Roman"/>
        </w:rPr>
        <w:t>vratky spotřební daně na zelenou naftu. Podpora na snížení škod způsobené suchem byla vyplacena poškozeným pěstitelům v roce 2015, 2017 a 2018. V roce 2018 se jednalo o nejvyšší částku, a to 4 330,53 Kč/ha. Poprvé byly vyplaceny finanční prostředky nový dotační titul 3.k na likvidaci plevelné řepy mechanickou cestou 1 103,28 Kč/ha.</w:t>
      </w:r>
    </w:p>
    <w:p w14:paraId="39FEE7D6" w14:textId="77777777" w:rsidR="00A16DDB" w:rsidRPr="00D95127" w:rsidRDefault="00A16DDB" w:rsidP="00F46382">
      <w:pPr>
        <w:pStyle w:val="UZEINormaln"/>
        <w:rPr>
          <w:rFonts w:cs="Times New Roman"/>
        </w:rPr>
      </w:pPr>
      <w:r w:rsidRPr="00D95127">
        <w:t xml:space="preserve">VCS dosahuje přibližně pouze třetinové výše. Tato skutečnost se významně odrazila v souhrnné rentabilitě pěstování cukrové řepy. Nejvíce je to vidět v letech, kdy bylo dosaženo nižších hektarových výnosů (2013, 2018 a 2020) a výrazně poklesly ceny cukru. </w:t>
      </w:r>
    </w:p>
    <w:p w14:paraId="0310C9FF" w14:textId="77777777" w:rsidR="00A16DDB" w:rsidRPr="00D95127" w:rsidRDefault="00A16DDB" w:rsidP="00F46382">
      <w:pPr>
        <w:pStyle w:val="UZEINormaln"/>
        <w:rPr>
          <w:rFonts w:cs="Times New Roman"/>
        </w:rPr>
      </w:pPr>
      <w:r w:rsidRPr="00D95127">
        <w:t>Výhled není příliš optimistický, poslední tři roky (2018-2020) objem výroby cukru klesal z důvodu nižších výnosů cukrové řepy a nižšího výnosu čistého cukru z hektaru (Ø 10,2 t//ha) doprovázený nízkou cenou cukru. I přes chladné jaro 2021 se očekává zlepšení dosavadního stavu, v opačném případě by se deficit výroby cukru dále snižoval a ekonomika cukrové řepy by se zhoršila.</w:t>
      </w:r>
    </w:p>
    <w:p w14:paraId="506E8B3B" w14:textId="25B7C733" w:rsidR="00A16DDB" w:rsidRPr="00F46382" w:rsidRDefault="00A16DDB" w:rsidP="00F46382">
      <w:pPr>
        <w:pStyle w:val="UZEINormaln"/>
      </w:pPr>
      <w:r w:rsidRPr="00D95127">
        <w:t>Podle dosavadních výsledků se ukazuje oprávněnost podpory pěstování cukrové řepy. V případě, že by se cena cukru v nejbližším období nezvýšila, bude třeba k udržení cukrovarnického sektoru použít jiné druhy podpor.</w:t>
      </w:r>
    </w:p>
    <w:p w14:paraId="3BE04973" w14:textId="099093DD" w:rsidR="00A16DDB" w:rsidRPr="00D95127" w:rsidRDefault="00A16DDB" w:rsidP="00F46382">
      <w:pPr>
        <w:pStyle w:val="UZEITaB"/>
        <w:rPr>
          <w:rFonts w:cs="Times New Roman"/>
          <w:szCs w:val="24"/>
        </w:rPr>
      </w:pPr>
      <w:bookmarkStart w:id="399" w:name="_Toc81738460"/>
      <w:r w:rsidRPr="00D95127">
        <w:t>Dotační podpory cukrové řepy 2011-2020</w:t>
      </w:r>
      <w:bookmarkEnd w:id="399"/>
    </w:p>
    <w:p w14:paraId="266E93A6" w14:textId="77777777" w:rsidR="00A16DDB" w:rsidRPr="00D95127" w:rsidRDefault="00A16DDB" w:rsidP="00A16DDB">
      <w:pPr>
        <w:rPr>
          <w:rFonts w:cs="Times New Roman"/>
          <w:szCs w:val="24"/>
          <w:lang w:val="cs-CZ"/>
        </w:rPr>
      </w:pPr>
      <w:r w:rsidRPr="00D95127">
        <w:rPr>
          <w:rFonts w:cs="Times New Roman"/>
          <w:noProof/>
          <w:lang w:val="cs-CZ"/>
        </w:rPr>
        <w:drawing>
          <wp:inline distT="0" distB="0" distL="0" distR="0" wp14:anchorId="10FAD620" wp14:editId="01F547AB">
            <wp:extent cx="6267009" cy="2488759"/>
            <wp:effectExtent l="0" t="0" r="635" b="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286267" cy="2496407"/>
                    </a:xfrm>
                    <a:prstGeom prst="rect">
                      <a:avLst/>
                    </a:prstGeom>
                    <a:noFill/>
                    <a:ln>
                      <a:noFill/>
                    </a:ln>
                  </pic:spPr>
                </pic:pic>
              </a:graphicData>
            </a:graphic>
          </wp:inline>
        </w:drawing>
      </w:r>
    </w:p>
    <w:p w14:paraId="7B231D18" w14:textId="77777777" w:rsidR="00A16DDB" w:rsidRPr="00D95127" w:rsidRDefault="00A16DDB" w:rsidP="004D11CD">
      <w:pPr>
        <w:pStyle w:val="UZEIZdroj"/>
        <w:rPr>
          <w:i w:val="0"/>
          <w:sz w:val="16"/>
          <w:szCs w:val="16"/>
        </w:rPr>
      </w:pPr>
      <w:r w:rsidRPr="004D11CD">
        <w:rPr>
          <w:szCs w:val="20"/>
        </w:rPr>
        <w:t>Zdroj: ÚZEI, vlastní výpočty</w:t>
      </w:r>
    </w:p>
    <w:p w14:paraId="0D20211A" w14:textId="77777777" w:rsidR="00A16DDB" w:rsidRPr="00D95127" w:rsidRDefault="00A16DDB" w:rsidP="00A16DDB">
      <w:pPr>
        <w:ind w:firstLine="709"/>
        <w:rPr>
          <w:rFonts w:cs="Times New Roman"/>
          <w:szCs w:val="24"/>
          <w:lang w:val="cs-CZ"/>
        </w:rPr>
      </w:pPr>
    </w:p>
    <w:p w14:paraId="04915A00" w14:textId="77777777" w:rsidR="004D11CD" w:rsidRDefault="004D11CD">
      <w:pPr>
        <w:spacing w:after="160" w:line="259" w:lineRule="auto"/>
        <w:jc w:val="left"/>
        <w:rPr>
          <w:rFonts w:eastAsia="Times New Roman" w:cs="Arial"/>
          <w:b/>
          <w:sz w:val="20"/>
          <w:szCs w:val="20"/>
          <w:lang w:val="cs-CZ" w:eastAsia="cs-CZ"/>
        </w:rPr>
      </w:pPr>
      <w:r>
        <w:br w:type="page"/>
      </w:r>
    </w:p>
    <w:p w14:paraId="24A28DD5" w14:textId="0755E07A" w:rsidR="00A16DDB" w:rsidRPr="00D95127" w:rsidRDefault="00A16DDB" w:rsidP="004D11CD">
      <w:pPr>
        <w:pStyle w:val="UZEIGraf"/>
      </w:pPr>
      <w:bookmarkStart w:id="400" w:name="_Toc81738787"/>
      <w:r w:rsidRPr="00D95127">
        <w:t>Vývoj struktury provozních podpor u komodity cukrová řepa</w:t>
      </w:r>
      <w:bookmarkEnd w:id="400"/>
    </w:p>
    <w:p w14:paraId="0B27DE61" w14:textId="77777777" w:rsidR="00A16DDB" w:rsidRPr="00D95127" w:rsidRDefault="00A16DDB" w:rsidP="00A16DDB">
      <w:pPr>
        <w:rPr>
          <w:rFonts w:cs="Times New Roman"/>
          <w:szCs w:val="24"/>
          <w:lang w:val="cs-CZ"/>
        </w:rPr>
      </w:pPr>
      <w:r w:rsidRPr="00D95127">
        <w:rPr>
          <w:rFonts w:cs="Times New Roman"/>
          <w:noProof/>
          <w:lang w:val="cs-CZ"/>
        </w:rPr>
        <w:drawing>
          <wp:inline distT="0" distB="0" distL="0" distR="0" wp14:anchorId="39CB2DE2" wp14:editId="42AC0AE0">
            <wp:extent cx="5760720" cy="3341370"/>
            <wp:effectExtent l="0" t="0" r="0"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60720" cy="3341370"/>
                    </a:xfrm>
                    <a:prstGeom prst="rect">
                      <a:avLst/>
                    </a:prstGeom>
                    <a:noFill/>
                    <a:ln>
                      <a:noFill/>
                    </a:ln>
                  </pic:spPr>
                </pic:pic>
              </a:graphicData>
            </a:graphic>
          </wp:inline>
        </w:drawing>
      </w:r>
    </w:p>
    <w:p w14:paraId="138AD2FB" w14:textId="77777777" w:rsidR="00A16DDB" w:rsidRPr="00D95127" w:rsidRDefault="00A16DDB" w:rsidP="004D11CD">
      <w:pPr>
        <w:pStyle w:val="UZEIZdroj"/>
        <w:rPr>
          <w:i w:val="0"/>
          <w:color w:val="FF0000"/>
        </w:rPr>
      </w:pPr>
      <w:r w:rsidRPr="00D95127">
        <w:t xml:space="preserve">Zdroj: ÚZEI, </w:t>
      </w:r>
      <w:r w:rsidRPr="00D95127">
        <w:rPr>
          <w:u w:val="single"/>
        </w:rPr>
        <w:t>vlastní výpočty</w:t>
      </w:r>
    </w:p>
    <w:p w14:paraId="4FCCB34F" w14:textId="77777777" w:rsidR="00A16DDB" w:rsidRPr="00D95127" w:rsidRDefault="00A16DDB" w:rsidP="00A16DDB">
      <w:pPr>
        <w:rPr>
          <w:rFonts w:eastAsia="Times New Roman" w:cs="Times New Roman"/>
          <w:i/>
          <w:color w:val="FF0000"/>
          <w:szCs w:val="24"/>
          <w:vertAlign w:val="superscript"/>
          <w:lang w:val="cs-CZ"/>
        </w:rPr>
      </w:pPr>
    </w:p>
    <w:p w14:paraId="7B07CC84" w14:textId="77777777" w:rsidR="00A16DDB" w:rsidRPr="00E8445A" w:rsidRDefault="00A16DDB" w:rsidP="008364F7">
      <w:pPr>
        <w:pStyle w:val="UZEINormaln"/>
        <w:rPr>
          <w:rFonts w:cs="Times New Roman"/>
        </w:rPr>
      </w:pPr>
      <w:r w:rsidRPr="00E8445A">
        <w:t xml:space="preserve">V případě pěstitelů cukrové řepy byly podpořeny investice </w:t>
      </w:r>
      <w:r w:rsidRPr="00E8445A">
        <w:rPr>
          <w:rFonts w:cs="Times New Roman"/>
        </w:rPr>
        <w:t>v rámci opatření M121 v celkovém rozsahu 338 mil. Kč podpořených investic s celkovou podporou 104 mil. Kč a z opatření 4.1.1 – Investice do zemědělských podniků 2014–2020 o celkovém počtu 74 projektů v celkovém rozsahu 119 mil. Kč podpořených investic s celkovou podporou 49 mil. Kč vyplacených do roku 2018.</w:t>
      </w:r>
    </w:p>
    <w:p w14:paraId="753DD697" w14:textId="77777777" w:rsidR="00A16DDB" w:rsidRPr="00E8445A" w:rsidRDefault="00A16DDB" w:rsidP="00E8445A">
      <w:pPr>
        <w:pStyle w:val="Nadpis2"/>
      </w:pPr>
      <w:bookmarkStart w:id="401" w:name="_Toc23509871"/>
      <w:bookmarkStart w:id="402" w:name="_Toc76137375"/>
      <w:bookmarkStart w:id="403" w:name="_Toc76637574"/>
      <w:bookmarkStart w:id="404" w:name="_Toc80953253"/>
      <w:bookmarkStart w:id="405" w:name="_Toc81739209"/>
      <w:r w:rsidRPr="00E8445A">
        <w:t>Míra současného řešení problému jinými politikami</w:t>
      </w:r>
      <w:bookmarkEnd w:id="401"/>
      <w:bookmarkEnd w:id="402"/>
      <w:bookmarkEnd w:id="403"/>
      <w:bookmarkEnd w:id="404"/>
      <w:bookmarkEnd w:id="405"/>
    </w:p>
    <w:p w14:paraId="605E5BC2" w14:textId="77777777" w:rsidR="00A16DDB" w:rsidRPr="00D95127" w:rsidRDefault="00A16DDB" w:rsidP="00234921">
      <w:pPr>
        <w:pStyle w:val="UZEINormaln"/>
        <w:rPr>
          <w:rFonts w:cs="Times New Roman"/>
        </w:rPr>
      </w:pPr>
      <w:r w:rsidRPr="00D95127">
        <w:t xml:space="preserve">Příjmové podpory v rámci SZP jsou doplněny podporami provozního nebo investičního charakteru z národních zdrojů, a to v podobně dlouhodobých programů nebo mimořádných plateb. Vzhledem k výkyvům počasí to byla v letech 2015, 2017 a 2018 vyplacená mimořádná podpora na zmírnění škod způsobených suchem, v roce 2020 byla realizována podpora na likvidaci plevelné řepy nechemickou cestou. Mezi další pravidelně vyplácené provozní podpory, které jsou méně významné z hlediska jejich výše, patří podpory na pojištění na ha z. p. a </w:t>
      </w:r>
      <w:r w:rsidRPr="00D95127">
        <w:rPr>
          <w:rStyle w:val="small"/>
          <w:rFonts w:cs="Times New Roman"/>
        </w:rPr>
        <w:t>vratky spotřební daně na zelenou naftu</w:t>
      </w:r>
      <w:r w:rsidRPr="00D95127">
        <w:rPr>
          <w:rFonts w:cs="Times New Roman"/>
        </w:rPr>
        <w:t>.</w:t>
      </w:r>
    </w:p>
    <w:p w14:paraId="478F2663" w14:textId="77777777" w:rsidR="00E8445A" w:rsidRDefault="00E8445A">
      <w:pPr>
        <w:spacing w:after="160" w:line="259" w:lineRule="auto"/>
        <w:jc w:val="left"/>
        <w:rPr>
          <w:rFonts w:eastAsiaTheme="majorEastAsia" w:cs="Times New Roman"/>
          <w:b/>
          <w:bCs/>
          <w:sz w:val="28"/>
          <w:szCs w:val="32"/>
          <w:lang w:val="cs-CZ"/>
        </w:rPr>
      </w:pPr>
      <w:bookmarkStart w:id="406" w:name="_Toc76137376"/>
      <w:bookmarkStart w:id="407" w:name="_Toc76637575"/>
      <w:bookmarkStart w:id="408" w:name="_Toc80953254"/>
      <w:r>
        <w:br w:type="page"/>
      </w:r>
    </w:p>
    <w:p w14:paraId="1EF319E3" w14:textId="4F032AD6" w:rsidR="00A16DDB" w:rsidRPr="00D95127" w:rsidRDefault="00A16DDB" w:rsidP="008364F7">
      <w:pPr>
        <w:pStyle w:val="Nadpis1"/>
      </w:pPr>
      <w:bookmarkStart w:id="409" w:name="_Toc81739210"/>
      <w:r w:rsidRPr="00D95127">
        <w:t>Existence/neexistence možnosti efektivního řešení v rámci nástrojů SZP, které lze uvažovat v nových návrzích SZP</w:t>
      </w:r>
      <w:bookmarkEnd w:id="406"/>
      <w:bookmarkEnd w:id="407"/>
      <w:bookmarkEnd w:id="408"/>
      <w:bookmarkEnd w:id="409"/>
    </w:p>
    <w:p w14:paraId="6F34EF55" w14:textId="77777777" w:rsidR="00A16DDB" w:rsidRPr="00D95127" w:rsidRDefault="00A16DDB" w:rsidP="00234921">
      <w:pPr>
        <w:pStyle w:val="UZEINormaln"/>
        <w:rPr>
          <w:rFonts w:cs="Times New Roman"/>
        </w:rPr>
      </w:pPr>
      <w:r w:rsidRPr="00D95127">
        <w:t>Rentabilita pěstování cukrové řepy bez podpor je dlouhodobě na nízké úrovni, vliv poskytovaných podpor je zásadní. Prokázalo se, jak důležitá je VCS pro cukrovarnický sektor. Výrazné zhoršení rentability nastalo po roce 2015, kdy bylo ukončeno vyplácení oddělené platby na tunu cukru. Dalším negativním dopadem pro pěstitele i výrobce cukru bylo ukončení kvótového režimu v roce 2017, kdy nadprodukce cukru výrazně snížila jeho cenu. Tento jev, provázený nedostatkem vláhy a snižujícími se výnosy bulev, zkomplikovala ekonomiku pěstování cukrové řepy a výrobu cukru. V roce 2017 a 2018 byly podpory na hektar v průměru vyšší, promítla se tam mimořádná dotace na sucho, ale ne u všech pěstitelů. Proto i predikce bere tento rok jako výjimečný z hlediska výše podpor na hektar. V projekci je zohledněn pokles CZV cukrové řepy z důvodu nízké ceny cukru, náklady by se mohly udržet mírně pod 60 000 Kč/ha. Otázkou je, jak se promítnou jiná omezení v pěstování cukrové řepy (oblast POR, pracovní náklady aj.). Důležitým faktorem na růst hektarových výnosů v pěstování okopanin je dostatek vláhy, protierozní technologie. Jako problém vidí pěstitelé omezení či zákaz některých druhů POR, které nejsou dostatečně nahrazovány. Některé přípravky vhodné k použití jsou registrované v okolních zemích, avšak v ČR dosud ne (platí i pro brambory).</w:t>
      </w:r>
    </w:p>
    <w:p w14:paraId="5CCE6FDC" w14:textId="77777777" w:rsidR="00A16DDB" w:rsidRPr="00D95127" w:rsidRDefault="00A16DDB" w:rsidP="00234921">
      <w:pPr>
        <w:pStyle w:val="UZEINormaln"/>
        <w:rPr>
          <w:rFonts w:cs="Times New Roman"/>
        </w:rPr>
      </w:pPr>
      <w:r w:rsidRPr="00D95127">
        <w:t>Z analýzy na základě dat FADN CZ za roky 2015-2017 vyplývá, že ukazatele příjmové situace u podniků se zastoupením tržeb z brambor a cukrové řepy v rozsahu tržeb vyšších jak 20 %, vykazují u brambor střední míru citlivosti a u cukrové řepy míru vyšší ve srovnání s ovocem a chmelem. Je zřejmé, že v případě neposkytnutí platby CIS, se dostane tento typ podniku do ztráty. Nastavení celkové výše CIS na citlivé komodity bude předmětem jednání.</w:t>
      </w:r>
    </w:p>
    <w:p w14:paraId="76A63EFC" w14:textId="014B3487" w:rsidR="00A16DDB" w:rsidRPr="00E8445A" w:rsidRDefault="00A16DDB" w:rsidP="00E8445A">
      <w:pPr>
        <w:pStyle w:val="UZEITaB"/>
      </w:pPr>
      <w:bookmarkStart w:id="410" w:name="_Toc81738461"/>
      <w:r w:rsidRPr="00E8445A">
        <w:t>Ekonomika pěstování cukrové řepy v letech 2011-2020 s výhledem do roku 2030</w:t>
      </w:r>
      <w:bookmarkEnd w:id="410"/>
    </w:p>
    <w:p w14:paraId="62CB313F" w14:textId="61F4B019" w:rsidR="00A16DDB" w:rsidRPr="00D95127" w:rsidRDefault="00A16DDB" w:rsidP="00A16DDB">
      <w:pPr>
        <w:spacing w:after="60"/>
        <w:rPr>
          <w:rFonts w:cs="Times New Roman"/>
          <w:i/>
          <w:szCs w:val="24"/>
          <w:lang w:val="cs-CZ"/>
        </w:rPr>
      </w:pPr>
      <w:r w:rsidRPr="00D95127">
        <w:rPr>
          <w:rFonts w:cs="Times New Roman"/>
          <w:noProof/>
          <w:lang w:val="cs-CZ"/>
        </w:rPr>
        <w:drawing>
          <wp:inline distT="0" distB="0" distL="0" distR="0" wp14:anchorId="06B47452" wp14:editId="53DF23D0">
            <wp:extent cx="5760720" cy="1193165"/>
            <wp:effectExtent l="0" t="0" r="0" b="698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60720" cy="1193165"/>
                    </a:xfrm>
                    <a:prstGeom prst="rect">
                      <a:avLst/>
                    </a:prstGeom>
                    <a:noFill/>
                    <a:ln>
                      <a:noFill/>
                    </a:ln>
                  </pic:spPr>
                </pic:pic>
              </a:graphicData>
            </a:graphic>
          </wp:inline>
        </w:drawing>
      </w:r>
    </w:p>
    <w:p w14:paraId="282D26B7" w14:textId="77777777" w:rsidR="00A16DDB" w:rsidRPr="00D95127" w:rsidRDefault="00A16DDB" w:rsidP="00234921">
      <w:pPr>
        <w:pStyle w:val="UZEIZdroj"/>
        <w:rPr>
          <w:i w:val="0"/>
        </w:rPr>
      </w:pPr>
      <w:r w:rsidRPr="00D95127">
        <w:t>Zdroj: Výsledky Výběrového šetření o nákladech a výnosech zemědělských výrobků a vlastní výpočty ÚZEI</w:t>
      </w:r>
    </w:p>
    <w:p w14:paraId="6732F260" w14:textId="59C08B37" w:rsidR="00A16DDB" w:rsidRDefault="00A16DDB" w:rsidP="00234921">
      <w:pPr>
        <w:pStyle w:val="UZEIZdroj"/>
        <w:rPr>
          <w:szCs w:val="20"/>
        </w:rPr>
      </w:pPr>
      <w:r w:rsidRPr="00D95127">
        <w:rPr>
          <w:szCs w:val="20"/>
        </w:rPr>
        <w:t>Pozn.: Způsob provedení predikce je uveden v příloze I.</w:t>
      </w:r>
    </w:p>
    <w:p w14:paraId="4AA9A25C" w14:textId="68C6740B" w:rsidR="00E8445A" w:rsidRDefault="00E8445A" w:rsidP="00234921">
      <w:pPr>
        <w:pStyle w:val="UZEIZdroj"/>
        <w:rPr>
          <w:szCs w:val="20"/>
        </w:rPr>
      </w:pPr>
    </w:p>
    <w:p w14:paraId="205EB4EC" w14:textId="6C4F7CED" w:rsidR="00E8445A" w:rsidRDefault="00E8445A" w:rsidP="00234921">
      <w:pPr>
        <w:pStyle w:val="UZEIZdroj"/>
        <w:rPr>
          <w:szCs w:val="20"/>
        </w:rPr>
      </w:pPr>
    </w:p>
    <w:p w14:paraId="40787CF8" w14:textId="695F0D15" w:rsidR="00E8445A" w:rsidRDefault="00E8445A" w:rsidP="00234921">
      <w:pPr>
        <w:pStyle w:val="UZEIZdroj"/>
        <w:rPr>
          <w:szCs w:val="20"/>
        </w:rPr>
      </w:pPr>
    </w:p>
    <w:p w14:paraId="7E85DA68" w14:textId="7018CAAE" w:rsidR="00E8445A" w:rsidRDefault="00E8445A" w:rsidP="00234921">
      <w:pPr>
        <w:pStyle w:val="UZEIZdroj"/>
        <w:rPr>
          <w:szCs w:val="20"/>
        </w:rPr>
      </w:pPr>
    </w:p>
    <w:p w14:paraId="02245BA4" w14:textId="47DC61BE" w:rsidR="00E8445A" w:rsidRDefault="00E8445A" w:rsidP="00234921">
      <w:pPr>
        <w:pStyle w:val="UZEIZdroj"/>
        <w:rPr>
          <w:szCs w:val="20"/>
        </w:rPr>
      </w:pPr>
    </w:p>
    <w:p w14:paraId="6C9E9495" w14:textId="1AB711D1" w:rsidR="00E8445A" w:rsidRDefault="00E8445A" w:rsidP="00234921">
      <w:pPr>
        <w:pStyle w:val="UZEIZdroj"/>
        <w:rPr>
          <w:szCs w:val="20"/>
        </w:rPr>
      </w:pPr>
    </w:p>
    <w:p w14:paraId="7C3331CC" w14:textId="530A6C20" w:rsidR="00E8445A" w:rsidRDefault="00E8445A" w:rsidP="00234921">
      <w:pPr>
        <w:pStyle w:val="UZEIZdroj"/>
        <w:rPr>
          <w:szCs w:val="20"/>
        </w:rPr>
      </w:pPr>
    </w:p>
    <w:p w14:paraId="51E2DBC5" w14:textId="0715EDBC" w:rsidR="00E8445A" w:rsidRDefault="00E8445A" w:rsidP="00234921">
      <w:pPr>
        <w:pStyle w:val="UZEIZdroj"/>
        <w:rPr>
          <w:szCs w:val="20"/>
        </w:rPr>
      </w:pPr>
    </w:p>
    <w:p w14:paraId="6F4DFE9D" w14:textId="1E2DCB84" w:rsidR="00E8445A" w:rsidRDefault="00E8445A" w:rsidP="00234921">
      <w:pPr>
        <w:pStyle w:val="UZEIZdroj"/>
        <w:rPr>
          <w:szCs w:val="20"/>
        </w:rPr>
      </w:pPr>
    </w:p>
    <w:p w14:paraId="5DE551CE" w14:textId="41803749" w:rsidR="00E8445A" w:rsidRDefault="00E8445A" w:rsidP="00234921">
      <w:pPr>
        <w:pStyle w:val="UZEIZdroj"/>
        <w:rPr>
          <w:szCs w:val="20"/>
        </w:rPr>
      </w:pPr>
    </w:p>
    <w:p w14:paraId="6ED5B120" w14:textId="16F90F04" w:rsidR="00E8445A" w:rsidRDefault="00E8445A" w:rsidP="00234921">
      <w:pPr>
        <w:pStyle w:val="UZEIZdroj"/>
        <w:rPr>
          <w:szCs w:val="20"/>
        </w:rPr>
      </w:pPr>
    </w:p>
    <w:p w14:paraId="6BC1BFA0" w14:textId="77777777" w:rsidR="00E8445A" w:rsidRPr="00D95127" w:rsidRDefault="00E8445A" w:rsidP="00234921">
      <w:pPr>
        <w:pStyle w:val="UZEIZdroj"/>
        <w:rPr>
          <w:i w:val="0"/>
          <w:szCs w:val="20"/>
        </w:rPr>
      </w:pPr>
    </w:p>
    <w:p w14:paraId="3384AACA" w14:textId="7C5FF068" w:rsidR="00A16DDB" w:rsidRPr="00D95127" w:rsidRDefault="00A16DDB" w:rsidP="00234921">
      <w:pPr>
        <w:pStyle w:val="UZEITaB"/>
      </w:pPr>
      <w:bookmarkStart w:id="411" w:name="_Toc81738462"/>
      <w:r w:rsidRPr="00D95127">
        <w:t>Strukturální charakteristiky podniků s citlivými komoditami a vyhodnocení citlivosti příjmových indikátorů na eliminaci VCS podpory</w:t>
      </w:r>
      <w:bookmarkEnd w:id="411"/>
    </w:p>
    <w:p w14:paraId="0398C55A" w14:textId="77777777" w:rsidR="00A16DDB" w:rsidRPr="00D95127" w:rsidRDefault="00A16DDB" w:rsidP="00A16DDB">
      <w:pPr>
        <w:rPr>
          <w:rFonts w:cs="Times New Roman"/>
          <w:i/>
          <w:noProof/>
          <w:szCs w:val="24"/>
          <w:lang w:val="cs-CZ"/>
        </w:rPr>
      </w:pPr>
      <w:r w:rsidRPr="00D95127">
        <w:rPr>
          <w:rFonts w:cs="Times New Roman"/>
          <w:noProof/>
          <w:szCs w:val="24"/>
          <w:lang w:val="cs-CZ" w:eastAsia="cs-CZ"/>
        </w:rPr>
        <w:drawing>
          <wp:inline distT="0" distB="0" distL="0" distR="0" wp14:anchorId="326DBAFB" wp14:editId="36AAEF8C">
            <wp:extent cx="5756910" cy="3530600"/>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56910" cy="3530600"/>
                    </a:xfrm>
                    <a:prstGeom prst="rect">
                      <a:avLst/>
                    </a:prstGeom>
                    <a:noFill/>
                    <a:ln>
                      <a:noFill/>
                    </a:ln>
                  </pic:spPr>
                </pic:pic>
              </a:graphicData>
            </a:graphic>
          </wp:inline>
        </w:drawing>
      </w:r>
    </w:p>
    <w:p w14:paraId="16D7C97E" w14:textId="77777777" w:rsidR="00A16DDB" w:rsidRPr="00D95127" w:rsidRDefault="00A16DDB" w:rsidP="00234921">
      <w:pPr>
        <w:pStyle w:val="UZEIZdroj"/>
        <w:rPr>
          <w:i w:val="0"/>
        </w:rPr>
      </w:pPr>
      <w:r w:rsidRPr="00D95127">
        <w:t>Zdroj: FADN CZ</w:t>
      </w:r>
    </w:p>
    <w:p w14:paraId="6F59984C" w14:textId="77777777" w:rsidR="00A16DDB" w:rsidRPr="00D95127" w:rsidRDefault="00A16DDB" w:rsidP="00234921">
      <w:pPr>
        <w:pStyle w:val="UZEINormaln"/>
        <w:rPr>
          <w:rFonts w:cs="Times New Roman"/>
        </w:rPr>
      </w:pPr>
      <w:r w:rsidRPr="00D95127">
        <w:t>Konkrétní nastavení výše podpory CIS bude předmětem dalších analýz zohledňující scénáře vývoje ostatních politik v rámci celého komplexu podpor SZP.</w:t>
      </w:r>
    </w:p>
    <w:p w14:paraId="5B349E48" w14:textId="77777777" w:rsidR="00A16DDB" w:rsidRPr="00D95127" w:rsidRDefault="00A16DDB" w:rsidP="00234921">
      <w:pPr>
        <w:pStyle w:val="UZEINormaln"/>
        <w:rPr>
          <w:rFonts w:cs="Times New Roman"/>
        </w:rPr>
      </w:pPr>
      <w:r w:rsidRPr="00D95127">
        <w:t xml:space="preserve">V tabulkách „Teorie změny“ jsou naznačeny hlavní okruhy problémů, jejich příčin, potřebných změn a navržených intervencí v cukrovarnickém sektoru. Příležitost pro okopaniny je možnost využití nově navržených odvětvových intervencí. Podmínkou je založení a schválení organizací producentů a jejich operačních programů. Nutná podmínka vzniku OP je založení provozního fondu finančních prostředků členů OP, které budou vzájemně sdíleny. </w:t>
      </w:r>
    </w:p>
    <w:p w14:paraId="0CA927F8" w14:textId="77777777" w:rsidR="00A16DDB" w:rsidRPr="00D95127" w:rsidRDefault="00A16DDB" w:rsidP="00234921">
      <w:pPr>
        <w:pStyle w:val="UZEINormaln"/>
        <w:rPr>
          <w:rFonts w:cs="Times New Roman"/>
          <w:noProof/>
        </w:rPr>
      </w:pPr>
      <w:r w:rsidRPr="00D95127">
        <w:t xml:space="preserve">Je možné využít z nabízených odvětvových intervencí, které by zmírnily rizika uvedená v teorii změny (Návrh nařízení čl. 59, 60). Z široké škály možností se nabízí dle Návrhu nařízení dle </w:t>
      </w:r>
      <w:r w:rsidRPr="00D95127">
        <w:rPr>
          <w:rFonts w:cs="Times New Roman"/>
          <w:noProof/>
        </w:rPr>
        <w:t>čl. 39 písm. f) ostatní odvětví.</w:t>
      </w:r>
    </w:p>
    <w:p w14:paraId="506F1994" w14:textId="13032CAC" w:rsidR="00A16DDB" w:rsidRPr="00D95127" w:rsidRDefault="00A16DDB" w:rsidP="00234921">
      <w:pPr>
        <w:pStyle w:val="UZEINormaln"/>
        <w:rPr>
          <w:rFonts w:cs="Times New Roman"/>
        </w:rPr>
      </w:pPr>
      <w:r w:rsidRPr="00D95127">
        <w:t xml:space="preserve">Zástupci svazů nepředpokládají výrazný zájem o odvětvové intervence. </w:t>
      </w:r>
    </w:p>
    <w:p w14:paraId="51351D5A" w14:textId="77777777" w:rsidR="00A16DDB" w:rsidRPr="00D95127" w:rsidRDefault="00A16DDB" w:rsidP="00234921">
      <w:pPr>
        <w:pStyle w:val="UZEINormaln"/>
        <w:rPr>
          <w:rFonts w:cs="Times New Roman"/>
        </w:rPr>
      </w:pPr>
      <w:r w:rsidRPr="00D95127">
        <w:t xml:space="preserve">V případě komodity cukrová řepa by </w:t>
      </w:r>
      <w:r w:rsidRPr="00D95127">
        <w:rPr>
          <w:rFonts w:cs="Times New Roman"/>
        </w:rPr>
        <w:t>bylo možné potencionálně využít tyto typy intervencí:</w:t>
      </w:r>
    </w:p>
    <w:p w14:paraId="7DB3F6AF" w14:textId="77777777" w:rsidR="00A16DDB" w:rsidRPr="00D95127" w:rsidRDefault="00A16DDB" w:rsidP="00234921">
      <w:pPr>
        <w:pStyle w:val="UZEIOdrky"/>
        <w:rPr>
          <w:rFonts w:cs="Times New Roman"/>
          <w:noProof/>
        </w:rPr>
      </w:pPr>
      <w:r w:rsidRPr="00D95127">
        <w:t xml:space="preserve">čl. 60, 1.a) </w:t>
      </w:r>
      <w:r w:rsidRPr="00D95127">
        <w:rPr>
          <w:rFonts w:cs="Times New Roman"/>
          <w:noProof/>
        </w:rPr>
        <w:t xml:space="preserve">investice do hmotných a nehmotných aktiv; výzkum a experimentální výroba, jakož i jiná opatření, </w:t>
      </w:r>
    </w:p>
    <w:p w14:paraId="7C0B947A" w14:textId="77777777" w:rsidR="00A16DDB" w:rsidRPr="00D95127" w:rsidRDefault="00A16DDB" w:rsidP="00234921">
      <w:pPr>
        <w:pStyle w:val="UZEIOdrky"/>
        <w:rPr>
          <w:rFonts w:cs="Times New Roman"/>
        </w:rPr>
      </w:pPr>
      <w:r w:rsidRPr="00D95127">
        <w:t>čl. 60, 1.b) poradenské služby a technická pomoc, zejména pokud jde o přizpůsobování se změně klimatu a její zmírňování</w:t>
      </w:r>
    </w:p>
    <w:p w14:paraId="634C04BA" w14:textId="77777777" w:rsidR="00A16DDB" w:rsidRPr="00D95127" w:rsidRDefault="00A16DDB" w:rsidP="00234921">
      <w:pPr>
        <w:pStyle w:val="UZEIOdrky"/>
        <w:rPr>
          <w:rFonts w:cs="Times New Roman"/>
        </w:rPr>
      </w:pPr>
      <w:r w:rsidRPr="00D95127">
        <w:t>čl. 60, 1.e) opatření ke zvýšení udržitelnosti a účinnosti přepravy a skladování produktů jednoho nebo více odvětví uvedených v čl. 40 písm. f)</w:t>
      </w:r>
    </w:p>
    <w:p w14:paraId="1B2B2B54" w14:textId="77777777" w:rsidR="00A16DDB" w:rsidRPr="00234921" w:rsidRDefault="00A16DDB" w:rsidP="00234921">
      <w:pPr>
        <w:pStyle w:val="UZEIOdrky"/>
        <w:numPr>
          <w:ilvl w:val="0"/>
          <w:numId w:val="0"/>
        </w:numPr>
        <w:ind w:left="720"/>
      </w:pPr>
    </w:p>
    <w:p w14:paraId="6229FF2B" w14:textId="77777777" w:rsidR="00A16DDB" w:rsidRPr="00D95127" w:rsidRDefault="00A16DDB" w:rsidP="00A16DDB">
      <w:pPr>
        <w:rPr>
          <w:rFonts w:cs="Times New Roman"/>
          <w:szCs w:val="24"/>
          <w:lang w:val="cs-CZ"/>
        </w:rPr>
      </w:pPr>
    </w:p>
    <w:p w14:paraId="002F03AB" w14:textId="77777777" w:rsidR="00A16DDB" w:rsidRPr="00D95127" w:rsidRDefault="00A16DDB" w:rsidP="00A16DDB">
      <w:pPr>
        <w:rPr>
          <w:rFonts w:cs="Times New Roman"/>
          <w:szCs w:val="24"/>
          <w:lang w:val="cs-CZ"/>
        </w:rPr>
        <w:sectPr w:rsidR="00A16DDB" w:rsidRPr="00D95127" w:rsidSect="00C82CBD">
          <w:headerReference w:type="default" r:id="rId58"/>
          <w:footerReference w:type="default" r:id="rId59"/>
          <w:pgSz w:w="11906" w:h="16838"/>
          <w:pgMar w:top="1417" w:right="1417" w:bottom="1417" w:left="1417" w:header="708" w:footer="708" w:gutter="0"/>
          <w:cols w:space="708"/>
          <w:docGrid w:linePitch="360"/>
        </w:sectPr>
      </w:pPr>
    </w:p>
    <w:p w14:paraId="78658F38" w14:textId="28F3FB9C" w:rsidR="00234921" w:rsidRPr="00234921" w:rsidRDefault="00A16DDB" w:rsidP="00234921">
      <w:pPr>
        <w:pStyle w:val="UZEITaB"/>
        <w:rPr>
          <w:rStyle w:val="UZEITaBChar"/>
          <w:rFonts w:eastAsia="Calibri"/>
          <w:b/>
        </w:rPr>
      </w:pPr>
      <w:bookmarkStart w:id="412" w:name="_Toc81738463"/>
      <w:r w:rsidRPr="00234921">
        <w:rPr>
          <w:rStyle w:val="UZEITaBChar"/>
          <w:b/>
        </w:rPr>
        <w:t>Teorie změny – cukrová řepa-cukr</w:t>
      </w:r>
      <w:bookmarkEnd w:id="412"/>
    </w:p>
    <w:p w14:paraId="26AC71F1" w14:textId="4EC5107C" w:rsidR="00A16DDB" w:rsidRPr="00234921" w:rsidRDefault="00A16DDB" w:rsidP="00234921">
      <w:pPr>
        <w:pStyle w:val="UZEIZdroj"/>
        <w:rPr>
          <w:rFonts w:cs="Arial"/>
          <w:color w:val="000000" w:themeColor="text1"/>
          <w:szCs w:val="20"/>
          <w:lang w:eastAsia="cs-CZ"/>
        </w:rPr>
      </w:pPr>
      <w:r w:rsidRPr="00D95127">
        <w:rPr>
          <w:noProof/>
        </w:rPr>
        <w:drawing>
          <wp:inline distT="0" distB="0" distL="0" distR="0" wp14:anchorId="56B4A8D2" wp14:editId="6BBD6DC2">
            <wp:extent cx="8891270" cy="2903220"/>
            <wp:effectExtent l="0" t="0" r="5080" b="0"/>
            <wp:docPr id="318" name="Obrázek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8891270" cy="2903220"/>
                    </a:xfrm>
                    <a:prstGeom prst="rect">
                      <a:avLst/>
                    </a:prstGeom>
                    <a:noFill/>
                    <a:ln>
                      <a:noFill/>
                    </a:ln>
                  </pic:spPr>
                </pic:pic>
              </a:graphicData>
            </a:graphic>
          </wp:inline>
        </w:drawing>
      </w:r>
    </w:p>
    <w:p w14:paraId="409BF495" w14:textId="77777777" w:rsidR="00A16DDB" w:rsidRPr="00D95127" w:rsidRDefault="00A16DDB" w:rsidP="00A16DDB">
      <w:pPr>
        <w:spacing w:after="60"/>
        <w:rPr>
          <w:rFonts w:cs="Times New Roman"/>
          <w:i/>
          <w:color w:val="44546A"/>
          <w:szCs w:val="24"/>
          <w:lang w:val="cs-CZ"/>
        </w:rPr>
      </w:pPr>
    </w:p>
    <w:p w14:paraId="3A02CBAD" w14:textId="3C09606D" w:rsidR="00A16DDB" w:rsidRPr="00D95127" w:rsidRDefault="00A16DDB" w:rsidP="00A16DDB">
      <w:pPr>
        <w:pStyle w:val="Titulek"/>
        <w:spacing w:before="120" w:after="60"/>
        <w:jc w:val="left"/>
        <w:rPr>
          <w:szCs w:val="24"/>
        </w:rPr>
      </w:pPr>
      <w:r w:rsidRPr="00D95127">
        <w:rPr>
          <w:noProof/>
        </w:rPr>
        <w:drawing>
          <wp:inline distT="0" distB="0" distL="0" distR="0" wp14:anchorId="5D2893C6" wp14:editId="78BA0D22">
            <wp:extent cx="8891270" cy="4067810"/>
            <wp:effectExtent l="0" t="0" r="5080" b="8890"/>
            <wp:docPr id="319" name="Obrázek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891270" cy="4067810"/>
                    </a:xfrm>
                    <a:prstGeom prst="rect">
                      <a:avLst/>
                    </a:prstGeom>
                    <a:noFill/>
                    <a:ln>
                      <a:noFill/>
                    </a:ln>
                  </pic:spPr>
                </pic:pic>
              </a:graphicData>
            </a:graphic>
          </wp:inline>
        </w:drawing>
      </w:r>
    </w:p>
    <w:p w14:paraId="184C73A2" w14:textId="77777777" w:rsidR="00A16DDB" w:rsidRPr="00D95127" w:rsidRDefault="00A16DDB" w:rsidP="00234921">
      <w:pPr>
        <w:pStyle w:val="UZEIZdroj"/>
        <w:rPr>
          <w:i w:val="0"/>
          <w:color w:val="44546A"/>
          <w:sz w:val="16"/>
          <w:szCs w:val="16"/>
        </w:rPr>
      </w:pPr>
      <w:r w:rsidRPr="00D95127">
        <w:t>Zdroj: Vlastní zpracování ÚZEI</w:t>
      </w:r>
    </w:p>
    <w:p w14:paraId="1A8E77FC" w14:textId="77777777" w:rsidR="00A16DDB" w:rsidRPr="00D95127" w:rsidRDefault="00A16DDB" w:rsidP="00A16DDB">
      <w:pPr>
        <w:spacing w:after="60"/>
        <w:rPr>
          <w:rFonts w:cs="Times New Roman"/>
          <w:szCs w:val="24"/>
          <w:lang w:val="cs-CZ"/>
        </w:rPr>
      </w:pPr>
    </w:p>
    <w:p w14:paraId="669DADF9" w14:textId="77777777" w:rsidR="00A16DDB" w:rsidRPr="00D95127" w:rsidRDefault="00A16DDB" w:rsidP="00DE7D57">
      <w:pPr>
        <w:pStyle w:val="Odstavecseseznamem"/>
        <w:numPr>
          <w:ilvl w:val="0"/>
          <w:numId w:val="9"/>
        </w:numPr>
        <w:spacing w:after="60" w:line="259" w:lineRule="auto"/>
        <w:sectPr w:rsidR="00A16DDB" w:rsidRPr="00D95127" w:rsidSect="00C82CBD">
          <w:pgSz w:w="16838" w:h="11906" w:orient="landscape"/>
          <w:pgMar w:top="1418" w:right="1418" w:bottom="1418" w:left="1418" w:header="709" w:footer="709" w:gutter="0"/>
          <w:cols w:space="708"/>
          <w:docGrid w:linePitch="360"/>
        </w:sectPr>
      </w:pPr>
    </w:p>
    <w:p w14:paraId="4A2828D6" w14:textId="77777777" w:rsidR="00A16DDB" w:rsidRPr="00D95127" w:rsidRDefault="00A16DDB" w:rsidP="00957724">
      <w:pPr>
        <w:pStyle w:val="Nadpis1"/>
      </w:pPr>
      <w:bookmarkStart w:id="413" w:name="_Toc23509873"/>
      <w:bookmarkStart w:id="414" w:name="_Toc76137377"/>
      <w:bookmarkStart w:id="415" w:name="_Toc76637576"/>
      <w:bookmarkStart w:id="416" w:name="_Toc80953255"/>
      <w:bookmarkStart w:id="417" w:name="_Toc81739211"/>
      <w:r w:rsidRPr="00D95127">
        <w:t>SWOT analýza</w:t>
      </w:r>
      <w:bookmarkEnd w:id="413"/>
      <w:bookmarkEnd w:id="414"/>
      <w:bookmarkEnd w:id="415"/>
      <w:bookmarkEnd w:id="416"/>
      <w:bookmarkEnd w:id="417"/>
    </w:p>
    <w:p w14:paraId="01B36B7E" w14:textId="77777777" w:rsidR="00A16DDB" w:rsidRPr="005C7D0A" w:rsidRDefault="00A16DDB" w:rsidP="00957724">
      <w:pPr>
        <w:pStyle w:val="UZEINormaln"/>
        <w:rPr>
          <w:rStyle w:val="Odkazintenzivn"/>
          <w:rFonts w:cs="Times New Roman"/>
          <w:caps/>
          <w:smallCaps w:val="0"/>
        </w:rPr>
      </w:pPr>
      <w:r w:rsidRPr="005C7D0A">
        <w:rPr>
          <w:rStyle w:val="Odkazintenzivn"/>
          <w:rFonts w:cs="Times New Roman"/>
          <w:caps/>
          <w:smallCaps w:val="0"/>
          <w:color w:val="auto"/>
        </w:rPr>
        <w:t>Cukrová řepa – cukr</w:t>
      </w:r>
    </w:p>
    <w:tbl>
      <w:tblPr>
        <w:tblW w:w="102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07"/>
        <w:gridCol w:w="5528"/>
      </w:tblGrid>
      <w:tr w:rsidR="00A16DDB" w:rsidRPr="00D95127" w14:paraId="6C98269D" w14:textId="77777777" w:rsidTr="007A627A">
        <w:tc>
          <w:tcPr>
            <w:tcW w:w="4707" w:type="dxa"/>
            <w:tcBorders>
              <w:top w:val="single" w:sz="4" w:space="0" w:color="auto"/>
              <w:left w:val="single" w:sz="4" w:space="0" w:color="auto"/>
              <w:bottom w:val="single" w:sz="4" w:space="0" w:color="auto"/>
              <w:right w:val="single" w:sz="4" w:space="0" w:color="auto"/>
            </w:tcBorders>
            <w:shd w:val="clear" w:color="auto" w:fill="auto"/>
            <w:hideMark/>
          </w:tcPr>
          <w:p w14:paraId="5B2F7AC4" w14:textId="77777777" w:rsidR="00A16DDB" w:rsidRPr="00957724" w:rsidRDefault="00A16DDB" w:rsidP="005C7D0A">
            <w:pPr>
              <w:pStyle w:val="UZEINormaln"/>
              <w:jc w:val="center"/>
              <w:rPr>
                <w:b/>
                <w:sz w:val="22"/>
                <w:szCs w:val="22"/>
              </w:rPr>
            </w:pPr>
            <w:r w:rsidRPr="00957724">
              <w:rPr>
                <w:b/>
                <w:sz w:val="22"/>
                <w:szCs w:val="22"/>
              </w:rPr>
              <w:t>Silné stránky</w:t>
            </w:r>
          </w:p>
        </w:tc>
        <w:tc>
          <w:tcPr>
            <w:tcW w:w="5528" w:type="dxa"/>
            <w:tcBorders>
              <w:top w:val="single" w:sz="4" w:space="0" w:color="auto"/>
              <w:left w:val="single" w:sz="4" w:space="0" w:color="auto"/>
              <w:bottom w:val="single" w:sz="4" w:space="0" w:color="auto"/>
              <w:right w:val="single" w:sz="4" w:space="0" w:color="auto"/>
            </w:tcBorders>
            <w:shd w:val="clear" w:color="auto" w:fill="auto"/>
            <w:hideMark/>
          </w:tcPr>
          <w:p w14:paraId="4785A1AC" w14:textId="77777777" w:rsidR="00A16DDB" w:rsidRPr="00957724" w:rsidRDefault="00A16DDB" w:rsidP="005C7D0A">
            <w:pPr>
              <w:pStyle w:val="UZEINormaln"/>
              <w:jc w:val="center"/>
              <w:rPr>
                <w:b/>
                <w:sz w:val="22"/>
                <w:szCs w:val="22"/>
              </w:rPr>
            </w:pPr>
            <w:r w:rsidRPr="00957724">
              <w:rPr>
                <w:b/>
                <w:sz w:val="22"/>
                <w:szCs w:val="22"/>
              </w:rPr>
              <w:t>Slabé stránky</w:t>
            </w:r>
          </w:p>
        </w:tc>
      </w:tr>
      <w:tr w:rsidR="00A16DDB" w:rsidRPr="00D95127" w14:paraId="4A3932BE" w14:textId="77777777" w:rsidTr="007A627A">
        <w:trPr>
          <w:trHeight w:val="5473"/>
        </w:trPr>
        <w:tc>
          <w:tcPr>
            <w:tcW w:w="4707" w:type="dxa"/>
            <w:tcBorders>
              <w:top w:val="single" w:sz="4" w:space="0" w:color="auto"/>
              <w:left w:val="single" w:sz="4" w:space="0" w:color="auto"/>
              <w:bottom w:val="single" w:sz="4" w:space="0" w:color="auto"/>
              <w:right w:val="single" w:sz="4" w:space="0" w:color="auto"/>
            </w:tcBorders>
            <w:shd w:val="clear" w:color="auto" w:fill="auto"/>
          </w:tcPr>
          <w:p w14:paraId="240E3ACA" w14:textId="2AF2C063" w:rsidR="00A16DDB" w:rsidRPr="00957724" w:rsidRDefault="005C7D0A" w:rsidP="00884CA1">
            <w:pPr>
              <w:pStyle w:val="UZEIOdrky"/>
              <w:ind w:left="342" w:hanging="283"/>
              <w:rPr>
                <w:sz w:val="22"/>
                <w:szCs w:val="22"/>
              </w:rPr>
            </w:pPr>
            <w:r>
              <w:rPr>
                <w:sz w:val="22"/>
                <w:szCs w:val="22"/>
              </w:rPr>
              <w:t xml:space="preserve">S1: </w:t>
            </w:r>
            <w:r w:rsidR="00A16DDB" w:rsidRPr="00957724">
              <w:rPr>
                <w:sz w:val="22"/>
                <w:szCs w:val="22"/>
              </w:rPr>
              <w:t xml:space="preserve">dlouhodobě rentabilní komodita </w:t>
            </w:r>
          </w:p>
          <w:p w14:paraId="50F224A2" w14:textId="65E2F54B" w:rsidR="00A16DDB" w:rsidRPr="00957724" w:rsidRDefault="005C7D0A" w:rsidP="00884CA1">
            <w:pPr>
              <w:pStyle w:val="UZEIOdrky"/>
              <w:ind w:left="342" w:hanging="283"/>
              <w:rPr>
                <w:sz w:val="22"/>
                <w:szCs w:val="22"/>
              </w:rPr>
            </w:pPr>
            <w:r>
              <w:rPr>
                <w:sz w:val="22"/>
                <w:szCs w:val="22"/>
              </w:rPr>
              <w:t xml:space="preserve">S2: </w:t>
            </w:r>
            <w:r w:rsidR="00A16DDB" w:rsidRPr="00957724">
              <w:rPr>
                <w:sz w:val="22"/>
                <w:szCs w:val="22"/>
              </w:rPr>
              <w:t>s růstem intenzity pěstování cukrové řepy se stabilizují náklady na tunu produkce</w:t>
            </w:r>
          </w:p>
          <w:p w14:paraId="74743F1A" w14:textId="7B064486" w:rsidR="00A16DDB" w:rsidRPr="00957724" w:rsidRDefault="005C7D0A" w:rsidP="00884CA1">
            <w:pPr>
              <w:pStyle w:val="UZEIOdrky"/>
              <w:ind w:left="342" w:hanging="283"/>
              <w:rPr>
                <w:sz w:val="22"/>
                <w:szCs w:val="22"/>
              </w:rPr>
            </w:pPr>
            <w:r>
              <w:rPr>
                <w:sz w:val="22"/>
                <w:szCs w:val="22"/>
              </w:rPr>
              <w:t xml:space="preserve">S3: </w:t>
            </w:r>
            <w:r w:rsidR="00A16DDB" w:rsidRPr="00957724">
              <w:rPr>
                <w:sz w:val="22"/>
                <w:szCs w:val="22"/>
              </w:rPr>
              <w:t>smluvní provázanost výrobců cukru a pěstitelů cukrové řepy z hlediska odběru, cen a kvality cukrové řepy</w:t>
            </w:r>
          </w:p>
          <w:p w14:paraId="2AA5C9FF" w14:textId="348320E7" w:rsidR="00A16DDB" w:rsidRPr="00957724" w:rsidRDefault="0065083F" w:rsidP="00884CA1">
            <w:pPr>
              <w:pStyle w:val="UZEIOdrky"/>
              <w:ind w:left="342" w:hanging="283"/>
              <w:rPr>
                <w:sz w:val="22"/>
                <w:szCs w:val="22"/>
              </w:rPr>
            </w:pPr>
            <w:r>
              <w:rPr>
                <w:sz w:val="22"/>
                <w:szCs w:val="22"/>
              </w:rPr>
              <w:t xml:space="preserve">S4: </w:t>
            </w:r>
            <w:r w:rsidR="00A16DDB" w:rsidRPr="00957724">
              <w:rPr>
                <w:sz w:val="22"/>
                <w:szCs w:val="22"/>
              </w:rPr>
              <w:t>podpora zaměstnanosti v procesu pěstování cukrové řepy a v navazujících oborech (výroba cukru→ potravinářské obory, výroby lihu, energie, chemický a farmaceutický průmysl, aj.)</w:t>
            </w:r>
          </w:p>
          <w:p w14:paraId="354317B9" w14:textId="456551DB" w:rsidR="00A16DDB" w:rsidRPr="00957724" w:rsidRDefault="0065083F" w:rsidP="00884CA1">
            <w:pPr>
              <w:pStyle w:val="UZEIOdrky"/>
              <w:ind w:left="342" w:hanging="283"/>
              <w:rPr>
                <w:sz w:val="22"/>
                <w:szCs w:val="22"/>
              </w:rPr>
            </w:pPr>
            <w:r>
              <w:rPr>
                <w:sz w:val="22"/>
                <w:szCs w:val="22"/>
              </w:rPr>
              <w:t xml:space="preserve">S5: </w:t>
            </w:r>
            <w:r w:rsidR="00A16DDB" w:rsidRPr="00957724">
              <w:rPr>
                <w:sz w:val="22"/>
                <w:szCs w:val="22"/>
              </w:rPr>
              <w:t>vysoká technologická úroveň pěstování cukrové řepy a výroby cukru</w:t>
            </w:r>
          </w:p>
          <w:p w14:paraId="69F1F71C" w14:textId="7BFA3296" w:rsidR="00A16DDB" w:rsidRPr="00957724" w:rsidRDefault="0065083F" w:rsidP="00884CA1">
            <w:pPr>
              <w:pStyle w:val="UZEIOdrky"/>
              <w:ind w:left="342" w:hanging="283"/>
              <w:rPr>
                <w:sz w:val="22"/>
                <w:szCs w:val="22"/>
              </w:rPr>
            </w:pPr>
            <w:r>
              <w:rPr>
                <w:sz w:val="22"/>
                <w:szCs w:val="22"/>
              </w:rPr>
              <w:t xml:space="preserve">S6: </w:t>
            </w:r>
            <w:r w:rsidR="00A16DDB" w:rsidRPr="00957724">
              <w:rPr>
                <w:sz w:val="22"/>
                <w:szCs w:val="22"/>
              </w:rPr>
              <w:t>vhodné podmínky pěstování cukrové řepy</w:t>
            </w:r>
          </w:p>
          <w:p w14:paraId="02A1E463" w14:textId="49F2138F" w:rsidR="00A16DDB" w:rsidRPr="00957724" w:rsidRDefault="0065083F" w:rsidP="00884CA1">
            <w:pPr>
              <w:pStyle w:val="UZEIOdrky"/>
              <w:ind w:left="342" w:hanging="283"/>
              <w:rPr>
                <w:sz w:val="22"/>
                <w:szCs w:val="22"/>
              </w:rPr>
            </w:pPr>
            <w:r>
              <w:rPr>
                <w:sz w:val="22"/>
                <w:szCs w:val="22"/>
              </w:rPr>
              <w:t xml:space="preserve">S7: </w:t>
            </w:r>
            <w:r w:rsidR="00A16DDB" w:rsidRPr="00957724">
              <w:rPr>
                <w:sz w:val="22"/>
                <w:szCs w:val="22"/>
              </w:rPr>
              <w:t>tradiční plodina ČR</w:t>
            </w:r>
          </w:p>
          <w:p w14:paraId="17C35D12" w14:textId="213788FA" w:rsidR="00A16DDB" w:rsidRPr="00957724" w:rsidRDefault="0065083F" w:rsidP="00884CA1">
            <w:pPr>
              <w:pStyle w:val="UZEIOdrky"/>
              <w:ind w:left="342" w:hanging="283"/>
              <w:rPr>
                <w:sz w:val="22"/>
                <w:szCs w:val="22"/>
              </w:rPr>
            </w:pPr>
            <w:r>
              <w:rPr>
                <w:sz w:val="22"/>
                <w:szCs w:val="22"/>
              </w:rPr>
              <w:t xml:space="preserve">S8: </w:t>
            </w:r>
            <w:r w:rsidR="00A16DDB" w:rsidRPr="00957724">
              <w:rPr>
                <w:sz w:val="22"/>
                <w:szCs w:val="22"/>
              </w:rPr>
              <w:t>příznivý vliv na udržování kvality půd a biodiverzity krajiny</w:t>
            </w:r>
          </w:p>
          <w:p w14:paraId="3CD62A5F" w14:textId="1149B80C" w:rsidR="00A16DDB" w:rsidRPr="00957724" w:rsidRDefault="0065083F" w:rsidP="00884CA1">
            <w:pPr>
              <w:pStyle w:val="UZEIOdrky"/>
              <w:ind w:left="342" w:hanging="283"/>
              <w:rPr>
                <w:sz w:val="22"/>
                <w:szCs w:val="22"/>
              </w:rPr>
            </w:pPr>
            <w:r>
              <w:rPr>
                <w:sz w:val="22"/>
                <w:szCs w:val="22"/>
              </w:rPr>
              <w:t xml:space="preserve">S9: </w:t>
            </w:r>
            <w:r w:rsidR="00A16DDB" w:rsidRPr="00957724">
              <w:rPr>
                <w:sz w:val="22"/>
                <w:szCs w:val="22"/>
              </w:rPr>
              <w:t>plná soběstačnost</w:t>
            </w:r>
          </w:p>
          <w:p w14:paraId="7F245D25" w14:textId="0A166870" w:rsidR="00A16DDB" w:rsidRPr="00957724" w:rsidRDefault="0065083F" w:rsidP="00884CA1">
            <w:pPr>
              <w:pStyle w:val="UZEIOdrky"/>
              <w:ind w:left="342" w:hanging="283"/>
              <w:rPr>
                <w:sz w:val="22"/>
                <w:szCs w:val="22"/>
              </w:rPr>
            </w:pPr>
            <w:r>
              <w:rPr>
                <w:sz w:val="22"/>
                <w:szCs w:val="22"/>
              </w:rPr>
              <w:t xml:space="preserve">S10: </w:t>
            </w:r>
            <w:r w:rsidR="00A16DDB" w:rsidRPr="00957724">
              <w:rPr>
                <w:sz w:val="22"/>
                <w:szCs w:val="22"/>
              </w:rPr>
              <w:t>vysoká odborná úroveň pěstitelů cukrové řepy</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31163E17" w14:textId="11508A86" w:rsidR="00A16DDB" w:rsidRPr="00957724" w:rsidRDefault="0065083F" w:rsidP="00884CA1">
            <w:pPr>
              <w:pStyle w:val="UZEIOdrky"/>
              <w:ind w:left="342" w:hanging="283"/>
              <w:rPr>
                <w:sz w:val="22"/>
                <w:szCs w:val="22"/>
              </w:rPr>
            </w:pPr>
            <w:r>
              <w:rPr>
                <w:sz w:val="22"/>
                <w:szCs w:val="22"/>
              </w:rPr>
              <w:t xml:space="preserve">W1: </w:t>
            </w:r>
            <w:r w:rsidR="00A16DDB" w:rsidRPr="00957724">
              <w:rPr>
                <w:sz w:val="22"/>
                <w:szCs w:val="22"/>
              </w:rPr>
              <w:t>růst pracovních nákladů, vyšší pracnost ve srovnání s jinými komoditami (obiloviny, řepka, ...)</w:t>
            </w:r>
          </w:p>
          <w:p w14:paraId="3D58D6B1" w14:textId="38E6C728" w:rsidR="00A16DDB" w:rsidRPr="00957724" w:rsidRDefault="0065083F" w:rsidP="00884CA1">
            <w:pPr>
              <w:pStyle w:val="UZEIOdrky"/>
              <w:ind w:left="342" w:hanging="283"/>
              <w:rPr>
                <w:sz w:val="22"/>
                <w:szCs w:val="22"/>
              </w:rPr>
            </w:pPr>
            <w:r>
              <w:rPr>
                <w:sz w:val="22"/>
                <w:szCs w:val="22"/>
              </w:rPr>
              <w:t xml:space="preserve">W2: </w:t>
            </w:r>
            <w:r w:rsidR="00A16DDB" w:rsidRPr="00957724">
              <w:rPr>
                <w:sz w:val="22"/>
                <w:szCs w:val="22"/>
              </w:rPr>
              <w:t>vyšší rentabilita komodity je dosahována pomocí dobrovolné vázané podpory, která však nedosahuje výše oddělené platby za cukr (2006-2014), ČR má nejmenší podporu cukrové řepy ve srovnání s okolními státy a v současné době pádu cen cukru je výše podpory sektoru nedostatečná</w:t>
            </w:r>
          </w:p>
          <w:p w14:paraId="14311214" w14:textId="18A0DD29" w:rsidR="00A16DDB" w:rsidRPr="00957724" w:rsidRDefault="0065083F" w:rsidP="00884CA1">
            <w:pPr>
              <w:pStyle w:val="UZEIOdrky"/>
              <w:ind w:left="342" w:hanging="283"/>
              <w:rPr>
                <w:sz w:val="22"/>
                <w:szCs w:val="22"/>
              </w:rPr>
            </w:pPr>
            <w:r>
              <w:rPr>
                <w:sz w:val="22"/>
                <w:szCs w:val="22"/>
              </w:rPr>
              <w:t xml:space="preserve">W3: </w:t>
            </w:r>
            <w:r w:rsidR="00A16DDB" w:rsidRPr="00957724">
              <w:rPr>
                <w:sz w:val="22"/>
                <w:szCs w:val="22"/>
              </w:rPr>
              <w:t>rizikovost ve výnosech v závislosti na přírodních podmínkách (např. sucho aj.)</w:t>
            </w:r>
          </w:p>
          <w:p w14:paraId="398F5192" w14:textId="77777777" w:rsidR="00A16DDB" w:rsidRPr="00957724" w:rsidRDefault="00A16DDB" w:rsidP="0065083F">
            <w:pPr>
              <w:pStyle w:val="UZEIOdrky"/>
              <w:numPr>
                <w:ilvl w:val="0"/>
                <w:numId w:val="0"/>
              </w:numPr>
              <w:ind w:left="342"/>
              <w:rPr>
                <w:sz w:val="22"/>
                <w:szCs w:val="22"/>
              </w:rPr>
            </w:pPr>
          </w:p>
        </w:tc>
      </w:tr>
      <w:tr w:rsidR="00A16DDB" w:rsidRPr="00D95127" w14:paraId="391F3866" w14:textId="77777777" w:rsidTr="007A627A">
        <w:tc>
          <w:tcPr>
            <w:tcW w:w="4707" w:type="dxa"/>
            <w:tcBorders>
              <w:top w:val="single" w:sz="4" w:space="0" w:color="auto"/>
              <w:left w:val="single" w:sz="4" w:space="0" w:color="auto"/>
              <w:bottom w:val="single" w:sz="4" w:space="0" w:color="auto"/>
              <w:right w:val="single" w:sz="4" w:space="0" w:color="auto"/>
            </w:tcBorders>
            <w:shd w:val="clear" w:color="auto" w:fill="auto"/>
            <w:hideMark/>
          </w:tcPr>
          <w:p w14:paraId="0F5C81A9" w14:textId="77777777" w:rsidR="00A16DDB" w:rsidRPr="00957724" w:rsidRDefault="00A16DDB" w:rsidP="005C7D0A">
            <w:pPr>
              <w:pStyle w:val="UZEINormaln"/>
              <w:jc w:val="center"/>
              <w:rPr>
                <w:b/>
                <w:sz w:val="22"/>
                <w:szCs w:val="22"/>
              </w:rPr>
            </w:pPr>
            <w:r w:rsidRPr="00957724">
              <w:rPr>
                <w:b/>
                <w:sz w:val="22"/>
                <w:szCs w:val="22"/>
              </w:rPr>
              <w:t>Příležitosti</w:t>
            </w:r>
          </w:p>
        </w:tc>
        <w:tc>
          <w:tcPr>
            <w:tcW w:w="5528" w:type="dxa"/>
            <w:tcBorders>
              <w:top w:val="single" w:sz="4" w:space="0" w:color="auto"/>
              <w:left w:val="single" w:sz="4" w:space="0" w:color="auto"/>
              <w:bottom w:val="single" w:sz="4" w:space="0" w:color="auto"/>
              <w:right w:val="single" w:sz="4" w:space="0" w:color="auto"/>
            </w:tcBorders>
            <w:shd w:val="clear" w:color="auto" w:fill="auto"/>
            <w:hideMark/>
          </w:tcPr>
          <w:p w14:paraId="6AE6F3AE" w14:textId="77777777" w:rsidR="00A16DDB" w:rsidRPr="00957724" w:rsidRDefault="00A16DDB" w:rsidP="005C7D0A">
            <w:pPr>
              <w:pStyle w:val="UZEINormaln"/>
              <w:jc w:val="center"/>
              <w:rPr>
                <w:b/>
                <w:sz w:val="22"/>
                <w:szCs w:val="22"/>
              </w:rPr>
            </w:pPr>
            <w:r w:rsidRPr="00957724">
              <w:rPr>
                <w:b/>
                <w:sz w:val="22"/>
                <w:szCs w:val="22"/>
              </w:rPr>
              <w:t>Hrozby</w:t>
            </w:r>
          </w:p>
        </w:tc>
      </w:tr>
      <w:tr w:rsidR="00A16DDB" w:rsidRPr="00D95127" w14:paraId="24EFDDAD" w14:textId="77777777" w:rsidTr="007A627A">
        <w:tc>
          <w:tcPr>
            <w:tcW w:w="4707" w:type="dxa"/>
            <w:tcBorders>
              <w:top w:val="single" w:sz="4" w:space="0" w:color="auto"/>
              <w:left w:val="single" w:sz="4" w:space="0" w:color="auto"/>
              <w:bottom w:val="single" w:sz="4" w:space="0" w:color="auto"/>
              <w:right w:val="single" w:sz="4" w:space="0" w:color="auto"/>
            </w:tcBorders>
            <w:shd w:val="clear" w:color="auto" w:fill="auto"/>
          </w:tcPr>
          <w:p w14:paraId="7DC360F7" w14:textId="6B9DD3B5" w:rsidR="00A16DDB" w:rsidRPr="00957724" w:rsidRDefault="0065083F" w:rsidP="00884CA1">
            <w:pPr>
              <w:pStyle w:val="UZEIOdrky"/>
              <w:ind w:left="342" w:hanging="283"/>
              <w:rPr>
                <w:sz w:val="22"/>
                <w:szCs w:val="22"/>
              </w:rPr>
            </w:pPr>
            <w:r>
              <w:rPr>
                <w:sz w:val="22"/>
                <w:szCs w:val="22"/>
              </w:rPr>
              <w:t xml:space="preserve">O1: </w:t>
            </w:r>
            <w:r w:rsidR="00A16DDB" w:rsidRPr="00957724">
              <w:rPr>
                <w:sz w:val="22"/>
                <w:szCs w:val="22"/>
              </w:rPr>
              <w:t>liberální trh s cukrem po již ukončení kvótového režimu výroby cukru</w:t>
            </w:r>
          </w:p>
          <w:p w14:paraId="4B6BE19C" w14:textId="2BD0C5E3" w:rsidR="00A16DDB" w:rsidRPr="00957724" w:rsidRDefault="0065083F" w:rsidP="00884CA1">
            <w:pPr>
              <w:pStyle w:val="UZEIOdrky"/>
              <w:ind w:left="342" w:hanging="283"/>
              <w:rPr>
                <w:sz w:val="22"/>
                <w:szCs w:val="22"/>
              </w:rPr>
            </w:pPr>
            <w:r>
              <w:rPr>
                <w:sz w:val="22"/>
                <w:szCs w:val="22"/>
              </w:rPr>
              <w:t xml:space="preserve">O2: </w:t>
            </w:r>
            <w:r w:rsidR="00A16DDB" w:rsidRPr="00957724">
              <w:rPr>
                <w:sz w:val="22"/>
                <w:szCs w:val="22"/>
              </w:rPr>
              <w:t>omezené možnosti rozšíření produkční plochy cukrové řepy a výroby cukru vzhledem k omezeným možnostem dobrovolné vázané podpory v nových podmínkách</w:t>
            </w:r>
          </w:p>
          <w:p w14:paraId="04BAFD82" w14:textId="20B0704C" w:rsidR="00A16DDB" w:rsidRPr="00957724" w:rsidRDefault="0065083F" w:rsidP="00884CA1">
            <w:pPr>
              <w:pStyle w:val="UZEIOdrky"/>
              <w:ind w:left="342" w:hanging="283"/>
              <w:rPr>
                <w:sz w:val="22"/>
                <w:szCs w:val="22"/>
              </w:rPr>
            </w:pPr>
            <w:r>
              <w:rPr>
                <w:sz w:val="22"/>
                <w:szCs w:val="22"/>
              </w:rPr>
              <w:t xml:space="preserve">O3: </w:t>
            </w:r>
            <w:r w:rsidR="00A16DDB" w:rsidRPr="00957724">
              <w:rPr>
                <w:sz w:val="22"/>
                <w:szCs w:val="22"/>
              </w:rPr>
              <w:t xml:space="preserve">rozšíření nových trhů </w:t>
            </w:r>
          </w:p>
        </w:tc>
        <w:tc>
          <w:tcPr>
            <w:tcW w:w="5528" w:type="dxa"/>
            <w:tcBorders>
              <w:top w:val="single" w:sz="4" w:space="0" w:color="auto"/>
              <w:left w:val="single" w:sz="4" w:space="0" w:color="auto"/>
              <w:bottom w:val="single" w:sz="4" w:space="0" w:color="auto"/>
              <w:right w:val="single" w:sz="4" w:space="0" w:color="auto"/>
            </w:tcBorders>
            <w:shd w:val="clear" w:color="auto" w:fill="auto"/>
            <w:hideMark/>
          </w:tcPr>
          <w:p w14:paraId="149C23EB" w14:textId="799352D4" w:rsidR="00A16DDB" w:rsidRPr="00957724" w:rsidRDefault="0065083F" w:rsidP="00884CA1">
            <w:pPr>
              <w:pStyle w:val="UZEIOdrky"/>
              <w:ind w:left="342" w:hanging="283"/>
              <w:rPr>
                <w:sz w:val="22"/>
                <w:szCs w:val="22"/>
              </w:rPr>
            </w:pPr>
            <w:r>
              <w:rPr>
                <w:sz w:val="22"/>
                <w:szCs w:val="22"/>
              </w:rPr>
              <w:t xml:space="preserve">T1: </w:t>
            </w:r>
            <w:r w:rsidR="00A16DDB" w:rsidRPr="00957724">
              <w:rPr>
                <w:sz w:val="22"/>
                <w:szCs w:val="22"/>
              </w:rPr>
              <w:t>rozšíření produkční plochy cukrové řepy a objemu výroby cukru u největších výrobců cukru v EU (Francie, Německo) po zrušení kvótového režimu výroby cukru</w:t>
            </w:r>
          </w:p>
          <w:p w14:paraId="451AB0FB" w14:textId="553A1DED" w:rsidR="00A16DDB" w:rsidRPr="00957724" w:rsidRDefault="0065083F" w:rsidP="00884CA1">
            <w:pPr>
              <w:pStyle w:val="UZEIOdrky"/>
              <w:ind w:left="342" w:hanging="283"/>
              <w:rPr>
                <w:sz w:val="22"/>
                <w:szCs w:val="22"/>
              </w:rPr>
            </w:pPr>
            <w:r>
              <w:rPr>
                <w:sz w:val="22"/>
                <w:szCs w:val="22"/>
              </w:rPr>
              <w:t xml:space="preserve">T2: </w:t>
            </w:r>
            <w:r w:rsidR="00A16DDB" w:rsidRPr="00957724">
              <w:rPr>
                <w:sz w:val="22"/>
                <w:szCs w:val="22"/>
              </w:rPr>
              <w:t xml:space="preserve">snížení konkurenceschopnosti výrobců cukru ve vazbě na snížení evropských a světových cen cukru a ve vazbě na realizační cenu cukrové řepy </w:t>
            </w:r>
          </w:p>
          <w:p w14:paraId="2C047962" w14:textId="630B2D4F" w:rsidR="00A16DDB" w:rsidRPr="00957724" w:rsidRDefault="0065083F" w:rsidP="00884CA1">
            <w:pPr>
              <w:pStyle w:val="UZEIOdrky"/>
              <w:ind w:left="342" w:hanging="283"/>
              <w:rPr>
                <w:sz w:val="22"/>
                <w:szCs w:val="22"/>
              </w:rPr>
            </w:pPr>
            <w:r>
              <w:rPr>
                <w:sz w:val="22"/>
                <w:szCs w:val="22"/>
              </w:rPr>
              <w:t xml:space="preserve">T3: </w:t>
            </w:r>
            <w:r w:rsidR="00A16DDB" w:rsidRPr="00957724">
              <w:rPr>
                <w:sz w:val="22"/>
                <w:szCs w:val="22"/>
              </w:rPr>
              <w:t>růst nákladových vstupů (pracovních, energií, POR, ...)</w:t>
            </w:r>
          </w:p>
          <w:p w14:paraId="42B1632B" w14:textId="7D478853" w:rsidR="00A16DDB" w:rsidRPr="00957724" w:rsidRDefault="0065083F" w:rsidP="00884CA1">
            <w:pPr>
              <w:pStyle w:val="UZEIOdrky"/>
              <w:ind w:left="342" w:hanging="283"/>
              <w:rPr>
                <w:sz w:val="22"/>
                <w:szCs w:val="22"/>
              </w:rPr>
            </w:pPr>
            <w:r>
              <w:rPr>
                <w:sz w:val="22"/>
                <w:szCs w:val="22"/>
              </w:rPr>
              <w:t xml:space="preserve">T4: </w:t>
            </w:r>
            <w:r w:rsidR="00A16DDB" w:rsidRPr="00957724">
              <w:rPr>
                <w:sz w:val="22"/>
                <w:szCs w:val="22"/>
              </w:rPr>
              <w:t>stagnace výnosů po omezení některých prostředků ochrany cukrové řepy (neonikotionidy)</w:t>
            </w:r>
          </w:p>
          <w:p w14:paraId="2A3635CD" w14:textId="2EDEDD95" w:rsidR="00A16DDB" w:rsidRPr="00957724" w:rsidRDefault="0065083F" w:rsidP="00884CA1">
            <w:pPr>
              <w:pStyle w:val="UZEIOdrky"/>
              <w:ind w:left="342" w:hanging="283"/>
              <w:rPr>
                <w:sz w:val="22"/>
                <w:szCs w:val="22"/>
              </w:rPr>
            </w:pPr>
            <w:r>
              <w:rPr>
                <w:sz w:val="22"/>
                <w:szCs w:val="22"/>
              </w:rPr>
              <w:t xml:space="preserve">T5: </w:t>
            </w:r>
            <w:r w:rsidR="00A16DDB" w:rsidRPr="00957724">
              <w:rPr>
                <w:sz w:val="22"/>
                <w:szCs w:val="22"/>
              </w:rPr>
              <w:t>snížení specifických podpor</w:t>
            </w:r>
          </w:p>
          <w:p w14:paraId="7CBAB064" w14:textId="64FEAECB" w:rsidR="00A16DDB" w:rsidRPr="00957724" w:rsidRDefault="0065083F" w:rsidP="00884CA1">
            <w:pPr>
              <w:pStyle w:val="UZEIOdrky"/>
              <w:ind w:left="342" w:hanging="283"/>
              <w:rPr>
                <w:sz w:val="22"/>
                <w:szCs w:val="22"/>
              </w:rPr>
            </w:pPr>
            <w:r>
              <w:rPr>
                <w:sz w:val="22"/>
                <w:szCs w:val="22"/>
              </w:rPr>
              <w:t xml:space="preserve">T6: </w:t>
            </w:r>
            <w:r w:rsidR="00A16DDB" w:rsidRPr="00957724">
              <w:rPr>
                <w:sz w:val="22"/>
                <w:szCs w:val="22"/>
              </w:rPr>
              <w:t>možnost omezení výroby cukru vlastníky cukrovarů</w:t>
            </w:r>
          </w:p>
          <w:p w14:paraId="210DF201" w14:textId="153FBAD3" w:rsidR="00A16DDB" w:rsidRPr="00957724" w:rsidRDefault="0065083F" w:rsidP="00884CA1">
            <w:pPr>
              <w:pStyle w:val="UZEIOdrky"/>
              <w:ind w:left="342" w:hanging="283"/>
              <w:rPr>
                <w:sz w:val="22"/>
                <w:szCs w:val="22"/>
              </w:rPr>
            </w:pPr>
            <w:r>
              <w:rPr>
                <w:sz w:val="22"/>
                <w:szCs w:val="22"/>
              </w:rPr>
              <w:t xml:space="preserve">T7: </w:t>
            </w:r>
            <w:r w:rsidR="00A16DDB" w:rsidRPr="00957724">
              <w:rPr>
                <w:sz w:val="22"/>
                <w:szCs w:val="22"/>
              </w:rPr>
              <w:t>levné dovozy cukru z řepy i třtiny</w:t>
            </w:r>
          </w:p>
          <w:p w14:paraId="2F09C5A3" w14:textId="6E5F87A2" w:rsidR="00A16DDB" w:rsidRPr="00957724" w:rsidRDefault="0065083F" w:rsidP="00884CA1">
            <w:pPr>
              <w:pStyle w:val="UZEIOdrky"/>
              <w:ind w:left="342" w:hanging="283"/>
              <w:rPr>
                <w:sz w:val="22"/>
                <w:szCs w:val="22"/>
              </w:rPr>
            </w:pPr>
            <w:r>
              <w:rPr>
                <w:sz w:val="22"/>
                <w:szCs w:val="22"/>
              </w:rPr>
              <w:t xml:space="preserve">T8: </w:t>
            </w:r>
            <w:r w:rsidR="00A16DDB" w:rsidRPr="00957724">
              <w:rPr>
                <w:sz w:val="22"/>
                <w:szCs w:val="22"/>
              </w:rPr>
              <w:t>vlivem přehodnocování účinných látek EK dochází k neustálému snižování počtu přípravků na ochranu rostlin</w:t>
            </w:r>
          </w:p>
        </w:tc>
      </w:tr>
    </w:tbl>
    <w:p w14:paraId="2117F910" w14:textId="77777777" w:rsidR="00A16DDB" w:rsidRPr="00D95127" w:rsidRDefault="00A16DDB" w:rsidP="00A16DDB">
      <w:pPr>
        <w:rPr>
          <w:rStyle w:val="Odkazintenzivn"/>
          <w:rFonts w:cs="Times New Roman"/>
          <w:szCs w:val="24"/>
          <w:lang w:val="cs-CZ"/>
        </w:rPr>
      </w:pPr>
      <w:bookmarkStart w:id="418" w:name="_Toc526113883"/>
      <w:bookmarkStart w:id="419" w:name="_Toc12449694"/>
    </w:p>
    <w:p w14:paraId="2FBA8BAB" w14:textId="77777777" w:rsidR="00A16DDB" w:rsidRPr="00D95127" w:rsidRDefault="00A16DDB" w:rsidP="00A16DDB">
      <w:pPr>
        <w:rPr>
          <w:rFonts w:eastAsia="Times New Roman" w:cs="Times New Roman"/>
          <w:b/>
          <w:color w:val="2E74B5"/>
          <w:szCs w:val="24"/>
          <w:lang w:val="cs-CZ"/>
        </w:rPr>
      </w:pPr>
      <w:bookmarkStart w:id="420" w:name="_Toc23509874"/>
      <w:bookmarkStart w:id="421" w:name="_Toc526114039"/>
      <w:bookmarkStart w:id="422" w:name="_Toc15304058"/>
      <w:r w:rsidRPr="00D95127">
        <w:rPr>
          <w:rFonts w:cs="Times New Roman"/>
          <w:b/>
          <w:szCs w:val="24"/>
          <w:lang w:val="cs-CZ"/>
        </w:rPr>
        <w:br w:type="page"/>
      </w:r>
    </w:p>
    <w:p w14:paraId="228CE315" w14:textId="61E34E88" w:rsidR="00A16DDB" w:rsidRPr="00D95127" w:rsidRDefault="00A16DDB" w:rsidP="00884CA1">
      <w:pPr>
        <w:pStyle w:val="UZEINadpis1stbezsla"/>
      </w:pPr>
      <w:bookmarkStart w:id="423" w:name="_Toc76137378"/>
      <w:bookmarkStart w:id="424" w:name="_Toc76637577"/>
      <w:bookmarkStart w:id="425" w:name="_Toc80953256"/>
      <w:bookmarkStart w:id="426" w:name="_Toc81739212"/>
      <w:bookmarkStart w:id="427" w:name="_Hlk24447773"/>
      <w:bookmarkEnd w:id="418"/>
      <w:bookmarkEnd w:id="419"/>
      <w:bookmarkEnd w:id="420"/>
      <w:bookmarkEnd w:id="421"/>
      <w:bookmarkEnd w:id="422"/>
      <w:r w:rsidRPr="00D95127">
        <w:t>BÍLKOVINNÉ PLODINY</w:t>
      </w:r>
      <w:bookmarkEnd w:id="423"/>
      <w:bookmarkEnd w:id="424"/>
      <w:bookmarkEnd w:id="425"/>
      <w:bookmarkEnd w:id="426"/>
    </w:p>
    <w:p w14:paraId="11F06CCE" w14:textId="77777777" w:rsidR="00A16DDB" w:rsidRPr="00D95127" w:rsidRDefault="00A16DDB" w:rsidP="00884CA1">
      <w:pPr>
        <w:pStyle w:val="UZEINormaln"/>
        <w:rPr>
          <w:rFonts w:cs="Times New Roman"/>
        </w:rPr>
      </w:pPr>
      <w:r w:rsidRPr="00D95127">
        <w:t xml:space="preserve">Pěstování bílkovinných plodin má v ČR dlouhodobou tradici, zařazujeme do nich sóju, hrách, bob lupinu, vojtěšku a jetel červený. Plochy luskovin se v letech 2011-2014 </w:t>
      </w:r>
      <w:r w:rsidRPr="00D95127">
        <w:rPr>
          <w:rFonts w:cs="Times New Roman"/>
        </w:rPr>
        <w:t>pohybovaly od 131,7 tis.  ha do 125,2 tis. ha. Přelom nastal v roce 2015, kdy došlo k navýšení sklizňové plochy o 16,5 % na 145,8 tis. ha. Období let 2015-2020 byl ve znamení rostoucích ploch bílkovinných plodin o 27,3 % (od 145,8 tis. ha do 185,6 tis. ha). Celkově lze říci, že se plocha v období 2011-2020 zvýšila o 41 %.</w:t>
      </w:r>
    </w:p>
    <w:p w14:paraId="4F8ADBF3" w14:textId="77777777" w:rsidR="00A16DDB" w:rsidRPr="00D95127" w:rsidRDefault="00A16DDB" w:rsidP="00884CA1">
      <w:pPr>
        <w:pStyle w:val="UZEINormaln"/>
        <w:rPr>
          <w:rFonts w:cs="Times New Roman"/>
        </w:rPr>
      </w:pPr>
      <w:r w:rsidRPr="00D95127">
        <w:t xml:space="preserve">Pro potravinářský průmysl a krmivářský průmysl pěstovaný hrách se stále více mezi luskovinami prosazuje. Během deseti let rovněž vzrostla plocha krmných luskovin, u sóji více jak 2,5 x, u hrachu téměř 2x a lupiny o třetinu. Jedna z nejvýznamnějších předností luskovin je jejich meliorační a výživný/zúrodňující dopad na půdu, kdy dochází k poutání vzdušného dusíku kořenovou soustavou a spolu s příznivým účinkem na půdní strukturu k výrazně obohacujícímu efektu v rotaci kulturních plodin na zemědělské (orné) půdě. Své nezastupitelné místo mají proto luskoviny v osevních postupech a v ekologickém hospodářství jako vynikající předplodina. Zachování rozměru živočišné výroby má prostřednictvím statkových hnojiv příznivý vliv na půdní úrodnost (přísun organických látek do půdy) a na strukturu půdy včetně omezení půdní eroze. </w:t>
      </w:r>
    </w:p>
    <w:p w14:paraId="27E0E1CA" w14:textId="00405C20" w:rsidR="00A16DDB" w:rsidRPr="00151AF1" w:rsidRDefault="00A16DDB" w:rsidP="00151AF1">
      <w:pPr>
        <w:pStyle w:val="UZEITaB"/>
      </w:pPr>
      <w:bookmarkStart w:id="428" w:name="_Toc81738464"/>
      <w:bookmarkStart w:id="429" w:name="_Hlk525738476"/>
      <w:r w:rsidRPr="00151AF1">
        <w:t>Výměra, výnosy a produkce luskovin v letech 2011-2020</w:t>
      </w:r>
      <w:bookmarkEnd w:id="428"/>
    </w:p>
    <w:p w14:paraId="7942C810" w14:textId="77777777" w:rsidR="00A16DDB" w:rsidRPr="00D95127" w:rsidRDefault="00A16DDB" w:rsidP="00A16DDB">
      <w:pPr>
        <w:shd w:val="clear" w:color="auto" w:fill="FFFFFF"/>
        <w:rPr>
          <w:rFonts w:eastAsia="Times New Roman" w:cs="Times New Roman"/>
          <w:b/>
          <w:color w:val="000000"/>
          <w:szCs w:val="24"/>
          <w:lang w:val="cs-CZ" w:eastAsia="cs-CZ"/>
        </w:rPr>
      </w:pPr>
      <w:r w:rsidRPr="00D95127">
        <w:rPr>
          <w:rFonts w:cs="Times New Roman"/>
          <w:noProof/>
          <w:lang w:val="cs-CZ"/>
        </w:rPr>
        <w:drawing>
          <wp:inline distT="0" distB="0" distL="0" distR="0" wp14:anchorId="65F4DAC8" wp14:editId="7D7A21DD">
            <wp:extent cx="5760720" cy="2611755"/>
            <wp:effectExtent l="0" t="0" r="0" b="0"/>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60720" cy="2611755"/>
                    </a:xfrm>
                    <a:prstGeom prst="rect">
                      <a:avLst/>
                    </a:prstGeom>
                    <a:noFill/>
                    <a:ln>
                      <a:noFill/>
                    </a:ln>
                  </pic:spPr>
                </pic:pic>
              </a:graphicData>
            </a:graphic>
          </wp:inline>
        </w:drawing>
      </w:r>
    </w:p>
    <w:p w14:paraId="12020B2C" w14:textId="77777777" w:rsidR="00A16DDB" w:rsidRPr="00D95127" w:rsidRDefault="00A16DDB" w:rsidP="00884CA1">
      <w:pPr>
        <w:pStyle w:val="UZEIZdroj"/>
        <w:rPr>
          <w:i w:val="0"/>
          <w:color w:val="000000"/>
          <w:sz w:val="16"/>
          <w:szCs w:val="16"/>
        </w:rPr>
      </w:pPr>
      <w:r w:rsidRPr="00D95127">
        <w:t>Pramen: ČSÚ, MZe</w:t>
      </w:r>
      <w:r w:rsidRPr="00D95127">
        <w:rPr>
          <w:color w:val="000000"/>
          <w:sz w:val="16"/>
          <w:szCs w:val="16"/>
        </w:rPr>
        <w:t>, ÚKZÚZ, Agritec s.r.o., Kurzíva = odhad</w:t>
      </w:r>
    </w:p>
    <w:bookmarkEnd w:id="429"/>
    <w:p w14:paraId="2855AA0B" w14:textId="77777777" w:rsidR="00A16DDB" w:rsidRPr="00D95127" w:rsidRDefault="00A16DDB" w:rsidP="00884CA1">
      <w:pPr>
        <w:pStyle w:val="UZEINormaln"/>
        <w:rPr>
          <w:rFonts w:cs="Times New Roman"/>
          <w:color w:val="000000"/>
        </w:rPr>
      </w:pPr>
      <w:r w:rsidRPr="00D95127">
        <w:rPr>
          <w:b/>
        </w:rPr>
        <w:t>Hrách</w:t>
      </w:r>
      <w:r w:rsidRPr="00D95127">
        <w:rPr>
          <w:rFonts w:cs="Times New Roman"/>
          <w:color w:val="000000"/>
        </w:rPr>
        <w:t xml:space="preserve"> patří mezi nejrozšířenější druhy luskovin a v ČR je díky zvyšování osevních ploch po roce 2015 dominantní luskovinou, jehož podíl na osevních plochách zaujímá přibližně 64 % ploch luskovin pěstovaných na zrno. Z luskovin pěstovaných pro výživu lidí lze jedině hrách pěstovat ve všech výrobních oblastech, a má proto ze všech luskovin největší rozšíření. Semena hrachu jsou bohatá na obsah bílkovin, který je přibližně 2x vyšší než u obilovin. Z agronomického hlediska je největším kladem fixace vzdušného dusíku symbiotickými bakteriemi a jeho exkrece do půdy. V krmivářském průmyslu je u nás hrách nicméně nedoceněn a značná část výroby hrachu se vyváží. V krmivářském průmyslu je u nás vytlačován sójovými pokrutinami, kterých je importováno do ČR kolem 400 tis. t ročně. Podíl hrachu krmného a ostatních luštěnin na celkové výrobě krmných směsí je nízké, pohybuje se do 1,5 % (2018-2020). Podíl hrachu na luskovinách na výrobu krmných směsí bylo přibližně 44,0 % (2018-2020).</w:t>
      </w:r>
    </w:p>
    <w:p w14:paraId="796923DC" w14:textId="77777777" w:rsidR="00A16DDB" w:rsidRPr="00D95127" w:rsidRDefault="00A16DDB" w:rsidP="00884CA1">
      <w:pPr>
        <w:pStyle w:val="UZEINormaln"/>
        <w:rPr>
          <w:rFonts w:cs="Times New Roman"/>
          <w:color w:val="000000"/>
        </w:rPr>
      </w:pPr>
      <w:r w:rsidRPr="00D95127">
        <w:t xml:space="preserve">V podmínkách střední Evropy je </w:t>
      </w:r>
      <w:r w:rsidRPr="00D95127">
        <w:rPr>
          <w:rFonts w:cs="Times New Roman"/>
          <w:b/>
          <w:color w:val="000000"/>
        </w:rPr>
        <w:t>bob</w:t>
      </w:r>
      <w:r w:rsidRPr="00D95127">
        <w:rPr>
          <w:rFonts w:cs="Times New Roman"/>
          <w:color w:val="000000"/>
        </w:rPr>
        <w:t xml:space="preserve"> využíván především jako krmivo, a to jak v podobě zelené hmoty, tak na semeno. Využívá se ve středních polohách jako jařina samostatně pěstovaný nebo jako součást směsek s obilovinami či kukuřicí. Kromě vlastního účelového využití na píci i semeno je bob také výbornou krycí plodinou pro podsevy víceletých jetelovin, kmínu apod. Využívá se jako součást senáží i k přímému zkrmování. V této formě má vysoké % bílkovin (18-28 %). Pěstování bobu limitují nízké výnosy a nízké odbytové ceny semene.</w:t>
      </w:r>
    </w:p>
    <w:p w14:paraId="6833FA15" w14:textId="77777777" w:rsidR="007F68ED" w:rsidRDefault="00A16DDB" w:rsidP="007F68ED">
      <w:pPr>
        <w:pStyle w:val="UZEINormaln"/>
        <w:rPr>
          <w:rFonts w:cs="Times New Roman"/>
          <w:color w:val="000000"/>
        </w:rPr>
      </w:pPr>
      <w:r w:rsidRPr="00D95127">
        <w:t xml:space="preserve">Ve světovém měřítku největší plochy luskovin zaujímá </w:t>
      </w:r>
      <w:r w:rsidRPr="00D95127">
        <w:rPr>
          <w:rFonts w:cs="Times New Roman"/>
          <w:b/>
          <w:color w:val="000000"/>
        </w:rPr>
        <w:t>sója</w:t>
      </w:r>
      <w:r w:rsidRPr="00D95127">
        <w:rPr>
          <w:rFonts w:cs="Times New Roman"/>
          <w:color w:val="000000"/>
        </w:rPr>
        <w:t>, která se však z hlediska hospodářského významu zahrnuje mezi olejniny. Podpora proteinových plodin v rámci SZP od roku 2015 měla pozitivní vliv na rozšíření výměry sóji v ČR. Podíl osevní plochy sóji na luskovinách je přibližně 29,4 % (2018-2020). Využití nachází sója v potravinářském průmyslu, ale hlavně jako součást krmiv. Odpady jako pokrutiny či extrahované šroty po vylisování sójového oleje se využívají ke krmným účelům a jsou významným zdrojem rostlinných bílkovin. Podíl sójových extrahovaných šrotů na celkové výrobě krmných směsí se pohybuje v průměru 11,1 % (2018-2020).  Sója zlepšuje půdní úrodnost a je pro svou schopnost fixovat vzdušný dusík vhodná k obohacení osevních postupů.</w:t>
      </w:r>
      <w:bookmarkStart w:id="430" w:name="_Toc15304059"/>
      <w:bookmarkStart w:id="431" w:name="_Toc23509875"/>
      <w:bookmarkStart w:id="432" w:name="_Toc76137379"/>
      <w:bookmarkStart w:id="433" w:name="_Toc76637578"/>
      <w:bookmarkStart w:id="434" w:name="_Toc80953257"/>
    </w:p>
    <w:p w14:paraId="4FBC7897" w14:textId="3D0AF3B3" w:rsidR="00A16DDB" w:rsidRPr="007F68ED" w:rsidRDefault="00A16DDB" w:rsidP="00DE7D57">
      <w:pPr>
        <w:pStyle w:val="Nadpis1"/>
        <w:numPr>
          <w:ilvl w:val="0"/>
          <w:numId w:val="21"/>
        </w:numPr>
        <w:rPr>
          <w:color w:val="000000"/>
        </w:rPr>
      </w:pPr>
      <w:bookmarkStart w:id="435" w:name="_Toc81739213"/>
      <w:r w:rsidRPr="00D95127">
        <w:t>Analýza stávajících/navrhovaných právních předpisů EK/ČR a pravděpodobné nastavení směrů a cílů SZP</w:t>
      </w:r>
      <w:bookmarkEnd w:id="430"/>
      <w:bookmarkEnd w:id="431"/>
      <w:bookmarkEnd w:id="432"/>
      <w:bookmarkEnd w:id="433"/>
      <w:bookmarkEnd w:id="434"/>
      <w:bookmarkEnd w:id="435"/>
    </w:p>
    <w:p w14:paraId="0C6B25F4" w14:textId="5DAF1268" w:rsidR="007F68ED" w:rsidRPr="00B10832" w:rsidRDefault="00A16DDB" w:rsidP="00884CA1">
      <w:pPr>
        <w:pStyle w:val="UZEINormaln"/>
        <w:rPr>
          <w:u w:val="single"/>
        </w:rPr>
      </w:pPr>
      <w:r w:rsidRPr="00B10832">
        <w:rPr>
          <w:u w:val="single"/>
        </w:rPr>
        <w:t>Tato část je zpracována souhrnně v základním analytickém dokumentu za oblast konkurenceschopnost zemědělství.</w:t>
      </w:r>
    </w:p>
    <w:p w14:paraId="25197BCC" w14:textId="3C612C05" w:rsidR="00A16DDB" w:rsidRPr="007F68ED" w:rsidRDefault="007F68ED" w:rsidP="007F68ED">
      <w:pPr>
        <w:spacing w:after="160" w:line="259" w:lineRule="auto"/>
        <w:jc w:val="left"/>
        <w:rPr>
          <w:rFonts w:eastAsia="Times New Roman" w:cstheme="minorHAnsi"/>
          <w:szCs w:val="24"/>
          <w:lang w:val="cs-CZ" w:eastAsia="cs-CZ"/>
        </w:rPr>
      </w:pPr>
      <w:r>
        <w:br w:type="page"/>
      </w:r>
    </w:p>
    <w:p w14:paraId="4431F288" w14:textId="73B5C0C7" w:rsidR="00A16DDB" w:rsidRPr="00D95127" w:rsidRDefault="00A16DDB" w:rsidP="00884CA1">
      <w:pPr>
        <w:pStyle w:val="Nadpis1"/>
      </w:pPr>
      <w:bookmarkStart w:id="436" w:name="_Toc15304060"/>
      <w:bookmarkStart w:id="437" w:name="_Toc23509876"/>
      <w:bookmarkStart w:id="438" w:name="_Toc76137380"/>
      <w:bookmarkStart w:id="439" w:name="_Toc76637579"/>
      <w:bookmarkStart w:id="440" w:name="_Toc80953258"/>
      <w:bookmarkStart w:id="441" w:name="_Toc81739214"/>
      <w:r w:rsidRPr="00D95127">
        <w:t>Co je skutečným problémem, na který má politika reagovat?</w:t>
      </w:r>
      <w:bookmarkEnd w:id="436"/>
      <w:bookmarkEnd w:id="437"/>
      <w:bookmarkEnd w:id="438"/>
      <w:bookmarkEnd w:id="439"/>
      <w:bookmarkEnd w:id="440"/>
      <w:bookmarkEnd w:id="441"/>
    </w:p>
    <w:p w14:paraId="4B322D30" w14:textId="77777777" w:rsidR="00A16DDB" w:rsidRPr="00D95127" w:rsidRDefault="00A16DDB" w:rsidP="00884CA1">
      <w:pPr>
        <w:pStyle w:val="UZEINormaln"/>
        <w:rPr>
          <w:rFonts w:cs="Times New Roman"/>
          <w:color w:val="000000"/>
        </w:rPr>
      </w:pPr>
      <w:r w:rsidRPr="00D95127">
        <w:t xml:space="preserve">Osevní plochy luskovin byly v období 2011-2014 na nízké úrovni. V posledních letech je v ČR o pěstování luskovin větší zájem daný především podporou proteinových plodin od roku 2015 v rámci celé EU. </w:t>
      </w:r>
    </w:p>
    <w:p w14:paraId="5EFC65D9" w14:textId="77777777" w:rsidR="00A16DDB" w:rsidRPr="00D95127" w:rsidRDefault="00A16DDB" w:rsidP="00884CA1">
      <w:pPr>
        <w:pStyle w:val="UZEINormaln"/>
        <w:rPr>
          <w:rFonts w:cs="Times New Roman"/>
          <w:color w:val="000000"/>
        </w:rPr>
      </w:pPr>
      <w:r w:rsidRPr="00D95127">
        <w:t xml:space="preserve">Do té doby převládal vůči pěstování luskovin v ČR konzervativní přístup, neboť na rozdíl od obilovin a řepky se </w:t>
      </w:r>
      <w:r w:rsidRPr="00D95127">
        <w:rPr>
          <w:rFonts w:cs="Times New Roman"/>
          <w:color w:val="000000"/>
        </w:rPr>
        <w:t>nedařilo u luskovin dosahovat vyšších výnosů, dobré kvality produkce a příznivé cen na trhu. Zvýšení produkce mělo vliv na menší zapojení sóji do krmných dávek pro hospodářská zvířata a snižování objemu dovozu sóji.</w:t>
      </w:r>
    </w:p>
    <w:p w14:paraId="13DC26C1" w14:textId="6C2E6C02" w:rsidR="00A16DDB" w:rsidRPr="00D95127" w:rsidRDefault="00A16DDB" w:rsidP="00884CA1">
      <w:pPr>
        <w:pStyle w:val="UZEINormaln"/>
        <w:rPr>
          <w:rFonts w:cs="Times New Roman"/>
          <w:color w:val="000000"/>
        </w:rPr>
      </w:pPr>
      <w:r w:rsidRPr="00D95127">
        <w:t xml:space="preserve">Aktuální situace na trhu proteinových plodin </w:t>
      </w:r>
      <w:r w:rsidRPr="00D95127">
        <w:rPr>
          <w:rStyle w:val="Znakapoznpodarou"/>
          <w:color w:val="000000"/>
        </w:rPr>
        <w:footnoteReference w:id="22"/>
      </w:r>
      <w:r w:rsidRPr="00D95127">
        <w:rPr>
          <w:rFonts w:cs="Times New Roman"/>
          <w:color w:val="000000"/>
        </w:rPr>
        <w:t>je v EU nepříznivá především z hlediska potřeby bílkovinných komponentů do krmných směsí. Evropský trh proteinů je tak ohrožen deficitem proteinových komodit. Rostlinné bílkoviny mají důležité místo v potravinovém zabezpečení ve výživě lidí a hospodářských zvířat, k ochraně životního prostředí (omezení syntetických dusíkatých hnojiv). Vzhledem k deficitu rostlinných bílkovinných plodin v EU vhodných ke krmivářským účelům byl Evropským parlamentem vypracován tzv. Proteinový plán</w:t>
      </w:r>
      <w:r w:rsidRPr="00D95127">
        <w:rPr>
          <w:rStyle w:val="Znakapoznpodarou"/>
          <w:color w:val="000000"/>
        </w:rPr>
        <w:footnoteReference w:id="23"/>
      </w:r>
      <w:r w:rsidRPr="00D95127">
        <w:rPr>
          <w:rFonts w:cs="Times New Roman"/>
          <w:color w:val="000000"/>
        </w:rPr>
        <w:t xml:space="preserve">. </w:t>
      </w:r>
    </w:p>
    <w:p w14:paraId="4B9EAD23" w14:textId="77777777" w:rsidR="00B32C07" w:rsidRDefault="00B32C07">
      <w:pPr>
        <w:spacing w:after="160" w:line="259" w:lineRule="auto"/>
        <w:jc w:val="left"/>
        <w:rPr>
          <w:rFonts w:eastAsiaTheme="majorEastAsia" w:cs="Times New Roman"/>
          <w:b/>
          <w:bCs/>
          <w:sz w:val="28"/>
          <w:szCs w:val="32"/>
          <w:lang w:val="cs-CZ"/>
        </w:rPr>
      </w:pPr>
      <w:bookmarkStart w:id="442" w:name="_Toc27172166"/>
      <w:bookmarkStart w:id="443" w:name="_Toc27172818"/>
      <w:bookmarkStart w:id="444" w:name="_Toc27172971"/>
      <w:bookmarkStart w:id="445" w:name="_Toc76137381"/>
      <w:bookmarkStart w:id="446" w:name="_Toc76637580"/>
      <w:bookmarkStart w:id="447" w:name="_Toc77377687"/>
      <w:bookmarkStart w:id="448" w:name="_Toc80953259"/>
      <w:bookmarkStart w:id="449" w:name="_Toc27172167"/>
      <w:bookmarkStart w:id="450" w:name="_Toc27172819"/>
      <w:bookmarkStart w:id="451" w:name="_Toc27172972"/>
      <w:bookmarkStart w:id="452" w:name="_Toc76137382"/>
      <w:bookmarkStart w:id="453" w:name="_Toc76637581"/>
      <w:bookmarkStart w:id="454" w:name="_Toc77377688"/>
      <w:bookmarkStart w:id="455" w:name="_Toc80953260"/>
      <w:bookmarkStart w:id="456" w:name="_Toc15304061"/>
      <w:bookmarkStart w:id="457" w:name="_Toc23509877"/>
      <w:bookmarkStart w:id="458" w:name="_Toc76137383"/>
      <w:bookmarkStart w:id="459" w:name="_Toc76637582"/>
      <w:bookmarkStart w:id="460" w:name="_Toc8095326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r>
        <w:br w:type="page"/>
      </w:r>
    </w:p>
    <w:p w14:paraId="184C687D" w14:textId="37517913" w:rsidR="00A16DDB" w:rsidRPr="00D95127" w:rsidRDefault="00A16DDB" w:rsidP="00884CA1">
      <w:pPr>
        <w:pStyle w:val="Nadpis1"/>
      </w:pPr>
      <w:bookmarkStart w:id="461" w:name="_Toc81739215"/>
      <w:r w:rsidRPr="00D95127">
        <w:t>Jaký je mechanismus a příčiny tohoto problému?</w:t>
      </w:r>
      <w:bookmarkEnd w:id="456"/>
      <w:bookmarkEnd w:id="457"/>
      <w:bookmarkEnd w:id="458"/>
      <w:bookmarkEnd w:id="459"/>
      <w:bookmarkEnd w:id="460"/>
      <w:bookmarkEnd w:id="461"/>
    </w:p>
    <w:p w14:paraId="46514BA4" w14:textId="77777777" w:rsidR="00A16DDB" w:rsidRPr="00D95127" w:rsidRDefault="00A16DDB" w:rsidP="007B2030">
      <w:pPr>
        <w:pStyle w:val="UZEINormaln"/>
        <w:rPr>
          <w:rFonts w:cs="Times New Roman"/>
          <w:color w:val="000000"/>
        </w:rPr>
      </w:pPr>
      <w:r w:rsidRPr="00D95127">
        <w:t>Hlavním důvodem, který má vliv na případné snižování ploch luskovin je záporná míra rentability pěstování. Vedle dosahovaných nízkých výnosů luskovin, mají na ekonomiku pěstování luskovin vliv i následující faktory:</w:t>
      </w:r>
    </w:p>
    <w:p w14:paraId="37CFB050" w14:textId="77777777" w:rsidR="00A16DDB" w:rsidRPr="007F68ED" w:rsidRDefault="00A16DDB" w:rsidP="007B2030">
      <w:pPr>
        <w:pStyle w:val="UZEIOdrky"/>
        <w:rPr>
          <w:b/>
          <w:bCs/>
        </w:rPr>
      </w:pPr>
      <w:r w:rsidRPr="007F68ED">
        <w:rPr>
          <w:b/>
          <w:bCs/>
        </w:rPr>
        <w:t xml:space="preserve">silná citlivost luskovin na stav povětrnostních podmínek (náročnost na vláhu), </w:t>
      </w:r>
    </w:p>
    <w:p w14:paraId="35ABCFD2" w14:textId="77777777" w:rsidR="00A16DDB" w:rsidRPr="007F68ED" w:rsidRDefault="00A16DDB" w:rsidP="007B2030">
      <w:pPr>
        <w:pStyle w:val="UZEIOdrky"/>
        <w:rPr>
          <w:b/>
          <w:bCs/>
        </w:rPr>
      </w:pPr>
      <w:r w:rsidRPr="007F68ED">
        <w:rPr>
          <w:b/>
          <w:bCs/>
        </w:rPr>
        <w:t xml:space="preserve">vysoké náklady na osivo (velká semena – vysoký výsevek) a ošetření (častá napadení škůdci), </w:t>
      </w:r>
    </w:p>
    <w:p w14:paraId="1B506E34" w14:textId="77777777" w:rsidR="00A16DDB" w:rsidRPr="007F68ED" w:rsidRDefault="00A16DDB" w:rsidP="007B2030">
      <w:pPr>
        <w:pStyle w:val="UZEIOdrky"/>
        <w:rPr>
          <w:b/>
          <w:bCs/>
        </w:rPr>
      </w:pPr>
      <w:r w:rsidRPr="007F68ED">
        <w:rPr>
          <w:b/>
          <w:bCs/>
        </w:rPr>
        <w:t>farmářské ceny luskovin a jejich konkurenceschopnost vůči ostatním komponentům krmných směsí (zejména sójovým pokrutinám) a obilovinám,</w:t>
      </w:r>
    </w:p>
    <w:p w14:paraId="77A07C3B" w14:textId="77777777" w:rsidR="00A16DDB" w:rsidRPr="007F68ED" w:rsidRDefault="00A16DDB" w:rsidP="007B2030">
      <w:pPr>
        <w:pStyle w:val="UZEIOdrky"/>
        <w:rPr>
          <w:b/>
          <w:bCs/>
        </w:rPr>
      </w:pPr>
      <w:r w:rsidRPr="007F68ED">
        <w:rPr>
          <w:b/>
          <w:bCs/>
        </w:rPr>
        <w:t>postupné kvetení a zrání lusků na rostlinách (nevyrovnaná zralost semen),</w:t>
      </w:r>
    </w:p>
    <w:p w14:paraId="62CADE3D" w14:textId="77777777" w:rsidR="00A16DDB" w:rsidRPr="007F68ED" w:rsidRDefault="00A16DDB" w:rsidP="007B2030">
      <w:pPr>
        <w:pStyle w:val="UZEIOdrky"/>
        <w:rPr>
          <w:b/>
          <w:bCs/>
        </w:rPr>
      </w:pPr>
      <w:r w:rsidRPr="007F68ED">
        <w:rPr>
          <w:b/>
          <w:bCs/>
        </w:rPr>
        <w:t>nevyrovnané zrání jednotlivých rostlin v porostu (reakce na půdní podmínky, hustotu porostu, případně na zaplevelení nebo výskyt dalších redukujících faktorů),</w:t>
      </w:r>
    </w:p>
    <w:p w14:paraId="1BBCBF47" w14:textId="77777777" w:rsidR="00A16DDB" w:rsidRPr="007F68ED" w:rsidRDefault="00A16DDB" w:rsidP="007B2030">
      <w:pPr>
        <w:pStyle w:val="UZEIOdrky"/>
        <w:rPr>
          <w:b/>
          <w:bCs/>
        </w:rPr>
      </w:pPr>
      <w:r w:rsidRPr="007F68ED">
        <w:rPr>
          <w:b/>
          <w:bCs/>
        </w:rPr>
        <w:t>náchylnost k pukání lusků a k výdrolu.</w:t>
      </w:r>
    </w:p>
    <w:p w14:paraId="3302B699" w14:textId="77777777" w:rsidR="00A16DDB" w:rsidRPr="00D95127" w:rsidRDefault="00A16DDB" w:rsidP="007B2030">
      <w:pPr>
        <w:pStyle w:val="UZEINormaln"/>
        <w:rPr>
          <w:rFonts w:cs="Times New Roman"/>
          <w:color w:val="000000"/>
        </w:rPr>
      </w:pPr>
      <w:r w:rsidRPr="00D95127">
        <w:t xml:space="preserve">Rentabilita pěstování luskovin je kromě realizační ceny závislá na hektarovém výnosu, který je ovlivněn následujícími faktory: </w:t>
      </w:r>
    </w:p>
    <w:p w14:paraId="0A23E114" w14:textId="77777777" w:rsidR="00A16DDB" w:rsidRPr="00D95127" w:rsidRDefault="00A16DDB" w:rsidP="007B2030">
      <w:pPr>
        <w:pStyle w:val="UZEIOdrky"/>
      </w:pPr>
      <w:r w:rsidRPr="00D95127">
        <w:t xml:space="preserve">zvolená technologie sklizně </w:t>
      </w:r>
    </w:p>
    <w:p w14:paraId="1D7E7969" w14:textId="77777777" w:rsidR="00A16DDB" w:rsidRPr="00D95127" w:rsidRDefault="00A16DDB" w:rsidP="007B2030">
      <w:pPr>
        <w:pStyle w:val="UZEIOdrky"/>
      </w:pPr>
      <w:r w:rsidRPr="00D95127">
        <w:t xml:space="preserve">sklizňová zralost porostu a vyrovnanost ve zralosti rostlin </w:t>
      </w:r>
    </w:p>
    <w:p w14:paraId="18046D04" w14:textId="77777777" w:rsidR="00A16DDB" w:rsidRPr="00D95127" w:rsidRDefault="00A16DDB" w:rsidP="007B2030">
      <w:pPr>
        <w:pStyle w:val="UZEIOdrky"/>
      </w:pPr>
      <w:r w:rsidRPr="00D95127">
        <w:t xml:space="preserve">délka období sklizně </w:t>
      </w:r>
    </w:p>
    <w:p w14:paraId="7CD6EAF2" w14:textId="77777777" w:rsidR="00A16DDB" w:rsidRPr="00D95127" w:rsidRDefault="00A16DDB" w:rsidP="007B2030">
      <w:pPr>
        <w:pStyle w:val="UZEIOdrky"/>
      </w:pPr>
      <w:r w:rsidRPr="00D95127">
        <w:t xml:space="preserve">použitá technika a její seřízení (strojů, nářadí) </w:t>
      </w:r>
    </w:p>
    <w:p w14:paraId="5C004477" w14:textId="77777777" w:rsidR="00A16DDB" w:rsidRPr="00D95127" w:rsidRDefault="00A16DDB" w:rsidP="007B2030">
      <w:pPr>
        <w:pStyle w:val="UZEIOdrky"/>
      </w:pPr>
      <w:r w:rsidRPr="00D95127">
        <w:t xml:space="preserve">povětrnostní podmínky </w:t>
      </w:r>
    </w:p>
    <w:p w14:paraId="114F817E" w14:textId="77777777" w:rsidR="00A16DDB" w:rsidRPr="00D95127" w:rsidRDefault="00A16DDB" w:rsidP="00B32C07">
      <w:pPr>
        <w:pStyle w:val="UZEINormaln"/>
        <w:rPr>
          <w:rFonts w:cs="Times New Roman"/>
          <w:color w:val="000000"/>
        </w:rPr>
      </w:pPr>
      <w:r w:rsidRPr="00D95127">
        <w:t xml:space="preserve">Uvedené faktory v oblasti luskovin výrazně ovlivňují rentabilitu pěstování. Podle nákladového šetření ÚZEI je nákladová rentabilita luskovin převážně záporná, náklady na produkci jsou vyšší než cena, za kterou je produkce realizována. Souhrnná rentabilita zahrnující přímé platby, VCS a ostatní podpory se zlepšila hlavně u hrachu a bobu, u sóji k výraznému zlepšení rentability nedošlo. V případě bobu a sóji jde ale o marginálně zastoupené plodiny ve výběrovém šetření nákladů s menším počtem respondentů. </w:t>
      </w:r>
    </w:p>
    <w:p w14:paraId="37CD4F2F" w14:textId="77777777" w:rsidR="00B32C07" w:rsidRDefault="00B32C07">
      <w:pPr>
        <w:spacing w:after="160" w:line="259" w:lineRule="auto"/>
        <w:jc w:val="left"/>
        <w:rPr>
          <w:rFonts w:eastAsia="Times New Roman" w:cs="Arial"/>
          <w:b/>
          <w:color w:val="000000" w:themeColor="text1"/>
          <w:sz w:val="20"/>
          <w:szCs w:val="20"/>
          <w:highlight w:val="lightGray"/>
          <w:lang w:val="cs-CZ" w:eastAsia="cs-CZ"/>
        </w:rPr>
      </w:pPr>
      <w:r>
        <w:rPr>
          <w:highlight w:val="lightGray"/>
        </w:rPr>
        <w:br w:type="page"/>
      </w:r>
    </w:p>
    <w:p w14:paraId="322786B5" w14:textId="2164EC63" w:rsidR="00A16DDB" w:rsidRPr="007F68ED" w:rsidRDefault="00A16DDB" w:rsidP="007F68ED">
      <w:pPr>
        <w:pStyle w:val="UZEITaB"/>
      </w:pPr>
      <w:bookmarkStart w:id="462" w:name="_Toc81738465"/>
      <w:r w:rsidRPr="007F68ED">
        <w:t>Ekonomika pěstování bílkovinných plodin v letech 2011–2020</w:t>
      </w:r>
      <w:bookmarkEnd w:id="462"/>
    </w:p>
    <w:p w14:paraId="31678F9E" w14:textId="77777777" w:rsidR="00A16DDB" w:rsidRPr="00D95127" w:rsidRDefault="00A16DDB" w:rsidP="00A16DDB">
      <w:pPr>
        <w:rPr>
          <w:rFonts w:cs="Times New Roman"/>
          <w:szCs w:val="24"/>
          <w:lang w:val="cs-CZ" w:eastAsia="cs-CZ"/>
        </w:rPr>
      </w:pPr>
      <w:r w:rsidRPr="00D95127">
        <w:rPr>
          <w:rFonts w:cs="Times New Roman"/>
          <w:noProof/>
          <w:lang w:val="cs-CZ"/>
        </w:rPr>
        <w:drawing>
          <wp:inline distT="0" distB="0" distL="0" distR="0" wp14:anchorId="51721B1D" wp14:editId="2186FCE1">
            <wp:extent cx="5760720" cy="3721211"/>
            <wp:effectExtent l="0" t="0" r="0" b="0"/>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61657" cy="3721816"/>
                    </a:xfrm>
                    <a:prstGeom prst="rect">
                      <a:avLst/>
                    </a:prstGeom>
                    <a:noFill/>
                    <a:ln>
                      <a:noFill/>
                    </a:ln>
                  </pic:spPr>
                </pic:pic>
              </a:graphicData>
            </a:graphic>
          </wp:inline>
        </w:drawing>
      </w:r>
    </w:p>
    <w:p w14:paraId="6CFD6D46" w14:textId="77777777" w:rsidR="00A16DDB" w:rsidRPr="00D95127" w:rsidRDefault="00A16DDB" w:rsidP="00B32C07">
      <w:pPr>
        <w:pStyle w:val="UZEIZdroj"/>
        <w:rPr>
          <w:i w:val="0"/>
          <w:sz w:val="18"/>
          <w:szCs w:val="18"/>
          <w:lang w:eastAsia="cs-CZ"/>
        </w:rPr>
      </w:pPr>
      <w:r w:rsidRPr="00B32C07">
        <w:t>Pramen: Ceny a náklady-Výběrové šetření o nákladech a výnosech zemědělských výrobků ÚZEI, dotace - vlastní výpočet dle sazeb vyhlášených MZe</w:t>
      </w:r>
    </w:p>
    <w:p w14:paraId="5155FE34" w14:textId="77777777" w:rsidR="00A16DDB" w:rsidRPr="00D95127" w:rsidRDefault="00A16DDB" w:rsidP="00B32C07">
      <w:pPr>
        <w:pStyle w:val="UZEIZdroj"/>
        <w:rPr>
          <w:i w:val="0"/>
          <w:sz w:val="18"/>
          <w:szCs w:val="18"/>
          <w:lang w:eastAsia="cs-CZ"/>
        </w:rPr>
      </w:pPr>
      <w:r w:rsidRPr="00B32C07">
        <w:t>Poznámka:</w:t>
      </w:r>
    </w:p>
    <w:p w14:paraId="6B0600C2" w14:textId="77777777" w:rsidR="00A16DDB" w:rsidRPr="00D95127" w:rsidRDefault="00A16DDB" w:rsidP="00B32C07">
      <w:pPr>
        <w:pStyle w:val="UZEIZdroj"/>
        <w:rPr>
          <w:i w:val="0"/>
          <w:sz w:val="18"/>
          <w:szCs w:val="18"/>
          <w:lang w:eastAsia="cs-CZ"/>
        </w:rPr>
      </w:pPr>
      <w:r w:rsidRPr="00B32C07">
        <w:t>Odhad za rok 2020.</w:t>
      </w:r>
    </w:p>
    <w:p w14:paraId="6057F395" w14:textId="77777777" w:rsidR="00A16DDB" w:rsidRPr="00D95127" w:rsidRDefault="00A16DDB" w:rsidP="00B32C07">
      <w:pPr>
        <w:pStyle w:val="UZEIZdroj"/>
        <w:rPr>
          <w:i w:val="0"/>
          <w:sz w:val="18"/>
          <w:szCs w:val="18"/>
          <w:lang w:eastAsia="cs-CZ"/>
        </w:rPr>
      </w:pPr>
      <w:r w:rsidRPr="00B32C07">
        <w:t>Realizační cena není známa, nebo není dostatečný počet respondentů. Pro rok 2018 u bobu CZV průměr Německo (přepočet kurzem 25,643 Kč/EUR), u sóji cena OC CIF Rotterdam (přepočet kurzem 21,735 Kč/USD), u vojtěšky a jetele cena ve výši vlastních nákladů výrobku.</w:t>
      </w:r>
    </w:p>
    <w:p w14:paraId="2928848E" w14:textId="77777777" w:rsidR="00A16DDB" w:rsidRPr="00D95127" w:rsidRDefault="00A16DDB" w:rsidP="00B32C07">
      <w:pPr>
        <w:pStyle w:val="UZEIZdroj"/>
        <w:rPr>
          <w:i w:val="0"/>
          <w:sz w:val="18"/>
          <w:szCs w:val="18"/>
          <w:lang w:eastAsia="cs-CZ"/>
        </w:rPr>
      </w:pPr>
      <w:r w:rsidRPr="00B32C07">
        <w:t>dotace celkem zahrnují-SAPS, Top Up, Greening, PVP zemědělská půda, VCS bílkovinné plodiny, Podporu Zelené nafty RV, Podporu pojištění RV, Podporu LFA, Podporu na zmírnění škod způsobených suchem</w:t>
      </w:r>
    </w:p>
    <w:p w14:paraId="3B3184DA" w14:textId="64A8D1D4" w:rsidR="00A16DDB" w:rsidRPr="00D95127" w:rsidRDefault="00A16DDB" w:rsidP="00B32C07">
      <w:pPr>
        <w:pStyle w:val="UZEINormaln"/>
        <w:rPr>
          <w:rFonts w:cs="Times New Roman"/>
          <w:color w:val="000000"/>
        </w:rPr>
      </w:pPr>
      <w:r w:rsidRPr="00D95127">
        <w:t xml:space="preserve">Od roku 2015 došlo k růstu domácí produkce luskovin, která však dosud nepokrývá domácí potřebu luskovin k výrobě krmiv. Cenová volatilita a nevyrovnané výnosy pěstitele nemotivují k většímu rozšíření výměry. Domácí potřeba je kryta dovozy sójových extrahovaných šrotů, které jsou hlavním zdrojem proteinů pro domácí krmivářský průmysl a luštěnin k potravinářským účelům (čočka, fazole, hrách). Obsah bílkovin v sušině se pohybuje mezi 20 až 45 % (hrách 20 – 25%, bob 25 – 30%, lupina 36 – 41%, sója 35 – 45%). Vysoká poptávka a lepší zpeněžení produkce v zahraničí má vliv na vývozy luštěnin. Nejvyšší podíl na vývozu luštěnin má hrách. </w:t>
      </w:r>
    </w:p>
    <w:p w14:paraId="10CE749D" w14:textId="77777777" w:rsidR="00B32C07" w:rsidRDefault="00B32C07">
      <w:pPr>
        <w:spacing w:after="160" w:line="259" w:lineRule="auto"/>
        <w:jc w:val="left"/>
        <w:rPr>
          <w:rFonts w:eastAsia="Times New Roman" w:cs="Arial"/>
          <w:b/>
          <w:color w:val="000000" w:themeColor="text1"/>
          <w:sz w:val="20"/>
          <w:szCs w:val="20"/>
          <w:lang w:val="cs-CZ" w:eastAsia="cs-CZ"/>
        </w:rPr>
      </w:pPr>
      <w:r>
        <w:br w:type="page"/>
      </w:r>
    </w:p>
    <w:p w14:paraId="75C26E9E" w14:textId="35120ECC" w:rsidR="00A16DDB" w:rsidRPr="00D95127" w:rsidRDefault="00A16DDB" w:rsidP="00B32C07">
      <w:pPr>
        <w:pStyle w:val="UZEITaB"/>
      </w:pPr>
      <w:bookmarkStart w:id="463" w:name="_Toc81738466"/>
      <w:r w:rsidRPr="00D95127">
        <w:t>Bilance luskovin v ČR v marketingových letech 2011/2012–2019/2020 (t)</w:t>
      </w:r>
      <w:bookmarkEnd w:id="463"/>
      <w:r w:rsidRPr="00D95127">
        <w:t xml:space="preserve"> </w:t>
      </w:r>
    </w:p>
    <w:p w14:paraId="3F1A91EB" w14:textId="77777777" w:rsidR="00A16DDB" w:rsidRPr="00D95127" w:rsidRDefault="00A16DDB" w:rsidP="00A16DDB">
      <w:pPr>
        <w:rPr>
          <w:rFonts w:cs="Times New Roman"/>
          <w:i/>
          <w:color w:val="000000"/>
          <w:szCs w:val="24"/>
          <w:lang w:val="cs-CZ"/>
        </w:rPr>
      </w:pPr>
      <w:r w:rsidRPr="00D95127">
        <w:rPr>
          <w:rFonts w:cs="Times New Roman"/>
          <w:noProof/>
          <w:lang w:val="cs-CZ"/>
        </w:rPr>
        <w:drawing>
          <wp:inline distT="0" distB="0" distL="0" distR="0" wp14:anchorId="52A0194E" wp14:editId="62F7AFCF">
            <wp:extent cx="5760720" cy="2043486"/>
            <wp:effectExtent l="0" t="0" r="0"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63900" cy="2044614"/>
                    </a:xfrm>
                    <a:prstGeom prst="rect">
                      <a:avLst/>
                    </a:prstGeom>
                    <a:noFill/>
                    <a:ln>
                      <a:noFill/>
                    </a:ln>
                  </pic:spPr>
                </pic:pic>
              </a:graphicData>
            </a:graphic>
          </wp:inline>
        </w:drawing>
      </w:r>
    </w:p>
    <w:p w14:paraId="7586F476" w14:textId="0A235F2F" w:rsidR="007F68ED" w:rsidRDefault="00A16DDB" w:rsidP="00B32C07">
      <w:pPr>
        <w:pStyle w:val="UZEINormaln"/>
      </w:pPr>
      <w:r w:rsidRPr="00D95127">
        <w:t>V období 2011-2019 se produkce luskovin postupně zvyšovala a v roce 2017 byla za celé období nejvyšší (100,4 tis. t), poté se meziročně snížila o 21 %. O dalších 5,4 tis. t klesla v roce 2019/20. Hlavní důvod byl v poklesu výnosu luskovin. Od roku 2017-2020 dosáhli pěstitelé průměrného výnosu 5,7 t/ha především z důvodu rozsáhlého sucha, zatímco průměrný výnos v období 2011-2016 byl 6,5 t/ha. Zvyšování produkce luskovin bylo dáno zvýšením produkčních ploch. Současně s růstem produkce luskovin dochází v bilanci semene luskovin i ke zvýšení spotřeby a vývozu. Trend vzestupu exportu je ovlivněn silnou poptávkou v zahraničí. V souvislosti se změnami SZP (VCS a greening) pozorujeme vzestup zájmu o osiva a nárůst množitelských ploch, což se promítá do vyšší spotřeby osiv. Potravinářské užití zaznamenává v posledních letech též mírný vzestup. Úroveň dovozu je stále vysoká. V období 2011-2014 byl průměrný podíl dovozu na celkové nabídce 21,5 %, od roku 2015 do 2019 klesl tento podíl 12,7 %. Bilance zahraničního obchodu zůstává vzhledem k převaze vývozu nad dovozem kladná.</w:t>
      </w:r>
    </w:p>
    <w:p w14:paraId="6CD3885E" w14:textId="555302E0" w:rsidR="00A16DDB" w:rsidRPr="007F68ED" w:rsidRDefault="007F68ED" w:rsidP="007F68ED">
      <w:pPr>
        <w:spacing w:after="160" w:line="259" w:lineRule="auto"/>
        <w:jc w:val="left"/>
        <w:rPr>
          <w:rFonts w:eastAsia="Times New Roman" w:cstheme="minorHAnsi"/>
          <w:szCs w:val="24"/>
          <w:lang w:val="cs-CZ" w:eastAsia="cs-CZ"/>
        </w:rPr>
      </w:pPr>
      <w:r>
        <w:br w:type="page"/>
      </w:r>
    </w:p>
    <w:p w14:paraId="74325A5C" w14:textId="3C5060F2" w:rsidR="00A16DDB" w:rsidRPr="00D95127" w:rsidRDefault="00A16DDB" w:rsidP="00B32C07">
      <w:pPr>
        <w:pStyle w:val="Nadpis1"/>
      </w:pPr>
      <w:bookmarkStart w:id="464" w:name="_Toc76137384"/>
      <w:bookmarkStart w:id="465" w:name="_Toc76637583"/>
      <w:bookmarkStart w:id="466" w:name="_Toc77377690"/>
      <w:bookmarkStart w:id="467" w:name="_Toc80953262"/>
      <w:bookmarkStart w:id="468" w:name="_Toc15304062"/>
      <w:bookmarkStart w:id="469" w:name="_Toc23509878"/>
      <w:bookmarkStart w:id="470" w:name="_Toc76137385"/>
      <w:bookmarkStart w:id="471" w:name="_Toc76637584"/>
      <w:bookmarkStart w:id="472" w:name="_Toc80953263"/>
      <w:bookmarkStart w:id="473" w:name="_Toc81739216"/>
      <w:bookmarkEnd w:id="464"/>
      <w:bookmarkEnd w:id="465"/>
      <w:bookmarkEnd w:id="466"/>
      <w:bookmarkEnd w:id="467"/>
      <w:r w:rsidRPr="00D95127">
        <w:t>Jak závažný je tento problém?</w:t>
      </w:r>
      <w:bookmarkEnd w:id="468"/>
      <w:bookmarkEnd w:id="469"/>
      <w:bookmarkEnd w:id="470"/>
      <w:bookmarkEnd w:id="471"/>
      <w:bookmarkEnd w:id="472"/>
      <w:bookmarkEnd w:id="473"/>
    </w:p>
    <w:p w14:paraId="4AC15FAD" w14:textId="77777777" w:rsidR="00A16DDB" w:rsidRPr="00D95127" w:rsidRDefault="00A16DDB" w:rsidP="00B32C07">
      <w:pPr>
        <w:pStyle w:val="UZEINormaln"/>
        <w:rPr>
          <w:rFonts w:cs="Times New Roman"/>
        </w:rPr>
      </w:pPr>
      <w:r w:rsidRPr="00D95127">
        <w:t xml:space="preserve">Zastoupení bílkovinných plodin (zde luskovin) v krmných směsích v České republice je velice nízké. V současné době (2018-2020) je průměrný obsah luskovin v krmných směsích řádově do 1,2 do 1,5 %. Při tom </w:t>
      </w:r>
      <w:r w:rsidRPr="00D95127">
        <w:rPr>
          <w:rFonts w:cs="Times New Roman"/>
        </w:rPr>
        <w:t>by bylo možno cca 50 % obsahu sóji nahradit právě tuzemskými luskovinami bez nepříznivých dopadů na výživovou hodnotu. Např. v</w:t>
      </w:r>
      <w:r w:rsidRPr="00D95127">
        <w:rPr>
          <w:rFonts w:cs="Times New Roman"/>
          <w:color w:val="000000"/>
        </w:rPr>
        <w:t>ýnosový potenciál u současných odrůd bobu několikanásobně převyšuje úroveň výnosů dosahovanou domácími pěstiteli. Vzhledem k tomu, že domácí krmivářský průmysl zůstává vůči bobu konzervativní, nelze přesněji odhadovat jeho další vývoj pěstování a využívání. K intenzifikaci pěstování bobu by mělo dojít zejména u pěstitelů, kteří jej dokážou sami využít ke krmení, nebo prodat obchodníkům na vývoz.</w:t>
      </w:r>
    </w:p>
    <w:p w14:paraId="0FD13407" w14:textId="798850D0" w:rsidR="00A16DDB" w:rsidRPr="00D95127" w:rsidRDefault="00A16DDB" w:rsidP="00B32C07">
      <w:pPr>
        <w:pStyle w:val="UZEINormaln"/>
        <w:rPr>
          <w:rFonts w:cs="Times New Roman"/>
        </w:rPr>
      </w:pPr>
      <w:r w:rsidRPr="00D95127">
        <w:t>Z nutričního hlediska je možné zvýšit podíl luskovin v krmných směsích v průměru až na 10 %, což by představovalo v porovnání se současným stavem výrazný nárůst. Při současné roční průmyslové výrobě krmných směsí cca 2,6 mil. t (2018-2020) by se mohla využít velká část luskovin z domácí produkce, což by představovalo při průměrném výnosu 1,9 tuny/ha celkovou osevní plochu asi 47 246 ha (Ø 2018-2020). V oblasti luskovin jsou výrobci krmných směsí pro monogastrická zvířata závislí na dovozu sójových produktů. Domácí produkce sóji je minimální, i když se meziročně zvyšuje, podobně i produkce krmného hrachu. V souvislosti s nárůstem potravinářské spotřeby luskovin je předpoklad mírného růstu ploch a produkce těchto plodin.</w:t>
      </w:r>
    </w:p>
    <w:p w14:paraId="67C59E06" w14:textId="77777777" w:rsidR="00A16DDB" w:rsidRPr="00D95127" w:rsidRDefault="00A16DDB" w:rsidP="00B32C07">
      <w:pPr>
        <w:pStyle w:val="UZEINormaln"/>
        <w:rPr>
          <w:rFonts w:cs="Times New Roman"/>
        </w:rPr>
      </w:pPr>
      <w:r w:rsidRPr="00D95127">
        <w:t>Je důležité, aby SZP podporovala bílkovinné plodiny pomocí dobrovolné podpory vázané na produkci a ekologických plateb, ale také pomocí druhého pilíře, zejména díky agroenvironmentálním opatřením v oblasti ekologického zemědělství, investic, kvality, poradenství, odborné přípravy s přihlédnutím na inovace a na podporu perspektivních technologií pěstování.</w:t>
      </w:r>
    </w:p>
    <w:p w14:paraId="234C2FD6" w14:textId="77777777" w:rsidR="00A16DDB" w:rsidRPr="00D95127" w:rsidRDefault="00A16DDB" w:rsidP="00B32C07">
      <w:pPr>
        <w:pStyle w:val="Nadpis1"/>
      </w:pPr>
      <w:bookmarkStart w:id="474" w:name="_Toc23509879"/>
      <w:bookmarkStart w:id="475" w:name="_Toc76137386"/>
      <w:bookmarkStart w:id="476" w:name="_Toc76637585"/>
      <w:bookmarkStart w:id="477" w:name="_Toc80953264"/>
      <w:bookmarkStart w:id="478" w:name="_Toc81739217"/>
      <w:r w:rsidRPr="00D95127">
        <w:t>Míra stávajícího řešení problému</w:t>
      </w:r>
      <w:bookmarkStart w:id="479" w:name="_Toc15304064"/>
      <w:bookmarkStart w:id="480" w:name="_Toc23509880"/>
      <w:bookmarkEnd w:id="474"/>
      <w:bookmarkEnd w:id="475"/>
      <w:bookmarkEnd w:id="476"/>
      <w:bookmarkEnd w:id="477"/>
      <w:bookmarkEnd w:id="478"/>
    </w:p>
    <w:p w14:paraId="3CD3EE8C" w14:textId="77777777" w:rsidR="00A16DDB" w:rsidRPr="007F68ED" w:rsidRDefault="00A16DDB" w:rsidP="007F68ED">
      <w:pPr>
        <w:pStyle w:val="Nadpis2"/>
      </w:pPr>
      <w:bookmarkStart w:id="481" w:name="_Toc76137387"/>
      <w:bookmarkStart w:id="482" w:name="_Toc76637586"/>
      <w:bookmarkStart w:id="483" w:name="_Toc80953265"/>
      <w:bookmarkStart w:id="484" w:name="_Toc81739218"/>
      <w:r w:rsidRPr="007F68ED">
        <w:t>Míra řešení ve stávající SZP (úspěšnost/neúspěšnost)</w:t>
      </w:r>
      <w:bookmarkEnd w:id="479"/>
      <w:bookmarkEnd w:id="480"/>
      <w:bookmarkEnd w:id="481"/>
      <w:bookmarkEnd w:id="482"/>
      <w:bookmarkEnd w:id="483"/>
      <w:bookmarkEnd w:id="484"/>
    </w:p>
    <w:p w14:paraId="2973477A" w14:textId="1F93EA6F" w:rsidR="00A16DDB" w:rsidRDefault="00A16DDB" w:rsidP="00B32C07">
      <w:pPr>
        <w:pStyle w:val="UZEINormaln"/>
        <w:rPr>
          <w:rFonts w:cs="Times New Roman"/>
        </w:rPr>
      </w:pPr>
      <w:r w:rsidRPr="00D95127">
        <w:t xml:space="preserve">Dotační podpory pro zemědělce pěstující </w:t>
      </w:r>
      <w:r w:rsidRPr="00D95127">
        <w:rPr>
          <w:rFonts w:cs="Times New Roman"/>
        </w:rPr>
        <w:t xml:space="preserve">některou z níže uvedených luskovin (hrách, bob, sója) v období 2011-2020 měly shodné výše podpor, po roce se 2015 se se zavedením nových dotačních titulů (greening, VCS, LFA, pojistné RV, vratka na zelenou naftu a podpora na zmírnění škod způsobených suchem) se vzájemně odlišovaly. </w:t>
      </w:r>
    </w:p>
    <w:p w14:paraId="08955615" w14:textId="6414081E" w:rsidR="007F68ED" w:rsidRDefault="007F68ED" w:rsidP="00B32C07">
      <w:pPr>
        <w:pStyle w:val="UZEINormaln"/>
        <w:rPr>
          <w:rFonts w:cs="Times New Roman"/>
        </w:rPr>
      </w:pPr>
    </w:p>
    <w:p w14:paraId="6F885258" w14:textId="5BCBE5F0" w:rsidR="007F68ED" w:rsidRDefault="007F68ED" w:rsidP="00B32C07">
      <w:pPr>
        <w:pStyle w:val="UZEINormaln"/>
        <w:rPr>
          <w:rFonts w:cs="Times New Roman"/>
        </w:rPr>
      </w:pPr>
    </w:p>
    <w:p w14:paraId="38411EA6" w14:textId="3541A6D0" w:rsidR="007F68ED" w:rsidRDefault="007F68ED" w:rsidP="00B32C07">
      <w:pPr>
        <w:pStyle w:val="UZEINormaln"/>
        <w:rPr>
          <w:rFonts w:cs="Times New Roman"/>
        </w:rPr>
      </w:pPr>
    </w:p>
    <w:p w14:paraId="32A9519B" w14:textId="24AC6B32" w:rsidR="007F68ED" w:rsidRDefault="007F68ED" w:rsidP="00B32C07">
      <w:pPr>
        <w:pStyle w:val="UZEINormaln"/>
        <w:rPr>
          <w:rFonts w:cs="Times New Roman"/>
        </w:rPr>
      </w:pPr>
    </w:p>
    <w:p w14:paraId="0599265F" w14:textId="5F61CFBE" w:rsidR="007F68ED" w:rsidRDefault="007F68ED" w:rsidP="00B32C07">
      <w:pPr>
        <w:pStyle w:val="UZEINormaln"/>
        <w:rPr>
          <w:rFonts w:cs="Times New Roman"/>
        </w:rPr>
      </w:pPr>
    </w:p>
    <w:p w14:paraId="466BA5EF" w14:textId="2AC9899B" w:rsidR="007F68ED" w:rsidRDefault="007F68ED" w:rsidP="00B32C07">
      <w:pPr>
        <w:pStyle w:val="UZEINormaln"/>
        <w:rPr>
          <w:rFonts w:cs="Times New Roman"/>
        </w:rPr>
      </w:pPr>
    </w:p>
    <w:p w14:paraId="10B0D99A" w14:textId="6B9897B3" w:rsidR="007F68ED" w:rsidRDefault="007F68ED" w:rsidP="00B32C07">
      <w:pPr>
        <w:pStyle w:val="UZEINormaln"/>
        <w:rPr>
          <w:rFonts w:cs="Times New Roman"/>
        </w:rPr>
      </w:pPr>
    </w:p>
    <w:p w14:paraId="5800950D" w14:textId="29630AA3" w:rsidR="007F68ED" w:rsidRDefault="007F68ED" w:rsidP="00B32C07">
      <w:pPr>
        <w:pStyle w:val="UZEINormaln"/>
        <w:rPr>
          <w:rFonts w:cs="Times New Roman"/>
        </w:rPr>
      </w:pPr>
    </w:p>
    <w:p w14:paraId="579BCCCE" w14:textId="0F0CE084" w:rsidR="007F68ED" w:rsidRDefault="007F68ED" w:rsidP="00B32C07">
      <w:pPr>
        <w:pStyle w:val="UZEINormaln"/>
        <w:rPr>
          <w:rFonts w:cs="Times New Roman"/>
        </w:rPr>
      </w:pPr>
    </w:p>
    <w:p w14:paraId="7C0DEE15" w14:textId="3D739C6E" w:rsidR="007F68ED" w:rsidRDefault="007F68ED" w:rsidP="00B32C07">
      <w:pPr>
        <w:pStyle w:val="UZEINormaln"/>
        <w:rPr>
          <w:rFonts w:cs="Times New Roman"/>
        </w:rPr>
      </w:pPr>
    </w:p>
    <w:p w14:paraId="17450B18" w14:textId="4EC7571C" w:rsidR="007F68ED" w:rsidRDefault="007F68ED" w:rsidP="00B32C07">
      <w:pPr>
        <w:pStyle w:val="UZEINormaln"/>
        <w:rPr>
          <w:rFonts w:cs="Times New Roman"/>
        </w:rPr>
      </w:pPr>
    </w:p>
    <w:p w14:paraId="50659A46" w14:textId="77777777" w:rsidR="007F68ED" w:rsidRPr="00D95127" w:rsidRDefault="007F68ED" w:rsidP="00B32C07">
      <w:pPr>
        <w:pStyle w:val="UZEINormaln"/>
        <w:rPr>
          <w:rFonts w:cs="Times New Roman"/>
        </w:rPr>
      </w:pPr>
    </w:p>
    <w:p w14:paraId="4689EC43" w14:textId="3F0E86EF" w:rsidR="00A16DDB" w:rsidRPr="00D95127" w:rsidRDefault="00A16DDB" w:rsidP="00B32C07">
      <w:pPr>
        <w:pStyle w:val="UZEIGraf"/>
      </w:pPr>
      <w:bookmarkStart w:id="485" w:name="_Toc81738788"/>
      <w:r w:rsidRPr="00D95127">
        <w:t>Vývoj struktury provozních podpor u komodity hrách</w:t>
      </w:r>
      <w:bookmarkEnd w:id="485"/>
    </w:p>
    <w:p w14:paraId="1F811061" w14:textId="6D6F9430" w:rsidR="00A16DDB" w:rsidRPr="007F68ED" w:rsidRDefault="00A16DDB" w:rsidP="00A16DDB">
      <w:pPr>
        <w:pStyle w:val="Odstavecseseznamem"/>
        <w:ind w:left="0"/>
        <w:rPr>
          <w:noProof/>
        </w:rPr>
      </w:pPr>
      <w:r w:rsidRPr="00D95127">
        <w:rPr>
          <w:noProof/>
        </w:rPr>
        <w:drawing>
          <wp:inline distT="0" distB="0" distL="0" distR="0" wp14:anchorId="5320764F" wp14:editId="1F6793EF">
            <wp:extent cx="5760720" cy="3229610"/>
            <wp:effectExtent l="0" t="0" r="0" b="889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60720" cy="3229610"/>
                    </a:xfrm>
                    <a:prstGeom prst="rect">
                      <a:avLst/>
                    </a:prstGeom>
                    <a:noFill/>
                    <a:ln>
                      <a:noFill/>
                    </a:ln>
                  </pic:spPr>
                </pic:pic>
              </a:graphicData>
            </a:graphic>
          </wp:inline>
        </w:drawing>
      </w:r>
    </w:p>
    <w:p w14:paraId="355E22F8" w14:textId="7145EFC4" w:rsidR="00A16DDB" w:rsidRPr="00D95127" w:rsidRDefault="00A16DDB" w:rsidP="00157A1E">
      <w:pPr>
        <w:pStyle w:val="UZEITaB"/>
      </w:pPr>
      <w:bookmarkStart w:id="486" w:name="_Toc81738467"/>
      <w:r w:rsidRPr="00D95127">
        <w:t>Ekonomika pěstování hrachu včetně pelušky 2011-2020</w:t>
      </w:r>
      <w:bookmarkEnd w:id="486"/>
    </w:p>
    <w:p w14:paraId="777053BD" w14:textId="77777777" w:rsidR="00A16DDB" w:rsidRPr="00D95127" w:rsidRDefault="00A16DDB" w:rsidP="00A16DDB">
      <w:pPr>
        <w:pStyle w:val="Odstavecseseznamem"/>
        <w:ind w:left="0"/>
      </w:pPr>
      <w:r w:rsidRPr="00D95127">
        <w:rPr>
          <w:noProof/>
        </w:rPr>
        <w:drawing>
          <wp:inline distT="0" distB="0" distL="0" distR="0" wp14:anchorId="63A30C7E" wp14:editId="0123215B">
            <wp:extent cx="5760720" cy="1463040"/>
            <wp:effectExtent l="0" t="0" r="0" b="3810"/>
            <wp:docPr id="266" name="Obrázek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72635" cy="1466066"/>
                    </a:xfrm>
                    <a:prstGeom prst="rect">
                      <a:avLst/>
                    </a:prstGeom>
                    <a:noFill/>
                    <a:ln>
                      <a:noFill/>
                    </a:ln>
                  </pic:spPr>
                </pic:pic>
              </a:graphicData>
            </a:graphic>
          </wp:inline>
        </w:drawing>
      </w:r>
    </w:p>
    <w:p w14:paraId="2B497D16" w14:textId="77777777" w:rsidR="00A16DDB" w:rsidRPr="00D95127" w:rsidRDefault="00A16DDB" w:rsidP="00A16DDB">
      <w:pPr>
        <w:pStyle w:val="Odstavecseseznamem"/>
        <w:ind w:left="0"/>
        <w:rPr>
          <w:i/>
        </w:rPr>
      </w:pPr>
    </w:p>
    <w:p w14:paraId="7AC43C26" w14:textId="77777777" w:rsidR="00157A1E" w:rsidRDefault="00157A1E">
      <w:pPr>
        <w:spacing w:after="160" w:line="259" w:lineRule="auto"/>
        <w:jc w:val="left"/>
        <w:rPr>
          <w:rFonts w:eastAsia="Times New Roman" w:cs="Arial"/>
          <w:b/>
          <w:sz w:val="20"/>
          <w:szCs w:val="20"/>
          <w:lang w:val="cs-CZ" w:eastAsia="cs-CZ"/>
        </w:rPr>
      </w:pPr>
      <w:r>
        <w:br w:type="page"/>
      </w:r>
    </w:p>
    <w:p w14:paraId="3D507F8C" w14:textId="7AD28EFB" w:rsidR="00A16DDB" w:rsidRPr="00D95127" w:rsidRDefault="00A16DDB" w:rsidP="00157A1E">
      <w:pPr>
        <w:pStyle w:val="UZEIGraf"/>
      </w:pPr>
      <w:bookmarkStart w:id="487" w:name="_Toc81738789"/>
      <w:r w:rsidRPr="00D95127">
        <w:t>Vývoj struktury provozních podpor u komodity hrách-peluška</w:t>
      </w:r>
      <w:bookmarkEnd w:id="487"/>
    </w:p>
    <w:p w14:paraId="5439ED6F" w14:textId="77777777" w:rsidR="00A16DDB" w:rsidRPr="00D95127" w:rsidRDefault="00A16DDB" w:rsidP="00A16DDB">
      <w:pPr>
        <w:pStyle w:val="Odstavecseseznamem"/>
        <w:ind w:left="0"/>
        <w:rPr>
          <w:i/>
        </w:rPr>
      </w:pPr>
      <w:r w:rsidRPr="00D95127">
        <w:rPr>
          <w:noProof/>
        </w:rPr>
        <w:drawing>
          <wp:inline distT="0" distB="0" distL="0" distR="0" wp14:anchorId="3BC362E5" wp14:editId="51B5C5EE">
            <wp:extent cx="5760720" cy="3088005"/>
            <wp:effectExtent l="0" t="0" r="0" b="0"/>
            <wp:docPr id="104"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60720" cy="3088005"/>
                    </a:xfrm>
                    <a:prstGeom prst="rect">
                      <a:avLst/>
                    </a:prstGeom>
                    <a:noFill/>
                    <a:ln>
                      <a:noFill/>
                    </a:ln>
                  </pic:spPr>
                </pic:pic>
              </a:graphicData>
            </a:graphic>
          </wp:inline>
        </w:drawing>
      </w:r>
    </w:p>
    <w:p w14:paraId="0D158466" w14:textId="66C9E101" w:rsidR="00A16DDB" w:rsidRPr="007F68ED" w:rsidRDefault="00A16DDB" w:rsidP="007F68ED">
      <w:pPr>
        <w:pStyle w:val="UZEIZdroj"/>
        <w:rPr>
          <w:i w:val="0"/>
          <w:sz w:val="18"/>
          <w:szCs w:val="18"/>
        </w:rPr>
      </w:pPr>
      <w:r w:rsidRPr="00D95127">
        <w:t>Poznámka: sazba LFA je spočítána jako vážený průměr hrachu a pelušky</w:t>
      </w:r>
    </w:p>
    <w:p w14:paraId="0D84FE52" w14:textId="3C94FE79" w:rsidR="00A16DDB" w:rsidRPr="00D95127" w:rsidRDefault="00A16DDB" w:rsidP="00157A1E">
      <w:pPr>
        <w:pStyle w:val="UZEITaB"/>
      </w:pPr>
      <w:bookmarkStart w:id="488" w:name="_Toc81738468"/>
      <w:r w:rsidRPr="00D95127">
        <w:t>Dotační podpory bobu 2011-2020</w:t>
      </w:r>
      <w:bookmarkEnd w:id="488"/>
    </w:p>
    <w:p w14:paraId="421D4B48" w14:textId="77777777" w:rsidR="00A16DDB" w:rsidRPr="00D95127" w:rsidRDefault="00A16DDB" w:rsidP="00A16DDB">
      <w:pPr>
        <w:rPr>
          <w:rFonts w:cs="Times New Roman"/>
          <w:szCs w:val="24"/>
          <w:lang w:val="cs-CZ"/>
        </w:rPr>
      </w:pPr>
      <w:r w:rsidRPr="00D95127">
        <w:rPr>
          <w:rFonts w:cs="Times New Roman"/>
          <w:noProof/>
          <w:lang w:val="cs-CZ"/>
        </w:rPr>
        <w:drawing>
          <wp:inline distT="0" distB="0" distL="0" distR="0" wp14:anchorId="45771F7D" wp14:editId="05FFEB0F">
            <wp:extent cx="5907405" cy="2051436"/>
            <wp:effectExtent l="0" t="0" r="0" b="0"/>
            <wp:docPr id="261" name="Obrázek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26408" cy="2058035"/>
                    </a:xfrm>
                    <a:prstGeom prst="rect">
                      <a:avLst/>
                    </a:prstGeom>
                    <a:noFill/>
                    <a:ln>
                      <a:noFill/>
                    </a:ln>
                  </pic:spPr>
                </pic:pic>
              </a:graphicData>
            </a:graphic>
          </wp:inline>
        </w:drawing>
      </w:r>
    </w:p>
    <w:p w14:paraId="5D129D96" w14:textId="77777777" w:rsidR="00157A1E" w:rsidRDefault="00157A1E">
      <w:pPr>
        <w:spacing w:after="160" w:line="259" w:lineRule="auto"/>
        <w:jc w:val="left"/>
        <w:rPr>
          <w:rFonts w:eastAsia="Times New Roman" w:cs="Arial"/>
          <w:b/>
          <w:sz w:val="20"/>
          <w:szCs w:val="20"/>
          <w:lang w:val="cs-CZ" w:eastAsia="cs-CZ"/>
        </w:rPr>
      </w:pPr>
      <w:r>
        <w:br w:type="page"/>
      </w:r>
    </w:p>
    <w:p w14:paraId="78DDEB89" w14:textId="1899BDCA" w:rsidR="00A16DDB" w:rsidRPr="00D95127" w:rsidRDefault="00A16DDB" w:rsidP="00157A1E">
      <w:pPr>
        <w:pStyle w:val="UZEIGraf"/>
      </w:pPr>
      <w:bookmarkStart w:id="489" w:name="_Toc81738790"/>
      <w:r w:rsidRPr="00D95127">
        <w:t>Vývoj struktury provozních podpor u komodity bob</w:t>
      </w:r>
      <w:bookmarkEnd w:id="489"/>
    </w:p>
    <w:p w14:paraId="74A1D390" w14:textId="77777777" w:rsidR="00A16DDB" w:rsidRPr="00D95127" w:rsidRDefault="00A16DDB" w:rsidP="00A16DDB">
      <w:pPr>
        <w:pStyle w:val="Odstavecseseznamem"/>
        <w:ind w:left="0"/>
        <w:rPr>
          <w:i/>
        </w:rPr>
      </w:pPr>
      <w:r w:rsidRPr="00D95127">
        <w:rPr>
          <w:noProof/>
          <w:lang w:eastAsia="cs-CZ"/>
        </w:rPr>
        <w:drawing>
          <wp:inline distT="0" distB="0" distL="0" distR="0" wp14:anchorId="45E96076" wp14:editId="252669AF">
            <wp:extent cx="5758815" cy="2759103"/>
            <wp:effectExtent l="0" t="0" r="13335" b="3175"/>
            <wp:docPr id="250" name="Graf 2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08FD81C7" w14:textId="300F8DB5" w:rsidR="00A16DDB" w:rsidRPr="007F68ED" w:rsidRDefault="00A16DDB" w:rsidP="00F21B5B">
      <w:pPr>
        <w:pStyle w:val="UZEIZdroj"/>
        <w:rPr>
          <w:rStyle w:val="UZEITaBChar"/>
          <w:rFonts w:eastAsia="Calibri" w:cs="Times New Roman"/>
          <w:b w:val="0"/>
          <w:i w:val="0"/>
          <w:color w:val="auto"/>
          <w:sz w:val="18"/>
          <w:szCs w:val="18"/>
          <w:lang w:eastAsia="en-US"/>
        </w:rPr>
      </w:pPr>
      <w:r w:rsidRPr="00D95127">
        <w:t>Pramen: ÚZEI vlastní výpočty</w:t>
      </w:r>
    </w:p>
    <w:p w14:paraId="4222F466" w14:textId="77777777" w:rsidR="004D6908" w:rsidRPr="004D6908" w:rsidRDefault="00A16DDB" w:rsidP="004D6908">
      <w:pPr>
        <w:pStyle w:val="UZEITaB"/>
        <w:rPr>
          <w:rStyle w:val="UZEITaBChar"/>
          <w:rFonts w:eastAsia="Calibri"/>
          <w:b/>
        </w:rPr>
      </w:pPr>
      <w:bookmarkStart w:id="490" w:name="_Toc81738469"/>
      <w:bookmarkStart w:id="491" w:name="_Ref77374077"/>
      <w:r w:rsidRPr="004D6908">
        <w:rPr>
          <w:rStyle w:val="UZEITaBChar"/>
          <w:b/>
        </w:rPr>
        <w:t>Ekonomika pěstování bobu 2011-2020</w:t>
      </w:r>
      <w:bookmarkEnd w:id="490"/>
    </w:p>
    <w:p w14:paraId="2538AEDA" w14:textId="04110033" w:rsidR="00A16DDB" w:rsidRPr="00D95127" w:rsidRDefault="00A16DDB" w:rsidP="007F68ED">
      <w:pPr>
        <w:pStyle w:val="UZEIZdroj"/>
      </w:pPr>
      <w:r w:rsidRPr="00D95127">
        <w:rPr>
          <w:noProof/>
        </w:rPr>
        <w:drawing>
          <wp:inline distT="0" distB="0" distL="0" distR="0" wp14:anchorId="4DB117BE" wp14:editId="1DE8C491">
            <wp:extent cx="6019138" cy="1772920"/>
            <wp:effectExtent l="0" t="0" r="0" b="0"/>
            <wp:docPr id="276" name="Obrázek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031920" cy="1776685"/>
                    </a:xfrm>
                    <a:prstGeom prst="rect">
                      <a:avLst/>
                    </a:prstGeom>
                    <a:noFill/>
                    <a:ln>
                      <a:noFill/>
                    </a:ln>
                  </pic:spPr>
                </pic:pic>
              </a:graphicData>
            </a:graphic>
          </wp:inline>
        </w:drawing>
      </w:r>
      <w:bookmarkEnd w:id="491"/>
    </w:p>
    <w:p w14:paraId="0A98A622" w14:textId="08893018" w:rsidR="00A16DDB" w:rsidRPr="00D95127" w:rsidRDefault="00A16DDB" w:rsidP="004D6908">
      <w:pPr>
        <w:pStyle w:val="UZEITaB"/>
      </w:pPr>
      <w:bookmarkStart w:id="492" w:name="_Ref77374079"/>
      <w:bookmarkStart w:id="493" w:name="_Toc81738470"/>
      <w:r w:rsidRPr="00D95127">
        <w:t>Dotační podpory sóji 2011-2020</w:t>
      </w:r>
      <w:bookmarkEnd w:id="492"/>
      <w:bookmarkEnd w:id="493"/>
    </w:p>
    <w:p w14:paraId="1D2A1E07" w14:textId="77777777" w:rsidR="00A16DDB" w:rsidRPr="00D95127" w:rsidRDefault="00A16DDB" w:rsidP="00A16DDB">
      <w:pPr>
        <w:rPr>
          <w:rFonts w:cs="Times New Roman"/>
          <w:lang w:val="cs-CZ" w:eastAsia="cs-CZ"/>
        </w:rPr>
      </w:pPr>
      <w:r w:rsidRPr="00D95127">
        <w:rPr>
          <w:rFonts w:cs="Times New Roman"/>
          <w:noProof/>
          <w:lang w:val="cs-CZ"/>
        </w:rPr>
        <w:drawing>
          <wp:inline distT="0" distB="0" distL="0" distR="0" wp14:anchorId="05C9C1C6" wp14:editId="281B8D44">
            <wp:extent cx="5939155" cy="1884460"/>
            <wp:effectExtent l="0" t="0" r="4445" b="1905"/>
            <wp:docPr id="277" name="Obrázek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4221" cy="1886067"/>
                    </a:xfrm>
                    <a:prstGeom prst="rect">
                      <a:avLst/>
                    </a:prstGeom>
                    <a:noFill/>
                    <a:ln>
                      <a:noFill/>
                    </a:ln>
                  </pic:spPr>
                </pic:pic>
              </a:graphicData>
            </a:graphic>
          </wp:inline>
        </w:drawing>
      </w:r>
    </w:p>
    <w:p w14:paraId="73CEA471" w14:textId="77777777" w:rsidR="00A16DDB" w:rsidRPr="00D95127" w:rsidRDefault="00A16DDB" w:rsidP="00A16DDB">
      <w:pPr>
        <w:rPr>
          <w:rFonts w:cs="Times New Roman"/>
          <w:lang w:val="cs-CZ"/>
        </w:rPr>
      </w:pPr>
    </w:p>
    <w:p w14:paraId="23A06F7F" w14:textId="77777777" w:rsidR="004D6908" w:rsidRDefault="004D6908">
      <w:pPr>
        <w:spacing w:after="160" w:line="259" w:lineRule="auto"/>
        <w:jc w:val="left"/>
        <w:rPr>
          <w:rFonts w:eastAsia="Times New Roman" w:cs="Arial"/>
          <w:b/>
          <w:sz w:val="20"/>
          <w:szCs w:val="20"/>
          <w:lang w:val="cs-CZ" w:eastAsia="cs-CZ"/>
        </w:rPr>
      </w:pPr>
      <w:r>
        <w:br w:type="page"/>
      </w:r>
    </w:p>
    <w:p w14:paraId="59878234" w14:textId="48955310" w:rsidR="00A16DDB" w:rsidRPr="00D95127" w:rsidRDefault="00A16DDB" w:rsidP="002777C5">
      <w:pPr>
        <w:pStyle w:val="UZEIGraf"/>
      </w:pPr>
      <w:bookmarkStart w:id="494" w:name="_Toc81738791"/>
      <w:r w:rsidRPr="00D95127">
        <w:t>Vývoj struktury provozních podpor u komodity sója</w:t>
      </w:r>
      <w:bookmarkEnd w:id="494"/>
    </w:p>
    <w:p w14:paraId="57C9AD4F" w14:textId="707C3982" w:rsidR="00A16DDB" w:rsidRPr="00D95127" w:rsidRDefault="00A16DDB" w:rsidP="007F68ED">
      <w:pPr>
        <w:pStyle w:val="Odstavecseseznamem"/>
        <w:ind w:left="0"/>
        <w:rPr>
          <w:noProof/>
        </w:rPr>
      </w:pPr>
      <w:r w:rsidRPr="00D95127">
        <w:rPr>
          <w:noProof/>
        </w:rPr>
        <w:drawing>
          <wp:inline distT="0" distB="0" distL="0" distR="0" wp14:anchorId="4407365B" wp14:editId="63BD13ED">
            <wp:extent cx="5758815" cy="2608028"/>
            <wp:effectExtent l="0" t="0" r="13335" b="1905"/>
            <wp:docPr id="39" name="Graf 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6F0A9AEB" w14:textId="4149C762" w:rsidR="00A16DDB" w:rsidRPr="00D95127" w:rsidRDefault="00A16DDB" w:rsidP="004D6908">
      <w:pPr>
        <w:pStyle w:val="UZEITaB"/>
      </w:pPr>
      <w:bookmarkStart w:id="495" w:name="_Toc81738471"/>
      <w:r w:rsidRPr="00D95127">
        <w:t>Ekonomika pěstování sóji 2011-2020</w:t>
      </w:r>
      <w:bookmarkEnd w:id="495"/>
    </w:p>
    <w:p w14:paraId="49971010" w14:textId="0B1F31C6" w:rsidR="004D6908" w:rsidRPr="007F68ED" w:rsidRDefault="00A16DDB" w:rsidP="007F68ED">
      <w:pPr>
        <w:pStyle w:val="Odstavecseseznamem"/>
        <w:ind w:left="0"/>
        <w:rPr>
          <w:i/>
          <w:sz w:val="18"/>
          <w:szCs w:val="18"/>
        </w:rPr>
      </w:pPr>
      <w:r w:rsidRPr="00D95127">
        <w:rPr>
          <w:noProof/>
        </w:rPr>
        <w:drawing>
          <wp:inline distT="0" distB="0" distL="0" distR="0" wp14:anchorId="67B26740" wp14:editId="423001A1">
            <wp:extent cx="5760305" cy="1956021"/>
            <wp:effectExtent l="0" t="0" r="0" b="0"/>
            <wp:docPr id="278" name="Obrázek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66028" cy="1957964"/>
                    </a:xfrm>
                    <a:prstGeom prst="rect">
                      <a:avLst/>
                    </a:prstGeom>
                    <a:noFill/>
                    <a:ln>
                      <a:noFill/>
                    </a:ln>
                  </pic:spPr>
                </pic:pic>
              </a:graphicData>
            </a:graphic>
          </wp:inline>
        </w:drawing>
      </w:r>
    </w:p>
    <w:p w14:paraId="0C6B6303" w14:textId="7E91056A" w:rsidR="00A16DDB" w:rsidRPr="007F68ED" w:rsidRDefault="00A16DDB" w:rsidP="007F68ED">
      <w:pPr>
        <w:pStyle w:val="UZEITaB"/>
      </w:pPr>
      <w:bookmarkStart w:id="496" w:name="_Toc81738472"/>
      <w:r w:rsidRPr="007F68ED">
        <w:t>Dotační podpory vojtěšky 2011-2020</w:t>
      </w:r>
      <w:bookmarkEnd w:id="496"/>
    </w:p>
    <w:p w14:paraId="0EC22A15" w14:textId="77777777" w:rsidR="00A16DDB" w:rsidRPr="00D95127" w:rsidRDefault="00A16DDB" w:rsidP="00A16DDB">
      <w:pPr>
        <w:pStyle w:val="Odstavecseseznamem"/>
        <w:ind w:left="0"/>
        <w:rPr>
          <w:noProof/>
        </w:rPr>
      </w:pPr>
      <w:r w:rsidRPr="00D95127">
        <w:rPr>
          <w:noProof/>
        </w:rPr>
        <w:drawing>
          <wp:inline distT="0" distB="0" distL="0" distR="0" wp14:anchorId="46BB4F3C" wp14:editId="1ADB9128">
            <wp:extent cx="5883910" cy="1995777"/>
            <wp:effectExtent l="0" t="0" r="2540" b="5080"/>
            <wp:docPr id="281" name="Obrázek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896803" cy="2000150"/>
                    </a:xfrm>
                    <a:prstGeom prst="rect">
                      <a:avLst/>
                    </a:prstGeom>
                    <a:noFill/>
                    <a:ln>
                      <a:noFill/>
                    </a:ln>
                  </pic:spPr>
                </pic:pic>
              </a:graphicData>
            </a:graphic>
          </wp:inline>
        </w:drawing>
      </w:r>
    </w:p>
    <w:p w14:paraId="49D51FC0" w14:textId="77777777" w:rsidR="00A16DDB" w:rsidRPr="00D95127" w:rsidRDefault="00A16DDB" w:rsidP="00A16DDB">
      <w:pPr>
        <w:pStyle w:val="Odstavecseseznamem"/>
        <w:ind w:left="419"/>
        <w:rPr>
          <w:i/>
        </w:rPr>
      </w:pPr>
    </w:p>
    <w:p w14:paraId="6F9734CD" w14:textId="77777777" w:rsidR="008317C6" w:rsidRDefault="008317C6">
      <w:pPr>
        <w:spacing w:after="160" w:line="259" w:lineRule="auto"/>
        <w:jc w:val="left"/>
        <w:rPr>
          <w:rFonts w:eastAsia="Times New Roman" w:cs="Arial"/>
          <w:b/>
          <w:sz w:val="20"/>
          <w:szCs w:val="20"/>
          <w:lang w:val="cs-CZ" w:eastAsia="cs-CZ"/>
        </w:rPr>
      </w:pPr>
      <w:r>
        <w:br w:type="page"/>
      </w:r>
    </w:p>
    <w:p w14:paraId="102FE477" w14:textId="4A9C773D" w:rsidR="00A16DDB" w:rsidRPr="00D95127" w:rsidRDefault="00A16DDB" w:rsidP="008317C6">
      <w:pPr>
        <w:pStyle w:val="UZEIGraf"/>
      </w:pPr>
      <w:bookmarkStart w:id="497" w:name="_Toc81738792"/>
      <w:r w:rsidRPr="00D95127">
        <w:t>Vývoj struktury provozních podpor u komodity vojtěška</w:t>
      </w:r>
      <w:bookmarkEnd w:id="497"/>
    </w:p>
    <w:p w14:paraId="2C4047B3" w14:textId="72AC397F" w:rsidR="00A16DDB" w:rsidRPr="00D95127" w:rsidRDefault="00A16DDB" w:rsidP="00A16DDB">
      <w:pPr>
        <w:pStyle w:val="Odstavecseseznamem"/>
        <w:ind w:left="0"/>
        <w:rPr>
          <w:noProof/>
        </w:rPr>
      </w:pPr>
      <w:r w:rsidRPr="00D95127">
        <w:rPr>
          <w:noProof/>
          <w:lang w:eastAsia="cs-CZ"/>
        </w:rPr>
        <w:drawing>
          <wp:inline distT="0" distB="0" distL="0" distR="0" wp14:anchorId="745C75A2" wp14:editId="1A19BA58">
            <wp:extent cx="5758815" cy="2663687"/>
            <wp:effectExtent l="0" t="0" r="13335" b="3810"/>
            <wp:docPr id="52" name="Graf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390B759F" w14:textId="593B53AC" w:rsidR="00A16DDB" w:rsidRPr="00D95127" w:rsidRDefault="00A16DDB" w:rsidP="008317C6">
      <w:pPr>
        <w:pStyle w:val="UZEITaB"/>
      </w:pPr>
      <w:bookmarkStart w:id="498" w:name="_Toc81738473"/>
      <w:r w:rsidRPr="00D95127">
        <w:t>Dotační podpory jetele 2011-2020</w:t>
      </w:r>
      <w:bookmarkEnd w:id="498"/>
    </w:p>
    <w:p w14:paraId="6FB62775" w14:textId="70B9A3B7" w:rsidR="00A16DDB" w:rsidRPr="007F68ED" w:rsidRDefault="00A16DDB" w:rsidP="007F68ED">
      <w:pPr>
        <w:rPr>
          <w:rFonts w:cs="Times New Roman"/>
          <w:lang w:val="cs-CZ"/>
        </w:rPr>
      </w:pPr>
      <w:r w:rsidRPr="00D95127">
        <w:rPr>
          <w:rFonts w:cs="Times New Roman"/>
          <w:noProof/>
          <w:lang w:val="cs-CZ"/>
        </w:rPr>
        <w:drawing>
          <wp:inline distT="0" distB="0" distL="0" distR="0" wp14:anchorId="680E8A6C" wp14:editId="10E143E1">
            <wp:extent cx="5760720" cy="1860605"/>
            <wp:effectExtent l="0" t="0" r="0" b="635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63689" cy="1861564"/>
                    </a:xfrm>
                    <a:prstGeom prst="rect">
                      <a:avLst/>
                    </a:prstGeom>
                    <a:noFill/>
                    <a:ln>
                      <a:noFill/>
                    </a:ln>
                  </pic:spPr>
                </pic:pic>
              </a:graphicData>
            </a:graphic>
          </wp:inline>
        </w:drawing>
      </w:r>
    </w:p>
    <w:p w14:paraId="3A149CDB" w14:textId="14718CA3" w:rsidR="00A16DDB" w:rsidRPr="00D95127" w:rsidRDefault="00A16DDB" w:rsidP="008317C6">
      <w:pPr>
        <w:pStyle w:val="UZEIGraf"/>
      </w:pPr>
      <w:bookmarkStart w:id="499" w:name="_Toc81738793"/>
      <w:r w:rsidRPr="00D95127">
        <w:t>Vývoj struktury provozních podpor u komodity jetel</w:t>
      </w:r>
      <w:bookmarkEnd w:id="499"/>
    </w:p>
    <w:p w14:paraId="43D24005" w14:textId="77777777" w:rsidR="00A16DDB" w:rsidRPr="00D95127" w:rsidRDefault="00A16DDB" w:rsidP="00A16DDB">
      <w:pPr>
        <w:pStyle w:val="Odstavecseseznamem"/>
        <w:ind w:left="0"/>
        <w:rPr>
          <w:i/>
        </w:rPr>
      </w:pPr>
      <w:r w:rsidRPr="00D95127">
        <w:rPr>
          <w:noProof/>
          <w:lang w:eastAsia="cs-CZ"/>
        </w:rPr>
        <w:drawing>
          <wp:inline distT="0" distB="0" distL="0" distR="0" wp14:anchorId="2CF5BEC5" wp14:editId="6AA44F99">
            <wp:extent cx="5758815" cy="2894275"/>
            <wp:effectExtent l="0" t="0" r="13335" b="1905"/>
            <wp:docPr id="59" name="Graf 5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73EEDE13" w14:textId="77777777" w:rsidR="00A16DDB" w:rsidRPr="007F68ED" w:rsidRDefault="00A16DDB" w:rsidP="007F68ED">
      <w:pPr>
        <w:pStyle w:val="Nadpis2"/>
      </w:pPr>
      <w:bookmarkStart w:id="500" w:name="_Toc15304065"/>
      <w:bookmarkStart w:id="501" w:name="_Toc23509881"/>
      <w:bookmarkStart w:id="502" w:name="_Toc76137388"/>
      <w:bookmarkStart w:id="503" w:name="_Toc76637587"/>
      <w:bookmarkStart w:id="504" w:name="_Toc80953266"/>
      <w:bookmarkStart w:id="505" w:name="_Toc81739219"/>
      <w:r w:rsidRPr="007F68ED">
        <w:t>Míra současného řešení problému jinými politikami</w:t>
      </w:r>
      <w:bookmarkEnd w:id="500"/>
      <w:bookmarkEnd w:id="501"/>
      <w:bookmarkEnd w:id="502"/>
      <w:bookmarkEnd w:id="503"/>
      <w:bookmarkEnd w:id="504"/>
      <w:bookmarkEnd w:id="505"/>
    </w:p>
    <w:p w14:paraId="2DCA6C13" w14:textId="77777777" w:rsidR="00A16DDB" w:rsidRPr="00D95127" w:rsidRDefault="00A16DDB" w:rsidP="008317C6">
      <w:pPr>
        <w:pStyle w:val="UZEINormaln"/>
        <w:rPr>
          <w:rFonts w:cs="Times New Roman"/>
        </w:rPr>
      </w:pPr>
      <w:r w:rsidRPr="00D95127">
        <w:t xml:space="preserve">Další </w:t>
      </w:r>
      <w:r w:rsidRPr="00D95127">
        <w:rPr>
          <w:rFonts w:cs="Times New Roman"/>
        </w:rPr>
        <w:t>možností, jak podpořit pěstování luskovin jsou národní podpory poskytované různými institucemi. Jedná se o tyto:</w:t>
      </w:r>
    </w:p>
    <w:p w14:paraId="49A0E167" w14:textId="77777777" w:rsidR="00A16DDB" w:rsidRPr="00D95127" w:rsidRDefault="00A16DDB" w:rsidP="008317C6">
      <w:pPr>
        <w:pStyle w:val="UZEINormaln"/>
        <w:rPr>
          <w:b/>
        </w:rPr>
      </w:pPr>
      <w:r w:rsidRPr="00D95127">
        <w:rPr>
          <w:b/>
        </w:rPr>
        <w:t>MZe poskytuje:</w:t>
      </w:r>
    </w:p>
    <w:p w14:paraId="3BF417B7" w14:textId="77777777" w:rsidR="00A16DDB" w:rsidRPr="00D95127" w:rsidRDefault="00A16DDB" w:rsidP="008317C6">
      <w:pPr>
        <w:pStyle w:val="UZEINormaln"/>
      </w:pPr>
      <w:r w:rsidRPr="00D95127">
        <w:t>3. Podpora ozdravování polních a speciálních plodin</w:t>
      </w:r>
    </w:p>
    <w:p w14:paraId="1E3EA585" w14:textId="77777777" w:rsidR="00A16DDB" w:rsidRPr="00D95127" w:rsidRDefault="00A16DDB" w:rsidP="008317C6">
      <w:pPr>
        <w:pStyle w:val="UZEIOdrky"/>
      </w:pPr>
      <w:r w:rsidRPr="00D95127">
        <w:t>3.a. – biologická ochrana jako náhrada chemické ochrany rostlin</w:t>
      </w:r>
    </w:p>
    <w:p w14:paraId="64609137" w14:textId="77777777" w:rsidR="00A16DDB" w:rsidRPr="00D95127" w:rsidRDefault="00A16DDB" w:rsidP="008317C6">
      <w:pPr>
        <w:pStyle w:val="UZEIOdrky"/>
      </w:pPr>
      <w:r w:rsidRPr="00D95127">
        <w:t>3.d. – podpora tvorby rostlinných genotypů s vysokou rezistencí k biotickým a abiotickým faktorům a diferencovanou kvalitou obilovin včetně kukuřice, malých zrnin, olejnin, luskovin, brambor, pícnin, zelenin, kořeninových rostlin, chmele, révy vinné a ovocných dřevin</w:t>
      </w:r>
    </w:p>
    <w:p w14:paraId="67AFEA22" w14:textId="77777777" w:rsidR="00A16DDB" w:rsidRPr="00D95127" w:rsidRDefault="00A16DDB" w:rsidP="008317C6">
      <w:pPr>
        <w:pStyle w:val="UZEINormaln"/>
      </w:pPr>
      <w:r w:rsidRPr="00D95127">
        <w:t xml:space="preserve">   9. Poradenství a vzdělávání</w:t>
      </w:r>
    </w:p>
    <w:p w14:paraId="62B5FD8E" w14:textId="77777777" w:rsidR="00A16DDB" w:rsidRPr="00D95127" w:rsidRDefault="00A16DDB" w:rsidP="008317C6">
      <w:pPr>
        <w:pStyle w:val="UZEIOdrky"/>
      </w:pPr>
      <w:r w:rsidRPr="00D95127">
        <w:t xml:space="preserve">9.A. Speciální poradenství </w:t>
      </w:r>
    </w:p>
    <w:p w14:paraId="7ACD1D4E" w14:textId="77777777" w:rsidR="00A16DDB" w:rsidRPr="00D95127" w:rsidRDefault="00A16DDB" w:rsidP="008317C6">
      <w:pPr>
        <w:pStyle w:val="UZEIOdrky"/>
      </w:pPr>
      <w:r w:rsidRPr="00D95127">
        <w:t>9.A.b. Speciální poradenství pro rostlinnou výrobu</w:t>
      </w:r>
    </w:p>
    <w:p w14:paraId="29EA28AE" w14:textId="77777777" w:rsidR="00A16DDB" w:rsidRPr="00D95127" w:rsidRDefault="00A16DDB" w:rsidP="008317C6">
      <w:pPr>
        <w:pStyle w:val="UZEIOdrky"/>
      </w:pPr>
      <w:r w:rsidRPr="00D95127">
        <w:t>9.F. Podpora poradenství v zemědělství</w:t>
      </w:r>
    </w:p>
    <w:p w14:paraId="1727720E" w14:textId="77777777" w:rsidR="00A16DDB" w:rsidRPr="00D95127" w:rsidRDefault="00A16DDB" w:rsidP="008317C6">
      <w:pPr>
        <w:pStyle w:val="UZEIOdrky"/>
      </w:pPr>
      <w:r w:rsidRPr="00D95127">
        <w:t>9.F.e. Regionální přenos informací prostřednictvím Krajských informačních středisek pro rozvoj zemědělství a venkova</w:t>
      </w:r>
    </w:p>
    <w:p w14:paraId="5F4F4A91" w14:textId="77777777" w:rsidR="00A16DDB" w:rsidRPr="00D95127" w:rsidRDefault="00A16DDB" w:rsidP="008317C6">
      <w:pPr>
        <w:pStyle w:val="UZEIOdrky"/>
      </w:pPr>
      <w:r w:rsidRPr="00D95127">
        <w:t>9.F.i. Odborné konzultace</w:t>
      </w:r>
    </w:p>
    <w:p w14:paraId="7FEC8173" w14:textId="77777777" w:rsidR="00A16DDB" w:rsidRPr="00D95127" w:rsidRDefault="00A16DDB" w:rsidP="008317C6">
      <w:pPr>
        <w:pStyle w:val="UZEIOdrky"/>
      </w:pPr>
      <w:r w:rsidRPr="00D95127">
        <w:t>9.H. Podpora účasti na mezinárodních veletrzích a výstavách v zahraničí – podpora účasti vystavovatelů, jejich výrobků, případně služeb na mezinárodních veletrzích a výstavách v zahraničí.</w:t>
      </w:r>
    </w:p>
    <w:p w14:paraId="2F2F24BF" w14:textId="77777777" w:rsidR="00A16DDB" w:rsidRPr="00D95127" w:rsidRDefault="00A16DDB" w:rsidP="008317C6">
      <w:pPr>
        <w:pStyle w:val="UZEINormaln"/>
      </w:pPr>
      <w:r w:rsidRPr="00D95127">
        <w:t>10. D.  Podpora evropské integrace nevládních organizací</w:t>
      </w:r>
    </w:p>
    <w:p w14:paraId="3EA1728D" w14:textId="77777777" w:rsidR="00A16DDB" w:rsidRPr="00D95127" w:rsidRDefault="00A16DDB" w:rsidP="008317C6">
      <w:pPr>
        <w:pStyle w:val="UZEINormaln"/>
      </w:pPr>
      <w:r w:rsidRPr="00D95127">
        <w:t>10.E.c. Podpora České technologické platformy pro ekologické zemědělství</w:t>
      </w:r>
    </w:p>
    <w:p w14:paraId="52B469C8" w14:textId="77777777" w:rsidR="00A16DDB" w:rsidRPr="00D95127" w:rsidRDefault="00A16DDB" w:rsidP="008317C6">
      <w:pPr>
        <w:pStyle w:val="UZEINormaln"/>
        <w:sectPr w:rsidR="00A16DDB" w:rsidRPr="00D95127" w:rsidSect="00C82CBD">
          <w:headerReference w:type="default" r:id="rId78"/>
          <w:footerReference w:type="default" r:id="rId79"/>
          <w:pgSz w:w="11906" w:h="16838"/>
          <w:pgMar w:top="1417" w:right="1417" w:bottom="1417" w:left="1417" w:header="708" w:footer="708" w:gutter="0"/>
          <w:cols w:space="708"/>
          <w:docGrid w:linePitch="360"/>
        </w:sectPr>
      </w:pPr>
      <w:r w:rsidRPr="00D95127">
        <w:t>13. Podpora zpracování zemědělských produktů a zvyšování konkurenceschopnosti potravinářského průmyslu</w:t>
      </w:r>
    </w:p>
    <w:p w14:paraId="6E4B0056" w14:textId="603548A3" w:rsidR="00A16DDB" w:rsidRPr="007F68ED" w:rsidRDefault="00A16DDB" w:rsidP="007F68ED">
      <w:pPr>
        <w:pStyle w:val="UZEITaB"/>
      </w:pPr>
      <w:bookmarkStart w:id="506" w:name="_Toc81738474"/>
      <w:r w:rsidRPr="007F68ED">
        <w:t>Teorie změny – bílkovinné plodiny</w:t>
      </w:r>
      <w:bookmarkEnd w:id="506"/>
    </w:p>
    <w:p w14:paraId="4E58C58C" w14:textId="77777777" w:rsidR="00A16DDB" w:rsidRPr="00D95127" w:rsidRDefault="00A16DDB" w:rsidP="00A16DDB">
      <w:pPr>
        <w:pStyle w:val="Styl5"/>
        <w:spacing w:line="259" w:lineRule="auto"/>
        <w:rPr>
          <w:rFonts w:ascii="Times New Roman" w:hAnsi="Times New Roman"/>
          <w:lang w:val="cs-CZ"/>
        </w:rPr>
      </w:pPr>
      <w:r w:rsidRPr="00D95127">
        <w:rPr>
          <w:rFonts w:ascii="Times New Roman" w:hAnsi="Times New Roman"/>
          <w:noProof/>
          <w:lang w:val="cs-CZ"/>
        </w:rPr>
        <w:drawing>
          <wp:inline distT="0" distB="0" distL="0" distR="0" wp14:anchorId="3C8E9E16" wp14:editId="46539559">
            <wp:extent cx="8891270" cy="3799205"/>
            <wp:effectExtent l="0" t="0" r="5080" b="0"/>
            <wp:docPr id="256" name="Obrázek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8891270" cy="3799205"/>
                    </a:xfrm>
                    <a:prstGeom prst="rect">
                      <a:avLst/>
                    </a:prstGeom>
                    <a:noFill/>
                    <a:ln>
                      <a:noFill/>
                    </a:ln>
                  </pic:spPr>
                </pic:pic>
              </a:graphicData>
            </a:graphic>
          </wp:inline>
        </w:drawing>
      </w:r>
    </w:p>
    <w:p w14:paraId="3E9F71B0" w14:textId="77777777" w:rsidR="00A16DDB" w:rsidRPr="00D95127" w:rsidRDefault="00A16DDB" w:rsidP="00A16DDB">
      <w:pPr>
        <w:pStyle w:val="Styl5"/>
        <w:spacing w:line="259" w:lineRule="auto"/>
        <w:ind w:firstLine="709"/>
        <w:rPr>
          <w:rFonts w:ascii="Times New Roman" w:hAnsi="Times New Roman"/>
          <w:iCs/>
          <w:u w:val="single"/>
          <w:lang w:val="cs-CZ"/>
        </w:rPr>
      </w:pPr>
    </w:p>
    <w:p w14:paraId="05D94103" w14:textId="77777777" w:rsidR="00A16DDB" w:rsidRPr="00D95127" w:rsidRDefault="00A16DDB" w:rsidP="00A16DDB">
      <w:pPr>
        <w:pStyle w:val="Styl5"/>
        <w:spacing w:line="259" w:lineRule="auto"/>
        <w:ind w:firstLine="709"/>
        <w:rPr>
          <w:rFonts w:ascii="Times New Roman" w:hAnsi="Times New Roman"/>
          <w:u w:val="single"/>
          <w:lang w:val="cs-CZ"/>
        </w:rPr>
        <w:sectPr w:rsidR="00A16DDB" w:rsidRPr="00D95127" w:rsidSect="00C82CBD">
          <w:pgSz w:w="16838" w:h="11906" w:orient="landscape"/>
          <w:pgMar w:top="1418" w:right="1418" w:bottom="1418" w:left="1418" w:header="708" w:footer="708" w:gutter="0"/>
          <w:cols w:space="708"/>
          <w:docGrid w:linePitch="360"/>
        </w:sectPr>
      </w:pPr>
    </w:p>
    <w:p w14:paraId="7A9FBBEB" w14:textId="79D96A75" w:rsidR="00A16DDB" w:rsidRPr="00D95127" w:rsidRDefault="00A16DDB" w:rsidP="00A44409">
      <w:pPr>
        <w:pStyle w:val="Nadpis1"/>
      </w:pPr>
      <w:bookmarkStart w:id="507" w:name="_Toc15304066"/>
      <w:bookmarkStart w:id="508" w:name="_Toc23509882"/>
      <w:bookmarkStart w:id="509" w:name="_Toc76137389"/>
      <w:bookmarkStart w:id="510" w:name="_Toc76637588"/>
      <w:bookmarkStart w:id="511" w:name="_Toc80953267"/>
      <w:bookmarkStart w:id="512" w:name="_Toc81739220"/>
      <w:r w:rsidRPr="00D95127">
        <w:t>Existence/neexistence možnosti efektivního řešení v rámci nástrojů SZP, které lze uvažovat v nových návrzích SZP.</w:t>
      </w:r>
      <w:bookmarkEnd w:id="507"/>
      <w:bookmarkEnd w:id="508"/>
      <w:bookmarkEnd w:id="509"/>
      <w:bookmarkEnd w:id="510"/>
      <w:bookmarkEnd w:id="511"/>
      <w:bookmarkEnd w:id="512"/>
    </w:p>
    <w:p w14:paraId="5CF9308A" w14:textId="24D60949" w:rsidR="00A16DDB" w:rsidRPr="00D95127" w:rsidRDefault="00A16DDB" w:rsidP="00A44409">
      <w:pPr>
        <w:pStyle w:val="UZEINormaln"/>
      </w:pPr>
      <w:r w:rsidRPr="00D95127">
        <w:t>Nejvyšší podíl na luskovinách pro potravinářské účely má zaujímá hrách. Byla vypracována první projekční varianta vývoje po roce 2030, která vychází ze stabilního výnosu cca 3 t/ha, zvýšené CZV, která kompenzuje mírné zvýšení nákladů na hektar. V případě bílkovinných plodin pro krmné účely jsou zastoupeny plodiny bob a sója. S výjimkou nákladové rentability se předpokládá, že se rentabilita s podporami zvýší (vychází se zatím ze sazeb stávajícího programového období). I v případě, že by došlo ke snížení finančních prostředků na dotační tituly, měla by se měla souhrnná rentabilita (se započítáním podpor) pěstování hrachu pozvolna zvyšovat.</w:t>
      </w:r>
    </w:p>
    <w:p w14:paraId="5EC7F5DF" w14:textId="2087F5F2" w:rsidR="00A16DDB" w:rsidRPr="00D95127" w:rsidRDefault="00A16DDB" w:rsidP="00A44409">
      <w:pPr>
        <w:pStyle w:val="UZEITaB"/>
      </w:pPr>
      <w:bookmarkStart w:id="513" w:name="_Toc81738475"/>
      <w:r w:rsidRPr="00D95127">
        <w:t>Ekonomika pěstování hrachu v 2011 až 2020 s výhledem do 2030</w:t>
      </w:r>
      <w:bookmarkEnd w:id="513"/>
    </w:p>
    <w:bookmarkEnd w:id="427"/>
    <w:p w14:paraId="383060C0" w14:textId="77777777" w:rsidR="00A16DDB" w:rsidRPr="00D95127" w:rsidRDefault="00A16DDB" w:rsidP="00A16DDB">
      <w:pPr>
        <w:pStyle w:val="Odstavecseseznamem"/>
        <w:tabs>
          <w:tab w:val="left" w:pos="2207"/>
        </w:tabs>
        <w:spacing w:line="240" w:lineRule="auto"/>
        <w:ind w:left="0"/>
        <w:rPr>
          <w:i/>
          <w:sz w:val="20"/>
        </w:rPr>
      </w:pPr>
      <w:r w:rsidRPr="00D95127">
        <w:rPr>
          <w:noProof/>
        </w:rPr>
        <w:drawing>
          <wp:inline distT="0" distB="0" distL="0" distR="0" wp14:anchorId="0F954BA1" wp14:editId="6D832039">
            <wp:extent cx="5759450" cy="1181735"/>
            <wp:effectExtent l="0" t="0" r="0" b="0"/>
            <wp:docPr id="117" name="Obráze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9450" cy="1181735"/>
                    </a:xfrm>
                    <a:prstGeom prst="rect">
                      <a:avLst/>
                    </a:prstGeom>
                    <a:noFill/>
                    <a:ln>
                      <a:noFill/>
                    </a:ln>
                  </pic:spPr>
                </pic:pic>
              </a:graphicData>
            </a:graphic>
          </wp:inline>
        </w:drawing>
      </w:r>
    </w:p>
    <w:p w14:paraId="32FC7F71" w14:textId="77777777" w:rsidR="00A16DDB" w:rsidRPr="00D95127" w:rsidRDefault="00A16DDB" w:rsidP="00A44409">
      <w:pPr>
        <w:pStyle w:val="UZEIZdroj"/>
        <w:rPr>
          <w:i w:val="0"/>
        </w:rPr>
      </w:pPr>
      <w:r w:rsidRPr="00D95127">
        <w:t>Zdroj: Výběrové šetření nákladů a výnosů vybraných zemědělských komodit ÚZEI, vlastní výpočty</w:t>
      </w:r>
    </w:p>
    <w:p w14:paraId="106361A8" w14:textId="679ADCC7" w:rsidR="00A16DDB" w:rsidRPr="007F68ED" w:rsidRDefault="00A16DDB" w:rsidP="007F68ED">
      <w:pPr>
        <w:pStyle w:val="UZEIZdroj"/>
        <w:rPr>
          <w:i w:val="0"/>
          <w:szCs w:val="20"/>
        </w:rPr>
      </w:pPr>
      <w:r w:rsidRPr="00D95127">
        <w:rPr>
          <w:szCs w:val="20"/>
        </w:rPr>
        <w:t>Pozn.: Způsob provedení predikce je uveden v příloze I.</w:t>
      </w:r>
    </w:p>
    <w:p w14:paraId="4FA61125" w14:textId="5029EE61" w:rsidR="00A16DDB" w:rsidRPr="00D95127" w:rsidRDefault="00A16DDB" w:rsidP="00A44409">
      <w:pPr>
        <w:pStyle w:val="UZEITaB"/>
      </w:pPr>
      <w:bookmarkStart w:id="514" w:name="_Toc81738476"/>
      <w:r w:rsidRPr="00D95127">
        <w:t>Ekonomika pěstování bobu v 2011 až 2020 s výhledem do 2030</w:t>
      </w:r>
      <w:bookmarkEnd w:id="514"/>
    </w:p>
    <w:p w14:paraId="30EC8B3D" w14:textId="77777777" w:rsidR="00A16DDB" w:rsidRPr="00D95127" w:rsidRDefault="00A16DDB" w:rsidP="00A16DDB">
      <w:pPr>
        <w:keepNext/>
        <w:rPr>
          <w:rFonts w:cs="Times New Roman"/>
          <w:i/>
          <w:sz w:val="20"/>
          <w:szCs w:val="24"/>
          <w:lang w:val="cs-CZ"/>
        </w:rPr>
      </w:pPr>
      <w:r w:rsidRPr="00D95127">
        <w:rPr>
          <w:rFonts w:cs="Times New Roman"/>
          <w:noProof/>
          <w:lang w:val="cs-CZ"/>
        </w:rPr>
        <w:drawing>
          <wp:inline distT="0" distB="0" distL="0" distR="0" wp14:anchorId="5A782883" wp14:editId="4EB70287">
            <wp:extent cx="5760720" cy="1181735"/>
            <wp:effectExtent l="0" t="0" r="0" b="0"/>
            <wp:docPr id="141" name="Obráze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60720" cy="1181735"/>
                    </a:xfrm>
                    <a:prstGeom prst="rect">
                      <a:avLst/>
                    </a:prstGeom>
                    <a:noFill/>
                    <a:ln>
                      <a:noFill/>
                    </a:ln>
                  </pic:spPr>
                </pic:pic>
              </a:graphicData>
            </a:graphic>
          </wp:inline>
        </w:drawing>
      </w:r>
    </w:p>
    <w:p w14:paraId="7DA671FB" w14:textId="77777777" w:rsidR="00A16DDB" w:rsidRPr="00D95127" w:rsidRDefault="00A16DDB" w:rsidP="00A44409">
      <w:pPr>
        <w:pStyle w:val="UZEIZdroj"/>
        <w:rPr>
          <w:i w:val="0"/>
        </w:rPr>
      </w:pPr>
      <w:r w:rsidRPr="00D95127">
        <w:t>Zdroj: Výběrové šetření nákladů a výnosů vybraných zemědělských komodit ÚZEI, vlastní výpočty</w:t>
      </w:r>
    </w:p>
    <w:p w14:paraId="5866E405" w14:textId="1DA9171F" w:rsidR="00A16DDB" w:rsidRPr="007F68ED" w:rsidRDefault="00A16DDB" w:rsidP="007F68ED">
      <w:pPr>
        <w:pStyle w:val="UZEIZdroj"/>
        <w:rPr>
          <w:i w:val="0"/>
          <w:szCs w:val="20"/>
        </w:rPr>
      </w:pPr>
      <w:r w:rsidRPr="00D95127">
        <w:rPr>
          <w:szCs w:val="20"/>
        </w:rPr>
        <w:t>Pozn.: Způsob provedení predikce je uveden v příloze I.</w:t>
      </w:r>
    </w:p>
    <w:p w14:paraId="7E467EBC" w14:textId="0ECFA746" w:rsidR="00A16DDB" w:rsidRPr="00D95127" w:rsidRDefault="00A16DDB" w:rsidP="00A44409">
      <w:pPr>
        <w:pStyle w:val="UZEITaB"/>
      </w:pPr>
      <w:bookmarkStart w:id="515" w:name="_Toc81738477"/>
      <w:r w:rsidRPr="00D95127">
        <w:t>Ekonomika pěstování sóji v 2011 až 2020 s výhledem do 2030</w:t>
      </w:r>
      <w:bookmarkEnd w:id="515"/>
    </w:p>
    <w:p w14:paraId="7178FA37" w14:textId="77777777" w:rsidR="00A16DDB" w:rsidRPr="00D95127" w:rsidRDefault="00A16DDB" w:rsidP="00A16DDB">
      <w:pPr>
        <w:keepNext/>
        <w:rPr>
          <w:rFonts w:cs="Times New Roman"/>
          <w:lang w:val="cs-CZ"/>
        </w:rPr>
      </w:pPr>
      <w:r w:rsidRPr="00D95127">
        <w:rPr>
          <w:rFonts w:cs="Times New Roman"/>
          <w:noProof/>
          <w:lang w:val="cs-CZ"/>
        </w:rPr>
        <w:drawing>
          <wp:inline distT="0" distB="0" distL="0" distR="0" wp14:anchorId="5DE8E62F" wp14:editId="4AD37D8D">
            <wp:extent cx="5760720" cy="1185545"/>
            <wp:effectExtent l="0" t="0" r="0" b="0"/>
            <wp:docPr id="142" name="Obrázek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60720" cy="1185545"/>
                    </a:xfrm>
                    <a:prstGeom prst="rect">
                      <a:avLst/>
                    </a:prstGeom>
                    <a:noFill/>
                    <a:ln>
                      <a:noFill/>
                    </a:ln>
                  </pic:spPr>
                </pic:pic>
              </a:graphicData>
            </a:graphic>
          </wp:inline>
        </w:drawing>
      </w:r>
    </w:p>
    <w:p w14:paraId="4923FD00" w14:textId="77777777" w:rsidR="00A16DDB" w:rsidRPr="00D95127" w:rsidRDefault="00A16DDB" w:rsidP="00A44409">
      <w:pPr>
        <w:pStyle w:val="UZEIZdroj"/>
        <w:rPr>
          <w:i w:val="0"/>
        </w:rPr>
      </w:pPr>
      <w:r w:rsidRPr="00D95127">
        <w:t>Zdroj: Výběrové šetření nákladů a výnosů vybraných zemědělských komodit ÚZEI, vlastní výpočty</w:t>
      </w:r>
    </w:p>
    <w:p w14:paraId="04ADCDEF" w14:textId="77777777" w:rsidR="00A16DDB" w:rsidRPr="00D95127" w:rsidRDefault="00A16DDB" w:rsidP="00A44409">
      <w:pPr>
        <w:pStyle w:val="UZEIZdroj"/>
        <w:rPr>
          <w:i w:val="0"/>
          <w:szCs w:val="20"/>
        </w:rPr>
      </w:pPr>
      <w:r w:rsidRPr="00D95127">
        <w:rPr>
          <w:szCs w:val="20"/>
        </w:rPr>
        <w:t>Pozn.: Způsob provedení predikce je uveden v příloze I.</w:t>
      </w:r>
    </w:p>
    <w:p w14:paraId="1D397A81" w14:textId="77777777" w:rsidR="00A16DDB" w:rsidRPr="00D95127" w:rsidRDefault="00A16DDB" w:rsidP="00A16DDB">
      <w:pPr>
        <w:pStyle w:val="Odstavecseseznamem"/>
        <w:ind w:left="360" w:firstLine="709"/>
        <w:rPr>
          <w:u w:val="single"/>
        </w:rPr>
      </w:pPr>
    </w:p>
    <w:p w14:paraId="411D5FCF" w14:textId="77777777" w:rsidR="00A16DDB" w:rsidRPr="00D95127" w:rsidRDefault="00A16DDB" w:rsidP="00A16DDB">
      <w:pPr>
        <w:rPr>
          <w:rFonts w:eastAsia="Times New Roman" w:cs="Times New Roman"/>
          <w:b/>
          <w:color w:val="2E74B5"/>
          <w:szCs w:val="24"/>
          <w:lang w:val="cs-CZ"/>
        </w:rPr>
      </w:pPr>
      <w:bookmarkStart w:id="516" w:name="_Toc15304067"/>
      <w:bookmarkStart w:id="517" w:name="_Toc23509883"/>
      <w:r w:rsidRPr="00D95127">
        <w:rPr>
          <w:rFonts w:cs="Times New Roman"/>
          <w:b/>
          <w:szCs w:val="24"/>
          <w:lang w:val="cs-CZ"/>
        </w:rPr>
        <w:br w:type="page"/>
      </w:r>
    </w:p>
    <w:p w14:paraId="1EF163D7" w14:textId="77777777" w:rsidR="00A16DDB" w:rsidRPr="00D95127" w:rsidRDefault="00A16DDB" w:rsidP="00A44409">
      <w:pPr>
        <w:pStyle w:val="Nadpis1"/>
      </w:pPr>
      <w:bookmarkStart w:id="518" w:name="_Toc76137390"/>
      <w:bookmarkStart w:id="519" w:name="_Toc76637589"/>
      <w:bookmarkStart w:id="520" w:name="_Toc80953268"/>
      <w:bookmarkStart w:id="521" w:name="_Toc81739221"/>
      <w:r w:rsidRPr="00D95127">
        <w:t>SWOT analýza</w:t>
      </w:r>
      <w:bookmarkEnd w:id="516"/>
      <w:bookmarkEnd w:id="517"/>
      <w:bookmarkEnd w:id="518"/>
      <w:bookmarkEnd w:id="519"/>
      <w:bookmarkEnd w:id="520"/>
      <w:bookmarkEnd w:id="521"/>
    </w:p>
    <w:p w14:paraId="2D8FE834" w14:textId="77777777" w:rsidR="00A16DDB" w:rsidRPr="007F68ED" w:rsidRDefault="00A16DDB" w:rsidP="00A44409">
      <w:pPr>
        <w:pStyle w:val="UZEINormaln"/>
        <w:rPr>
          <w:rStyle w:val="Odkazintenzivn"/>
          <w:rFonts w:cs="Times New Roman"/>
          <w:caps/>
          <w:smallCaps w:val="0"/>
        </w:rPr>
      </w:pPr>
      <w:r w:rsidRPr="007F68ED">
        <w:rPr>
          <w:rStyle w:val="Odkazintenzivn"/>
          <w:rFonts w:cs="Times New Roman"/>
          <w:caps/>
          <w:smallCaps w:val="0"/>
          <w:color w:val="auto"/>
        </w:rPr>
        <w:t>Luskoviny</w:t>
      </w:r>
    </w:p>
    <w:tbl>
      <w:tblPr>
        <w:tblW w:w="0" w:type="auto"/>
        <w:tblCellMar>
          <w:left w:w="0" w:type="dxa"/>
          <w:right w:w="0" w:type="dxa"/>
        </w:tblCellMar>
        <w:tblLook w:val="04A0" w:firstRow="1" w:lastRow="0" w:firstColumn="1" w:lastColumn="0" w:noHBand="0" w:noVBand="1"/>
      </w:tblPr>
      <w:tblGrid>
        <w:gridCol w:w="4526"/>
        <w:gridCol w:w="4526"/>
      </w:tblGrid>
      <w:tr w:rsidR="00A16DDB" w:rsidRPr="00D95127" w14:paraId="572B8FB7" w14:textId="77777777" w:rsidTr="007A627A">
        <w:tc>
          <w:tcPr>
            <w:tcW w:w="453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CBD61B" w14:textId="77777777" w:rsidR="00A16DDB" w:rsidRPr="00D95127" w:rsidRDefault="00A16DDB" w:rsidP="007F68ED">
            <w:pPr>
              <w:pStyle w:val="UZEINormaln"/>
              <w:jc w:val="center"/>
              <w:rPr>
                <w:rFonts w:cs="Times New Roman"/>
              </w:rPr>
            </w:pPr>
            <w:r w:rsidRPr="00A44409">
              <w:rPr>
                <w:b/>
                <w:sz w:val="22"/>
                <w:szCs w:val="22"/>
              </w:rPr>
              <w:t>Silné stránky</w:t>
            </w:r>
          </w:p>
        </w:tc>
        <w:tc>
          <w:tcPr>
            <w:tcW w:w="453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AE17AAA" w14:textId="77777777" w:rsidR="00A16DDB" w:rsidRPr="00D95127" w:rsidRDefault="00A16DDB" w:rsidP="007F68ED">
            <w:pPr>
              <w:pStyle w:val="UZEINormaln"/>
              <w:jc w:val="center"/>
              <w:rPr>
                <w:rFonts w:cs="Times New Roman"/>
              </w:rPr>
            </w:pPr>
            <w:r w:rsidRPr="00A44409">
              <w:rPr>
                <w:b/>
                <w:sz w:val="22"/>
                <w:szCs w:val="22"/>
              </w:rPr>
              <w:t>Slabé stránky</w:t>
            </w:r>
          </w:p>
        </w:tc>
      </w:tr>
      <w:tr w:rsidR="00A16DDB" w:rsidRPr="00D95127" w14:paraId="2795B21C" w14:textId="77777777" w:rsidTr="007A627A">
        <w:tc>
          <w:tcPr>
            <w:tcW w:w="453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355604" w14:textId="3C7C305B" w:rsidR="00A16DDB" w:rsidRPr="00A44409" w:rsidRDefault="007F68ED" w:rsidP="00A44409">
            <w:pPr>
              <w:pStyle w:val="UZEIOdrky"/>
              <w:ind w:left="342" w:hanging="283"/>
              <w:rPr>
                <w:sz w:val="22"/>
                <w:szCs w:val="22"/>
              </w:rPr>
            </w:pPr>
            <w:r>
              <w:rPr>
                <w:sz w:val="22"/>
                <w:szCs w:val="22"/>
              </w:rPr>
              <w:t xml:space="preserve">S1: </w:t>
            </w:r>
            <w:r w:rsidR="00A16DDB" w:rsidRPr="00A44409">
              <w:rPr>
                <w:sz w:val="22"/>
                <w:szCs w:val="22"/>
              </w:rPr>
              <w:t>Doplnění osevních postupů o plodinu se zlepšujícím účinkem na půdu.</w:t>
            </w:r>
          </w:p>
          <w:p w14:paraId="4231BEEE" w14:textId="50F75EBF" w:rsidR="00A16DDB" w:rsidRPr="00A44409" w:rsidRDefault="007F68ED" w:rsidP="00A44409">
            <w:pPr>
              <w:pStyle w:val="UZEIOdrky"/>
              <w:ind w:left="342" w:hanging="283"/>
              <w:rPr>
                <w:sz w:val="22"/>
                <w:szCs w:val="22"/>
              </w:rPr>
            </w:pPr>
            <w:r>
              <w:rPr>
                <w:sz w:val="22"/>
                <w:szCs w:val="22"/>
              </w:rPr>
              <w:t xml:space="preserve">S2: </w:t>
            </w:r>
            <w:r w:rsidR="00A16DDB" w:rsidRPr="00A44409">
              <w:rPr>
                <w:sz w:val="22"/>
                <w:szCs w:val="22"/>
              </w:rPr>
              <w:t>Příznivé klimatické a geografické podmínky ČR pro pěstování luskovin.</w:t>
            </w:r>
          </w:p>
          <w:p w14:paraId="09768462" w14:textId="04E3BB47" w:rsidR="00A16DDB" w:rsidRPr="00A44409" w:rsidRDefault="007F68ED" w:rsidP="00A44409">
            <w:pPr>
              <w:pStyle w:val="UZEIOdrky"/>
              <w:ind w:left="342" w:hanging="283"/>
              <w:rPr>
                <w:sz w:val="22"/>
                <w:szCs w:val="22"/>
              </w:rPr>
            </w:pPr>
            <w:r>
              <w:rPr>
                <w:sz w:val="22"/>
                <w:szCs w:val="22"/>
              </w:rPr>
              <w:t xml:space="preserve">S3: </w:t>
            </w:r>
            <w:r w:rsidR="00A16DDB" w:rsidRPr="00A44409">
              <w:rPr>
                <w:sz w:val="22"/>
                <w:szCs w:val="22"/>
              </w:rPr>
              <w:t>Stabilní poptávka tuzemského krmivářského průmyslu</w:t>
            </w:r>
          </w:p>
          <w:p w14:paraId="22C167DD" w14:textId="2CD068D8" w:rsidR="00A16DDB" w:rsidRPr="00A44409" w:rsidRDefault="007F68ED" w:rsidP="00A44409">
            <w:pPr>
              <w:pStyle w:val="UZEIOdrky"/>
              <w:ind w:left="342" w:hanging="283"/>
              <w:rPr>
                <w:sz w:val="22"/>
                <w:szCs w:val="22"/>
              </w:rPr>
            </w:pPr>
            <w:r>
              <w:rPr>
                <w:sz w:val="22"/>
                <w:szCs w:val="22"/>
              </w:rPr>
              <w:t xml:space="preserve">S4: </w:t>
            </w:r>
            <w:r w:rsidR="00A16DDB" w:rsidRPr="00A44409">
              <w:rPr>
                <w:sz w:val="22"/>
                <w:szCs w:val="22"/>
              </w:rPr>
              <w:t>Evropsky konkurenceschopné domácí šlechtění a výzkum.</w:t>
            </w:r>
          </w:p>
          <w:p w14:paraId="70BA4EF7" w14:textId="56EF139E" w:rsidR="00A16DDB" w:rsidRPr="00A44409" w:rsidRDefault="007F68ED" w:rsidP="00A44409">
            <w:pPr>
              <w:pStyle w:val="UZEIOdrky"/>
              <w:ind w:left="342" w:hanging="283"/>
              <w:rPr>
                <w:sz w:val="22"/>
                <w:szCs w:val="22"/>
              </w:rPr>
            </w:pPr>
            <w:r>
              <w:rPr>
                <w:sz w:val="22"/>
                <w:szCs w:val="22"/>
              </w:rPr>
              <w:t xml:space="preserve">S5: </w:t>
            </w:r>
            <w:r w:rsidR="00A16DDB" w:rsidRPr="00A44409">
              <w:rPr>
                <w:sz w:val="22"/>
                <w:szCs w:val="22"/>
              </w:rPr>
              <w:t>Vybudovaná struktura profesních organizací a spolupráce pěstitelů s výzkumem.</w:t>
            </w:r>
          </w:p>
          <w:p w14:paraId="36745716" w14:textId="77777777" w:rsidR="00A16DDB" w:rsidRPr="00A44409" w:rsidRDefault="00A16DDB" w:rsidP="007F68ED">
            <w:pPr>
              <w:pStyle w:val="UZEIOdrky"/>
              <w:numPr>
                <w:ilvl w:val="0"/>
                <w:numId w:val="0"/>
              </w:numPr>
              <w:ind w:left="342"/>
              <w:rPr>
                <w:sz w:val="22"/>
                <w:szCs w:val="22"/>
              </w:rPr>
            </w:pPr>
          </w:p>
        </w:tc>
        <w:tc>
          <w:tcPr>
            <w:tcW w:w="4531" w:type="dxa"/>
            <w:tcBorders>
              <w:top w:val="nil"/>
              <w:left w:val="nil"/>
              <w:bottom w:val="single" w:sz="8" w:space="0" w:color="auto"/>
              <w:right w:val="single" w:sz="8" w:space="0" w:color="auto"/>
            </w:tcBorders>
            <w:tcMar>
              <w:top w:w="0" w:type="dxa"/>
              <w:left w:w="108" w:type="dxa"/>
              <w:bottom w:w="0" w:type="dxa"/>
              <w:right w:w="108" w:type="dxa"/>
            </w:tcMar>
          </w:tcPr>
          <w:p w14:paraId="283DBC7D" w14:textId="53BC46EE" w:rsidR="00A16DDB" w:rsidRPr="00A44409" w:rsidRDefault="007F68ED" w:rsidP="00A44409">
            <w:pPr>
              <w:pStyle w:val="UZEIOdrky"/>
              <w:ind w:left="342" w:hanging="283"/>
              <w:rPr>
                <w:sz w:val="22"/>
                <w:szCs w:val="22"/>
              </w:rPr>
            </w:pPr>
            <w:r>
              <w:rPr>
                <w:sz w:val="22"/>
                <w:szCs w:val="22"/>
              </w:rPr>
              <w:t xml:space="preserve">W1: </w:t>
            </w:r>
            <w:r w:rsidR="00A16DDB" w:rsidRPr="00A44409">
              <w:rPr>
                <w:sz w:val="22"/>
                <w:szCs w:val="22"/>
              </w:rPr>
              <w:t>Velká závislost výnosu na počasí, velké výkyvy v množství a ceně.</w:t>
            </w:r>
          </w:p>
          <w:p w14:paraId="6374C48D" w14:textId="563ACF37" w:rsidR="00A16DDB" w:rsidRPr="00A44409" w:rsidRDefault="007F68ED" w:rsidP="00A44409">
            <w:pPr>
              <w:pStyle w:val="UZEIOdrky"/>
              <w:ind w:left="342" w:hanging="283"/>
              <w:rPr>
                <w:sz w:val="22"/>
                <w:szCs w:val="22"/>
              </w:rPr>
            </w:pPr>
            <w:r>
              <w:rPr>
                <w:sz w:val="22"/>
                <w:szCs w:val="22"/>
              </w:rPr>
              <w:t xml:space="preserve">W2: </w:t>
            </w:r>
            <w:r w:rsidR="00A16DDB" w:rsidRPr="00A44409">
              <w:rPr>
                <w:sz w:val="22"/>
                <w:szCs w:val="22"/>
              </w:rPr>
              <w:t>Náchylnost k chorobám a škůdcům.</w:t>
            </w:r>
          </w:p>
          <w:p w14:paraId="11A53775" w14:textId="4AD97A67" w:rsidR="00A16DDB" w:rsidRPr="00A44409" w:rsidRDefault="007F68ED" w:rsidP="00A44409">
            <w:pPr>
              <w:pStyle w:val="UZEIOdrky"/>
              <w:ind w:left="342" w:hanging="283"/>
              <w:rPr>
                <w:sz w:val="22"/>
                <w:szCs w:val="22"/>
              </w:rPr>
            </w:pPr>
            <w:r>
              <w:rPr>
                <w:sz w:val="22"/>
                <w:szCs w:val="22"/>
              </w:rPr>
              <w:t xml:space="preserve">W3: </w:t>
            </w:r>
            <w:r w:rsidR="00A16DDB" w:rsidRPr="00A44409">
              <w:rPr>
                <w:sz w:val="22"/>
                <w:szCs w:val="22"/>
              </w:rPr>
              <w:t>Náchylnost k poškozování semen při výmlatu a posklizňovém ošetření.</w:t>
            </w:r>
          </w:p>
          <w:p w14:paraId="0A4D3C01" w14:textId="6274CD66" w:rsidR="00A16DDB" w:rsidRPr="00A44409" w:rsidRDefault="007F68ED" w:rsidP="00A44409">
            <w:pPr>
              <w:pStyle w:val="UZEIOdrky"/>
              <w:ind w:left="342" w:hanging="283"/>
              <w:rPr>
                <w:sz w:val="22"/>
                <w:szCs w:val="22"/>
              </w:rPr>
            </w:pPr>
            <w:r>
              <w:rPr>
                <w:sz w:val="22"/>
                <w:szCs w:val="22"/>
              </w:rPr>
              <w:t xml:space="preserve">W4: </w:t>
            </w:r>
            <w:r w:rsidR="00A16DDB" w:rsidRPr="00A44409">
              <w:rPr>
                <w:sz w:val="22"/>
                <w:szCs w:val="22"/>
              </w:rPr>
              <w:t>Dlouhá vegetační doba (lupina, sója).</w:t>
            </w:r>
          </w:p>
          <w:p w14:paraId="5003A431" w14:textId="0C02F65B" w:rsidR="00A16DDB" w:rsidRPr="00A44409" w:rsidRDefault="007F68ED" w:rsidP="00A44409">
            <w:pPr>
              <w:pStyle w:val="UZEIOdrky"/>
              <w:ind w:left="342" w:hanging="283"/>
              <w:rPr>
                <w:sz w:val="22"/>
                <w:szCs w:val="22"/>
              </w:rPr>
            </w:pPr>
            <w:r>
              <w:rPr>
                <w:sz w:val="22"/>
                <w:szCs w:val="22"/>
              </w:rPr>
              <w:t xml:space="preserve">W5: </w:t>
            </w:r>
            <w:r w:rsidR="00A16DDB" w:rsidRPr="00A44409">
              <w:rPr>
                <w:sz w:val="22"/>
                <w:szCs w:val="22"/>
              </w:rPr>
              <w:t>Malá odolnost vůči chladu (fazol, sója).</w:t>
            </w:r>
          </w:p>
          <w:p w14:paraId="36BEBDA0" w14:textId="3C426F83" w:rsidR="00A16DDB" w:rsidRPr="00A44409" w:rsidRDefault="007F68ED" w:rsidP="00A44409">
            <w:pPr>
              <w:pStyle w:val="UZEIOdrky"/>
              <w:ind w:left="342" w:hanging="283"/>
              <w:rPr>
                <w:sz w:val="22"/>
                <w:szCs w:val="22"/>
              </w:rPr>
            </w:pPr>
            <w:r>
              <w:rPr>
                <w:sz w:val="22"/>
                <w:szCs w:val="22"/>
              </w:rPr>
              <w:t xml:space="preserve">W6: </w:t>
            </w:r>
            <w:r w:rsidR="00A16DDB" w:rsidRPr="00A44409">
              <w:rPr>
                <w:sz w:val="22"/>
                <w:szCs w:val="22"/>
              </w:rPr>
              <w:t>Citlivost na přebytek i nedostatek vláhy.</w:t>
            </w:r>
          </w:p>
          <w:p w14:paraId="4E7D6416" w14:textId="3D29480B" w:rsidR="00A16DDB" w:rsidRPr="00A44409" w:rsidRDefault="007F68ED" w:rsidP="00A44409">
            <w:pPr>
              <w:pStyle w:val="UZEIOdrky"/>
              <w:ind w:left="342" w:hanging="283"/>
              <w:rPr>
                <w:sz w:val="22"/>
                <w:szCs w:val="22"/>
              </w:rPr>
            </w:pPr>
            <w:r>
              <w:rPr>
                <w:sz w:val="22"/>
                <w:szCs w:val="22"/>
              </w:rPr>
              <w:t xml:space="preserve">W7: </w:t>
            </w:r>
            <w:r w:rsidR="00A16DDB" w:rsidRPr="00A44409">
              <w:rPr>
                <w:sz w:val="22"/>
                <w:szCs w:val="22"/>
              </w:rPr>
              <w:t>Nevhodnost pěstování luskovin po sobě (s výj. sóji, lupiny a hrachoru).</w:t>
            </w:r>
          </w:p>
          <w:p w14:paraId="3B758C57" w14:textId="7519D788" w:rsidR="00A16DDB" w:rsidRPr="00A44409" w:rsidRDefault="007F68ED" w:rsidP="00A44409">
            <w:pPr>
              <w:pStyle w:val="UZEIOdrky"/>
              <w:ind w:left="342" w:hanging="283"/>
              <w:rPr>
                <w:sz w:val="22"/>
                <w:szCs w:val="22"/>
              </w:rPr>
            </w:pPr>
            <w:r>
              <w:rPr>
                <w:sz w:val="22"/>
                <w:szCs w:val="22"/>
              </w:rPr>
              <w:t xml:space="preserve">W8: </w:t>
            </w:r>
            <w:r w:rsidR="00A16DDB" w:rsidRPr="00A44409">
              <w:rPr>
                <w:sz w:val="22"/>
                <w:szCs w:val="22"/>
              </w:rPr>
              <w:t>Míra soběstačnosti rostlinných bílkovin v ČR (2015-2017) je cca 41 % (pro srovnání s EU, která dosahuje cca 38 %).</w:t>
            </w:r>
          </w:p>
        </w:tc>
      </w:tr>
      <w:tr w:rsidR="00A16DDB" w:rsidRPr="00D95127" w14:paraId="719144BB" w14:textId="77777777" w:rsidTr="007A627A">
        <w:tc>
          <w:tcPr>
            <w:tcW w:w="453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DEA11B" w14:textId="77777777" w:rsidR="00A16DDB" w:rsidRPr="00D95127" w:rsidRDefault="00A16DDB" w:rsidP="007F68ED">
            <w:pPr>
              <w:pStyle w:val="UZEINormaln"/>
              <w:jc w:val="center"/>
              <w:rPr>
                <w:rFonts w:cs="Times New Roman"/>
              </w:rPr>
            </w:pPr>
            <w:r w:rsidRPr="00A44409">
              <w:rPr>
                <w:b/>
                <w:sz w:val="22"/>
                <w:szCs w:val="22"/>
              </w:rPr>
              <w:t>Příležitosti</w:t>
            </w:r>
          </w:p>
        </w:tc>
        <w:tc>
          <w:tcPr>
            <w:tcW w:w="4531" w:type="dxa"/>
            <w:tcBorders>
              <w:top w:val="nil"/>
              <w:left w:val="nil"/>
              <w:bottom w:val="single" w:sz="8" w:space="0" w:color="auto"/>
              <w:right w:val="single" w:sz="8" w:space="0" w:color="auto"/>
            </w:tcBorders>
            <w:tcMar>
              <w:top w:w="0" w:type="dxa"/>
              <w:left w:w="108" w:type="dxa"/>
              <w:bottom w:w="0" w:type="dxa"/>
              <w:right w:w="108" w:type="dxa"/>
            </w:tcMar>
            <w:hideMark/>
          </w:tcPr>
          <w:p w14:paraId="5BD766D8" w14:textId="77777777" w:rsidR="00A16DDB" w:rsidRPr="00D95127" w:rsidRDefault="00A16DDB" w:rsidP="007F68ED">
            <w:pPr>
              <w:pStyle w:val="UZEINormaln"/>
              <w:jc w:val="center"/>
              <w:rPr>
                <w:rFonts w:cs="Times New Roman"/>
              </w:rPr>
            </w:pPr>
            <w:r w:rsidRPr="00A44409">
              <w:rPr>
                <w:b/>
                <w:sz w:val="22"/>
                <w:szCs w:val="22"/>
              </w:rPr>
              <w:t>Hrozby</w:t>
            </w:r>
          </w:p>
        </w:tc>
      </w:tr>
      <w:tr w:rsidR="00A16DDB" w:rsidRPr="00D95127" w14:paraId="3B1463D5" w14:textId="77777777" w:rsidTr="007A627A">
        <w:tc>
          <w:tcPr>
            <w:tcW w:w="453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06B916" w14:textId="7A481BB4" w:rsidR="00A16DDB" w:rsidRPr="00A44409" w:rsidRDefault="007F68ED" w:rsidP="00A44409">
            <w:pPr>
              <w:pStyle w:val="UZEIOdrky"/>
              <w:ind w:left="342" w:hanging="283"/>
              <w:rPr>
                <w:sz w:val="22"/>
                <w:szCs w:val="22"/>
              </w:rPr>
            </w:pPr>
            <w:r>
              <w:rPr>
                <w:sz w:val="22"/>
                <w:szCs w:val="22"/>
              </w:rPr>
              <w:t xml:space="preserve">O1: </w:t>
            </w:r>
            <w:r w:rsidR="00A16DDB" w:rsidRPr="00A44409">
              <w:rPr>
                <w:sz w:val="22"/>
                <w:szCs w:val="22"/>
              </w:rPr>
              <w:t>Potenciál růstu produkce s vyšší rentabilitou a s vyšší přidanou hodnotou pro pěstitele.</w:t>
            </w:r>
          </w:p>
          <w:p w14:paraId="35F76446" w14:textId="1C6A4863" w:rsidR="00A16DDB" w:rsidRPr="00A44409" w:rsidRDefault="007F68ED" w:rsidP="00A44409">
            <w:pPr>
              <w:pStyle w:val="UZEIOdrky"/>
              <w:ind w:left="342" w:hanging="283"/>
              <w:rPr>
                <w:sz w:val="22"/>
                <w:szCs w:val="22"/>
              </w:rPr>
            </w:pPr>
            <w:r>
              <w:rPr>
                <w:sz w:val="22"/>
                <w:szCs w:val="22"/>
              </w:rPr>
              <w:t xml:space="preserve">O2: </w:t>
            </w:r>
            <w:r w:rsidR="00A16DDB" w:rsidRPr="00A44409">
              <w:rPr>
                <w:sz w:val="22"/>
                <w:szCs w:val="22"/>
              </w:rPr>
              <w:t>Potenciál ke snižování dovozu sóji – bylo by možné až cca 50 % obsahu sóji nahradit tuzemskými luskovinami bez nepříznivých dopadů na výživovou hodnotu</w:t>
            </w:r>
          </w:p>
          <w:p w14:paraId="6ECE9ED4" w14:textId="43ACFEF5" w:rsidR="00A16DDB" w:rsidRPr="00A44409" w:rsidRDefault="007F68ED" w:rsidP="00A44409">
            <w:pPr>
              <w:pStyle w:val="UZEIOdrky"/>
              <w:ind w:left="342" w:hanging="283"/>
              <w:rPr>
                <w:sz w:val="22"/>
                <w:szCs w:val="22"/>
              </w:rPr>
            </w:pPr>
            <w:r>
              <w:rPr>
                <w:sz w:val="22"/>
                <w:szCs w:val="22"/>
              </w:rPr>
              <w:t xml:space="preserve">O3: </w:t>
            </w:r>
            <w:r w:rsidR="00A16DDB" w:rsidRPr="00A44409">
              <w:rPr>
                <w:sz w:val="22"/>
                <w:szCs w:val="22"/>
              </w:rPr>
              <w:t>Zvýšení efektivnosti produkce lepším managementem a využíváním výsledků výzkumu.</w:t>
            </w:r>
          </w:p>
          <w:p w14:paraId="07B01D36" w14:textId="261CEDC4" w:rsidR="00A16DDB" w:rsidRPr="00A44409" w:rsidRDefault="007F68ED" w:rsidP="00A44409">
            <w:pPr>
              <w:pStyle w:val="UZEIOdrky"/>
              <w:ind w:left="342" w:hanging="283"/>
              <w:rPr>
                <w:sz w:val="22"/>
                <w:szCs w:val="22"/>
              </w:rPr>
            </w:pPr>
            <w:r>
              <w:rPr>
                <w:sz w:val="22"/>
                <w:szCs w:val="22"/>
              </w:rPr>
              <w:t xml:space="preserve">O4: </w:t>
            </w:r>
            <w:r w:rsidR="00A16DDB" w:rsidRPr="00A44409">
              <w:rPr>
                <w:sz w:val="22"/>
                <w:szCs w:val="22"/>
              </w:rPr>
              <w:t>Rozšíření výzkumu v oblasti výběru nových odrůd a druhů, zlepšování výnosů, obsahu bílkovin a stravitelnosti.</w:t>
            </w:r>
          </w:p>
        </w:tc>
        <w:tc>
          <w:tcPr>
            <w:tcW w:w="4531" w:type="dxa"/>
            <w:tcBorders>
              <w:top w:val="nil"/>
              <w:left w:val="nil"/>
              <w:bottom w:val="single" w:sz="8" w:space="0" w:color="auto"/>
              <w:right w:val="single" w:sz="8" w:space="0" w:color="auto"/>
            </w:tcBorders>
            <w:tcMar>
              <w:top w:w="0" w:type="dxa"/>
              <w:left w:w="108" w:type="dxa"/>
              <w:bottom w:w="0" w:type="dxa"/>
              <w:right w:w="108" w:type="dxa"/>
            </w:tcMar>
            <w:hideMark/>
          </w:tcPr>
          <w:p w14:paraId="0A5D4D34" w14:textId="3B4C5E5A" w:rsidR="00A16DDB" w:rsidRPr="00A44409" w:rsidRDefault="007F68ED" w:rsidP="00A44409">
            <w:pPr>
              <w:pStyle w:val="UZEIOdrky"/>
              <w:ind w:left="342" w:hanging="283"/>
              <w:rPr>
                <w:sz w:val="22"/>
                <w:szCs w:val="22"/>
              </w:rPr>
            </w:pPr>
            <w:r>
              <w:rPr>
                <w:sz w:val="22"/>
                <w:szCs w:val="22"/>
              </w:rPr>
              <w:t xml:space="preserve">T1: </w:t>
            </w:r>
            <w:r w:rsidR="00A16DDB" w:rsidRPr="00A44409">
              <w:rPr>
                <w:sz w:val="22"/>
                <w:szCs w:val="22"/>
              </w:rPr>
              <w:t>Vlivem klimatické změny dochází k nárůstu výskytu chorob a škůdců.</w:t>
            </w:r>
          </w:p>
          <w:p w14:paraId="38677A4A" w14:textId="66D1F065" w:rsidR="00A16DDB" w:rsidRPr="00A44409" w:rsidRDefault="007F68ED" w:rsidP="00A44409">
            <w:pPr>
              <w:pStyle w:val="UZEIOdrky"/>
              <w:ind w:left="342" w:hanging="283"/>
              <w:rPr>
                <w:sz w:val="22"/>
                <w:szCs w:val="22"/>
              </w:rPr>
            </w:pPr>
            <w:r>
              <w:rPr>
                <w:sz w:val="22"/>
                <w:szCs w:val="22"/>
              </w:rPr>
              <w:t xml:space="preserve">T2: </w:t>
            </w:r>
            <w:r w:rsidR="00A16DDB" w:rsidRPr="00A44409">
              <w:rPr>
                <w:sz w:val="22"/>
                <w:szCs w:val="22"/>
              </w:rPr>
              <w:t>Vysoká konkurence sóji na světových trzích.</w:t>
            </w:r>
          </w:p>
          <w:p w14:paraId="74CB3DC6" w14:textId="693B2DBD" w:rsidR="00A16DDB" w:rsidRPr="00A44409" w:rsidRDefault="007F68ED" w:rsidP="00A44409">
            <w:pPr>
              <w:pStyle w:val="UZEIOdrky"/>
              <w:ind w:left="342" w:hanging="283"/>
              <w:rPr>
                <w:sz w:val="22"/>
                <w:szCs w:val="22"/>
              </w:rPr>
            </w:pPr>
            <w:r>
              <w:rPr>
                <w:sz w:val="22"/>
                <w:szCs w:val="22"/>
              </w:rPr>
              <w:t xml:space="preserve">T3: </w:t>
            </w:r>
            <w:r w:rsidR="00A16DDB" w:rsidRPr="00A44409">
              <w:rPr>
                <w:sz w:val="22"/>
                <w:szCs w:val="22"/>
              </w:rPr>
              <w:t xml:space="preserve">Vysoká závislost na dovozu spolu </w:t>
            </w:r>
            <w:r w:rsidR="00A16DDB" w:rsidRPr="00D95127">
              <w:t>s nestabilitou světových cen ponechává EU ve velmi zranitelné pozici a tento trend tak představuje závažné riziko především pro sektor živočišné produkce.</w:t>
            </w:r>
          </w:p>
          <w:p w14:paraId="340DCD6A" w14:textId="4E69021B" w:rsidR="00A16DDB" w:rsidRPr="00A44409" w:rsidRDefault="007F68ED" w:rsidP="00A44409">
            <w:pPr>
              <w:pStyle w:val="UZEIOdrky"/>
              <w:ind w:left="342" w:hanging="283"/>
              <w:rPr>
                <w:sz w:val="22"/>
                <w:szCs w:val="22"/>
              </w:rPr>
            </w:pPr>
            <w:r>
              <w:rPr>
                <w:sz w:val="22"/>
                <w:szCs w:val="22"/>
              </w:rPr>
              <w:t xml:space="preserve">T4: </w:t>
            </w:r>
            <w:r w:rsidR="00A16DDB" w:rsidRPr="00A44409">
              <w:rPr>
                <w:sz w:val="22"/>
                <w:szCs w:val="22"/>
              </w:rPr>
              <w:t xml:space="preserve">Růst celosvětové spotřeby sóji (Čína aj.) </w:t>
            </w:r>
            <w:r w:rsidR="00A16DDB" w:rsidRPr="00D95127">
              <w:t>vytváří tlak na světové producenty sóji a stávající odběratele (Evropa).</w:t>
            </w:r>
          </w:p>
          <w:p w14:paraId="108E3859" w14:textId="77777777" w:rsidR="00A16DDB" w:rsidRPr="00A44409" w:rsidRDefault="00A16DDB" w:rsidP="00B50ECB">
            <w:pPr>
              <w:pStyle w:val="UZEIOdrky"/>
              <w:numPr>
                <w:ilvl w:val="0"/>
                <w:numId w:val="0"/>
              </w:numPr>
              <w:ind w:left="342"/>
              <w:rPr>
                <w:sz w:val="22"/>
                <w:szCs w:val="22"/>
              </w:rPr>
            </w:pPr>
          </w:p>
        </w:tc>
      </w:tr>
    </w:tbl>
    <w:p w14:paraId="1846B062" w14:textId="77777777" w:rsidR="00A16DDB" w:rsidRPr="00D95127" w:rsidRDefault="00A16DDB" w:rsidP="00A16DDB">
      <w:pPr>
        <w:rPr>
          <w:rFonts w:cs="Times New Roman"/>
          <w:szCs w:val="24"/>
          <w:lang w:val="cs-CZ"/>
        </w:rPr>
      </w:pPr>
    </w:p>
    <w:p w14:paraId="6AE95672" w14:textId="77777777" w:rsidR="00A16DDB" w:rsidRPr="00D95127" w:rsidRDefault="00A16DDB" w:rsidP="00A16DDB">
      <w:pPr>
        <w:rPr>
          <w:rFonts w:eastAsia="Times New Roman" w:cs="Times New Roman"/>
          <w:b/>
          <w:color w:val="2E74B5"/>
          <w:szCs w:val="24"/>
          <w:lang w:val="cs-CZ"/>
        </w:rPr>
      </w:pPr>
      <w:bookmarkStart w:id="522" w:name="_Toc526113884"/>
      <w:r w:rsidRPr="00D95127">
        <w:rPr>
          <w:rFonts w:cs="Times New Roman"/>
          <w:b/>
          <w:szCs w:val="24"/>
          <w:lang w:val="cs-CZ"/>
        </w:rPr>
        <w:br w:type="page"/>
      </w:r>
    </w:p>
    <w:p w14:paraId="14A6521F" w14:textId="77777777" w:rsidR="00A16DDB" w:rsidRPr="00D95127" w:rsidRDefault="00A16DDB" w:rsidP="007800CC">
      <w:pPr>
        <w:pStyle w:val="UZEINadpis1stbezsla"/>
      </w:pPr>
      <w:bookmarkStart w:id="523" w:name="_Toc76137391"/>
      <w:bookmarkStart w:id="524" w:name="_Toc76637590"/>
      <w:bookmarkStart w:id="525" w:name="_Toc80953269"/>
      <w:bookmarkStart w:id="526" w:name="_Toc81739222"/>
      <w:r w:rsidRPr="00D95127">
        <w:t>CHMEL</w:t>
      </w:r>
      <w:bookmarkEnd w:id="523"/>
      <w:bookmarkEnd w:id="524"/>
      <w:bookmarkEnd w:id="525"/>
      <w:bookmarkEnd w:id="526"/>
    </w:p>
    <w:p w14:paraId="06C07A27" w14:textId="594B6FAD" w:rsidR="00A16DDB" w:rsidRPr="00D95127" w:rsidRDefault="00A16DDB" w:rsidP="007F68ED">
      <w:pPr>
        <w:pStyle w:val="UZEINormaln"/>
        <w:rPr>
          <w:rFonts w:cs="Times New Roman"/>
          <w:bCs/>
          <w:color w:val="333333"/>
        </w:rPr>
      </w:pPr>
      <w:bookmarkStart w:id="527" w:name="_Hlk14419563"/>
      <w:bookmarkStart w:id="528" w:name="_Hlk14419633"/>
      <w:bookmarkEnd w:id="522"/>
      <w:r w:rsidRPr="00D95127">
        <w:t>Český chmel je světově proslulý svou kvalitou a Česká republika patří tradičně mezi největší světové producenty chmele.</w:t>
      </w:r>
      <w:r w:rsidRPr="00D95127">
        <w:rPr>
          <w:rFonts w:cs="Times New Roman"/>
          <w:color w:val="333333"/>
        </w:rPr>
        <w:t xml:space="preserve"> </w:t>
      </w:r>
      <w:r w:rsidRPr="00D95127">
        <w:rPr>
          <w:rFonts w:cs="Times New Roman"/>
          <w:bCs/>
          <w:color w:val="333333"/>
        </w:rPr>
        <w:t xml:space="preserve">Česká republika je třetím největším producentem chmele na světě (za USA a Německem). Současně je největším producentem jemného aromatického chmele Žatecký poloraný červeňák (ŽPČ).  </w:t>
      </w:r>
    </w:p>
    <w:p w14:paraId="338C73FD" w14:textId="77777777" w:rsidR="00A16DDB" w:rsidRPr="00D95127" w:rsidRDefault="00A16DDB" w:rsidP="00DE7D57">
      <w:pPr>
        <w:pStyle w:val="Nadpis1"/>
        <w:numPr>
          <w:ilvl w:val="0"/>
          <w:numId w:val="14"/>
        </w:numPr>
      </w:pPr>
      <w:bookmarkStart w:id="529" w:name="_Toc23401588"/>
      <w:bookmarkStart w:id="530" w:name="_Toc23473660"/>
      <w:bookmarkStart w:id="531" w:name="_Toc23475114"/>
      <w:bookmarkStart w:id="532" w:name="_Toc23509731"/>
      <w:bookmarkStart w:id="533" w:name="_Toc23509885"/>
      <w:bookmarkStart w:id="534" w:name="_Toc27156939"/>
      <w:bookmarkStart w:id="535" w:name="_Toc27172176"/>
      <w:bookmarkStart w:id="536" w:name="_Toc27172828"/>
      <w:bookmarkStart w:id="537" w:name="_Toc27172981"/>
      <w:bookmarkStart w:id="538" w:name="_Toc15304069"/>
      <w:bookmarkStart w:id="539" w:name="_Toc23509886"/>
      <w:bookmarkStart w:id="540" w:name="_Toc76137392"/>
      <w:bookmarkStart w:id="541" w:name="_Toc76637591"/>
      <w:bookmarkStart w:id="542" w:name="_Toc80953270"/>
      <w:bookmarkStart w:id="543" w:name="_Toc81739223"/>
      <w:bookmarkEnd w:id="529"/>
      <w:bookmarkEnd w:id="530"/>
      <w:bookmarkEnd w:id="531"/>
      <w:bookmarkEnd w:id="532"/>
      <w:bookmarkEnd w:id="533"/>
      <w:bookmarkEnd w:id="534"/>
      <w:bookmarkEnd w:id="535"/>
      <w:bookmarkEnd w:id="536"/>
      <w:bookmarkEnd w:id="537"/>
      <w:r w:rsidRPr="00D95127">
        <w:t>Analýza stávajících/navrhovaných právních předpisů EK/ČR a pravděpodobné nastavení směrů a cílů SZP</w:t>
      </w:r>
      <w:bookmarkEnd w:id="538"/>
      <w:bookmarkEnd w:id="539"/>
      <w:bookmarkEnd w:id="540"/>
      <w:bookmarkEnd w:id="541"/>
      <w:bookmarkEnd w:id="542"/>
      <w:bookmarkEnd w:id="543"/>
    </w:p>
    <w:p w14:paraId="2E4A7386" w14:textId="7E7B8637" w:rsidR="00C624B3" w:rsidRPr="00B10832" w:rsidRDefault="00A16DDB" w:rsidP="007800CC">
      <w:pPr>
        <w:pStyle w:val="UZEINormaln"/>
        <w:rPr>
          <w:u w:val="single"/>
        </w:rPr>
      </w:pPr>
      <w:r w:rsidRPr="00B10832">
        <w:rPr>
          <w:u w:val="single"/>
        </w:rPr>
        <w:t>Tato část je zpracována souhrnně v základním analytickém dokumentu za oblast konkurenceschopnost zemědělství.</w:t>
      </w:r>
    </w:p>
    <w:p w14:paraId="6B6AE261" w14:textId="3931D523" w:rsidR="00A16DDB" w:rsidRPr="00C624B3" w:rsidRDefault="00C624B3" w:rsidP="00C624B3">
      <w:pPr>
        <w:spacing w:after="160" w:line="259" w:lineRule="auto"/>
        <w:jc w:val="left"/>
        <w:rPr>
          <w:rFonts w:eastAsia="Times New Roman" w:cstheme="minorHAnsi"/>
          <w:szCs w:val="24"/>
          <w:lang w:val="cs-CZ" w:eastAsia="cs-CZ"/>
        </w:rPr>
      </w:pPr>
      <w:r>
        <w:br w:type="page"/>
      </w:r>
    </w:p>
    <w:p w14:paraId="793EA182" w14:textId="77777777" w:rsidR="00A16DDB" w:rsidRPr="00D95127" w:rsidRDefault="00A16DDB" w:rsidP="007800CC">
      <w:pPr>
        <w:pStyle w:val="Nadpis1"/>
      </w:pPr>
      <w:bookmarkStart w:id="544" w:name="_Toc15304070"/>
      <w:bookmarkStart w:id="545" w:name="_Toc23509887"/>
      <w:bookmarkStart w:id="546" w:name="_Toc76137393"/>
      <w:bookmarkStart w:id="547" w:name="_Toc76637592"/>
      <w:bookmarkStart w:id="548" w:name="_Toc80953271"/>
      <w:bookmarkStart w:id="549" w:name="_Toc81739224"/>
      <w:r w:rsidRPr="00D95127">
        <w:t>Co je skutečným problémem, na který má politika reagovat?</w:t>
      </w:r>
      <w:bookmarkEnd w:id="544"/>
      <w:bookmarkEnd w:id="545"/>
      <w:bookmarkEnd w:id="546"/>
      <w:bookmarkEnd w:id="547"/>
      <w:bookmarkEnd w:id="548"/>
      <w:bookmarkEnd w:id="549"/>
    </w:p>
    <w:p w14:paraId="72C70384" w14:textId="181A9687" w:rsidR="00A16DDB" w:rsidRPr="00D95127" w:rsidRDefault="00A16DDB" w:rsidP="007800CC">
      <w:pPr>
        <w:pStyle w:val="UZEINormaln"/>
        <w:rPr>
          <w:rFonts w:cs="Times New Roman"/>
        </w:rPr>
      </w:pPr>
      <w:r w:rsidRPr="007800CC">
        <w:rPr>
          <w:rStyle w:val="UZEINormalnChar"/>
        </w:rPr>
        <w:t>Plocha chmele v důsledku transformačních a restrukturalizačních procesů, sílící konkurence na trhu a změn v technologiích výroby piva oproti výchozímu období poklesla na 50% úroveň a produkce chmele vzhledem k nárůstu výnosu z hektaru na úroveň 73 %. Po neúrodných letech 2012 a 2015 spolu s rozvojem minipivovarů s produkcí více chmelených piv převážila poptávka po českém jemném aromatickém chmelu nad nabídkou a posílila rozvoj českého chmelařství. V roce 2013 byl zastaven dlouhodobý pokles ploch chmelnic na výměře 4 319 ha a od této doby se výměra každým rokem zvyšovala až na 5 020 ha v roce 2018. Historicky nejvyššího hektarového výnosu chmele bylo dosaženo v roce 2016 s produkcí 7 712 t chmele. V</w:t>
      </w:r>
      <w:r w:rsidRPr="00D95127">
        <w:rPr>
          <w:rFonts w:cs="Times New Roman"/>
        </w:rPr>
        <w:t> posledních dvou letech se plocha chmelnic mírně snižovala a v roce 2020 činila 4 966 ha.</w:t>
      </w:r>
    </w:p>
    <w:p w14:paraId="57DED291" w14:textId="2070709D" w:rsidR="00A16DDB" w:rsidRPr="00D95127" w:rsidRDefault="00A16DDB" w:rsidP="007800CC">
      <w:pPr>
        <w:pStyle w:val="UZEITaB"/>
      </w:pPr>
      <w:bookmarkStart w:id="550" w:name="_Toc81738478"/>
      <w:r w:rsidRPr="00D95127">
        <w:t>Vývoj ploch, výnosu a produkce chmele</w:t>
      </w:r>
      <w:bookmarkEnd w:id="550"/>
    </w:p>
    <w:tbl>
      <w:tblPr>
        <w:tblW w:w="9084" w:type="dxa"/>
        <w:tblCellMar>
          <w:left w:w="70" w:type="dxa"/>
          <w:right w:w="70" w:type="dxa"/>
        </w:tblCellMar>
        <w:tblLook w:val="04A0" w:firstRow="1" w:lastRow="0" w:firstColumn="1" w:lastColumn="0" w:noHBand="0" w:noVBand="1"/>
      </w:tblPr>
      <w:tblGrid>
        <w:gridCol w:w="1962"/>
        <w:gridCol w:w="744"/>
        <w:gridCol w:w="708"/>
        <w:gridCol w:w="709"/>
        <w:gridCol w:w="709"/>
        <w:gridCol w:w="709"/>
        <w:gridCol w:w="708"/>
        <w:gridCol w:w="709"/>
        <w:gridCol w:w="709"/>
        <w:gridCol w:w="709"/>
        <w:gridCol w:w="708"/>
      </w:tblGrid>
      <w:tr w:rsidR="00A16DDB" w:rsidRPr="00D95127" w14:paraId="217EC127" w14:textId="77777777" w:rsidTr="007A627A">
        <w:trPr>
          <w:trHeight w:val="315"/>
        </w:trPr>
        <w:tc>
          <w:tcPr>
            <w:tcW w:w="1962" w:type="dxa"/>
            <w:tcBorders>
              <w:top w:val="double" w:sz="6" w:space="0" w:color="auto"/>
              <w:left w:val="double" w:sz="6" w:space="0" w:color="auto"/>
              <w:bottom w:val="single" w:sz="4" w:space="0" w:color="auto"/>
              <w:right w:val="single" w:sz="4" w:space="0" w:color="auto"/>
            </w:tcBorders>
            <w:shd w:val="clear" w:color="auto" w:fill="auto"/>
            <w:noWrap/>
            <w:vAlign w:val="bottom"/>
            <w:hideMark/>
          </w:tcPr>
          <w:p w14:paraId="1A40E902" w14:textId="77777777" w:rsidR="00A16DDB" w:rsidRPr="00D95127" w:rsidRDefault="00A16DDB" w:rsidP="007A627A">
            <w:pPr>
              <w:rPr>
                <w:rFonts w:eastAsia="Times New Roman" w:cs="Times New Roman"/>
                <w:szCs w:val="24"/>
                <w:lang w:val="cs-CZ" w:eastAsia="cs-CZ"/>
              </w:rPr>
            </w:pPr>
            <w:r w:rsidRPr="00D95127">
              <w:rPr>
                <w:rFonts w:eastAsia="Times New Roman" w:cs="Times New Roman"/>
                <w:szCs w:val="24"/>
                <w:lang w:val="cs-CZ" w:eastAsia="cs-CZ"/>
              </w:rPr>
              <w:t>Chmel</w:t>
            </w:r>
          </w:p>
        </w:tc>
        <w:tc>
          <w:tcPr>
            <w:tcW w:w="744" w:type="dxa"/>
            <w:tcBorders>
              <w:top w:val="double" w:sz="6" w:space="0" w:color="auto"/>
              <w:left w:val="nil"/>
              <w:bottom w:val="single" w:sz="4" w:space="0" w:color="auto"/>
              <w:right w:val="single" w:sz="4" w:space="0" w:color="auto"/>
            </w:tcBorders>
            <w:shd w:val="clear" w:color="auto" w:fill="auto"/>
            <w:noWrap/>
            <w:vAlign w:val="bottom"/>
            <w:hideMark/>
          </w:tcPr>
          <w:p w14:paraId="4737AD85"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2011</w:t>
            </w:r>
          </w:p>
        </w:tc>
        <w:tc>
          <w:tcPr>
            <w:tcW w:w="708" w:type="dxa"/>
            <w:tcBorders>
              <w:top w:val="double" w:sz="6" w:space="0" w:color="auto"/>
              <w:left w:val="nil"/>
              <w:bottom w:val="single" w:sz="4" w:space="0" w:color="auto"/>
              <w:right w:val="single" w:sz="4" w:space="0" w:color="auto"/>
            </w:tcBorders>
            <w:shd w:val="clear" w:color="auto" w:fill="auto"/>
            <w:noWrap/>
            <w:vAlign w:val="bottom"/>
            <w:hideMark/>
          </w:tcPr>
          <w:p w14:paraId="3E089F35"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2012</w:t>
            </w:r>
          </w:p>
        </w:tc>
        <w:tc>
          <w:tcPr>
            <w:tcW w:w="709" w:type="dxa"/>
            <w:tcBorders>
              <w:top w:val="double" w:sz="6" w:space="0" w:color="auto"/>
              <w:left w:val="nil"/>
              <w:bottom w:val="single" w:sz="4" w:space="0" w:color="auto"/>
              <w:right w:val="single" w:sz="4" w:space="0" w:color="auto"/>
            </w:tcBorders>
            <w:shd w:val="clear" w:color="auto" w:fill="auto"/>
            <w:noWrap/>
            <w:vAlign w:val="bottom"/>
            <w:hideMark/>
          </w:tcPr>
          <w:p w14:paraId="6BD09090"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2013</w:t>
            </w:r>
          </w:p>
        </w:tc>
        <w:tc>
          <w:tcPr>
            <w:tcW w:w="709" w:type="dxa"/>
            <w:tcBorders>
              <w:top w:val="double" w:sz="6" w:space="0" w:color="auto"/>
              <w:left w:val="nil"/>
              <w:bottom w:val="single" w:sz="4" w:space="0" w:color="auto"/>
              <w:right w:val="single" w:sz="4" w:space="0" w:color="auto"/>
            </w:tcBorders>
            <w:shd w:val="clear" w:color="auto" w:fill="auto"/>
            <w:noWrap/>
            <w:vAlign w:val="bottom"/>
            <w:hideMark/>
          </w:tcPr>
          <w:p w14:paraId="3B46DC20"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2014</w:t>
            </w:r>
          </w:p>
        </w:tc>
        <w:tc>
          <w:tcPr>
            <w:tcW w:w="709" w:type="dxa"/>
            <w:tcBorders>
              <w:top w:val="double" w:sz="6" w:space="0" w:color="auto"/>
              <w:left w:val="nil"/>
              <w:bottom w:val="single" w:sz="4" w:space="0" w:color="auto"/>
              <w:right w:val="single" w:sz="4" w:space="0" w:color="auto"/>
            </w:tcBorders>
            <w:shd w:val="clear" w:color="auto" w:fill="auto"/>
            <w:noWrap/>
            <w:vAlign w:val="bottom"/>
            <w:hideMark/>
          </w:tcPr>
          <w:p w14:paraId="28777C30"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2015</w:t>
            </w:r>
          </w:p>
        </w:tc>
        <w:tc>
          <w:tcPr>
            <w:tcW w:w="708" w:type="dxa"/>
            <w:tcBorders>
              <w:top w:val="double" w:sz="6" w:space="0" w:color="auto"/>
              <w:left w:val="nil"/>
              <w:bottom w:val="single" w:sz="4" w:space="0" w:color="auto"/>
              <w:right w:val="single" w:sz="4" w:space="0" w:color="auto"/>
            </w:tcBorders>
            <w:shd w:val="clear" w:color="auto" w:fill="auto"/>
            <w:noWrap/>
            <w:vAlign w:val="bottom"/>
            <w:hideMark/>
          </w:tcPr>
          <w:p w14:paraId="0AE3F8A2"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2016</w:t>
            </w:r>
          </w:p>
        </w:tc>
        <w:tc>
          <w:tcPr>
            <w:tcW w:w="709" w:type="dxa"/>
            <w:tcBorders>
              <w:top w:val="double" w:sz="6" w:space="0" w:color="auto"/>
              <w:left w:val="nil"/>
              <w:bottom w:val="single" w:sz="4" w:space="0" w:color="auto"/>
              <w:right w:val="single" w:sz="4" w:space="0" w:color="auto"/>
            </w:tcBorders>
            <w:shd w:val="clear" w:color="auto" w:fill="auto"/>
            <w:noWrap/>
            <w:vAlign w:val="bottom"/>
            <w:hideMark/>
          </w:tcPr>
          <w:p w14:paraId="66C6255B"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2017</w:t>
            </w:r>
          </w:p>
        </w:tc>
        <w:tc>
          <w:tcPr>
            <w:tcW w:w="709" w:type="dxa"/>
            <w:tcBorders>
              <w:top w:val="double" w:sz="6" w:space="0" w:color="auto"/>
              <w:left w:val="nil"/>
              <w:bottom w:val="single" w:sz="4" w:space="0" w:color="auto"/>
              <w:right w:val="single" w:sz="4" w:space="0" w:color="auto"/>
            </w:tcBorders>
            <w:shd w:val="clear" w:color="auto" w:fill="auto"/>
            <w:noWrap/>
            <w:vAlign w:val="bottom"/>
            <w:hideMark/>
          </w:tcPr>
          <w:p w14:paraId="5A941156"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2018</w:t>
            </w:r>
          </w:p>
        </w:tc>
        <w:tc>
          <w:tcPr>
            <w:tcW w:w="709" w:type="dxa"/>
            <w:tcBorders>
              <w:top w:val="double" w:sz="6" w:space="0" w:color="auto"/>
              <w:left w:val="nil"/>
              <w:bottom w:val="single" w:sz="4" w:space="0" w:color="auto"/>
              <w:right w:val="single" w:sz="4" w:space="0" w:color="auto"/>
            </w:tcBorders>
            <w:shd w:val="clear" w:color="auto" w:fill="auto"/>
            <w:noWrap/>
            <w:vAlign w:val="bottom"/>
            <w:hideMark/>
          </w:tcPr>
          <w:p w14:paraId="7D6A050D"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2019</w:t>
            </w:r>
          </w:p>
        </w:tc>
        <w:tc>
          <w:tcPr>
            <w:tcW w:w="708" w:type="dxa"/>
            <w:tcBorders>
              <w:top w:val="double" w:sz="6" w:space="0" w:color="auto"/>
              <w:left w:val="nil"/>
              <w:bottom w:val="single" w:sz="4" w:space="0" w:color="auto"/>
              <w:right w:val="double" w:sz="6" w:space="0" w:color="auto"/>
            </w:tcBorders>
            <w:shd w:val="clear" w:color="auto" w:fill="auto"/>
            <w:noWrap/>
            <w:vAlign w:val="bottom"/>
            <w:hideMark/>
          </w:tcPr>
          <w:p w14:paraId="6750CABE"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2020</w:t>
            </w:r>
          </w:p>
        </w:tc>
      </w:tr>
      <w:tr w:rsidR="00A16DDB" w:rsidRPr="00D95127" w14:paraId="15898F67" w14:textId="77777777" w:rsidTr="007A627A">
        <w:trPr>
          <w:trHeight w:val="300"/>
        </w:trPr>
        <w:tc>
          <w:tcPr>
            <w:tcW w:w="1962" w:type="dxa"/>
            <w:tcBorders>
              <w:top w:val="nil"/>
              <w:left w:val="double" w:sz="6" w:space="0" w:color="auto"/>
              <w:bottom w:val="single" w:sz="4" w:space="0" w:color="auto"/>
              <w:right w:val="single" w:sz="4" w:space="0" w:color="auto"/>
            </w:tcBorders>
            <w:shd w:val="clear" w:color="auto" w:fill="auto"/>
            <w:noWrap/>
            <w:vAlign w:val="bottom"/>
            <w:hideMark/>
          </w:tcPr>
          <w:p w14:paraId="16C4BEC0" w14:textId="77777777" w:rsidR="00A16DDB" w:rsidRPr="00D95127" w:rsidRDefault="00A16DDB" w:rsidP="007A627A">
            <w:pPr>
              <w:rPr>
                <w:rFonts w:eastAsia="Times New Roman" w:cs="Times New Roman"/>
                <w:szCs w:val="24"/>
                <w:lang w:val="cs-CZ" w:eastAsia="cs-CZ"/>
              </w:rPr>
            </w:pPr>
            <w:r w:rsidRPr="00D95127">
              <w:rPr>
                <w:rFonts w:eastAsia="Times New Roman" w:cs="Times New Roman"/>
                <w:szCs w:val="24"/>
                <w:lang w:val="cs-CZ" w:eastAsia="cs-CZ"/>
              </w:rPr>
              <w:t>Plocha, ha</w:t>
            </w:r>
          </w:p>
        </w:tc>
        <w:tc>
          <w:tcPr>
            <w:tcW w:w="744" w:type="dxa"/>
            <w:tcBorders>
              <w:top w:val="nil"/>
              <w:left w:val="nil"/>
              <w:bottom w:val="single" w:sz="4" w:space="0" w:color="auto"/>
              <w:right w:val="single" w:sz="4" w:space="0" w:color="auto"/>
            </w:tcBorders>
            <w:shd w:val="clear" w:color="auto" w:fill="auto"/>
            <w:noWrap/>
            <w:vAlign w:val="bottom"/>
            <w:hideMark/>
          </w:tcPr>
          <w:p w14:paraId="14D68D77"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4632</w:t>
            </w:r>
          </w:p>
        </w:tc>
        <w:tc>
          <w:tcPr>
            <w:tcW w:w="708" w:type="dxa"/>
            <w:tcBorders>
              <w:top w:val="nil"/>
              <w:left w:val="nil"/>
              <w:bottom w:val="single" w:sz="4" w:space="0" w:color="auto"/>
              <w:right w:val="single" w:sz="4" w:space="0" w:color="auto"/>
            </w:tcBorders>
            <w:shd w:val="clear" w:color="auto" w:fill="auto"/>
            <w:noWrap/>
            <w:vAlign w:val="bottom"/>
            <w:hideMark/>
          </w:tcPr>
          <w:p w14:paraId="05FDCD2D"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4366</w:t>
            </w:r>
          </w:p>
        </w:tc>
        <w:tc>
          <w:tcPr>
            <w:tcW w:w="709" w:type="dxa"/>
            <w:tcBorders>
              <w:top w:val="nil"/>
              <w:left w:val="nil"/>
              <w:bottom w:val="single" w:sz="4" w:space="0" w:color="auto"/>
              <w:right w:val="single" w:sz="4" w:space="0" w:color="auto"/>
            </w:tcBorders>
            <w:shd w:val="clear" w:color="auto" w:fill="auto"/>
            <w:noWrap/>
            <w:vAlign w:val="bottom"/>
            <w:hideMark/>
          </w:tcPr>
          <w:p w14:paraId="74B4DAA3"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4319</w:t>
            </w:r>
          </w:p>
        </w:tc>
        <w:tc>
          <w:tcPr>
            <w:tcW w:w="709" w:type="dxa"/>
            <w:tcBorders>
              <w:top w:val="nil"/>
              <w:left w:val="nil"/>
              <w:bottom w:val="single" w:sz="4" w:space="0" w:color="auto"/>
              <w:right w:val="single" w:sz="4" w:space="0" w:color="auto"/>
            </w:tcBorders>
            <w:shd w:val="clear" w:color="auto" w:fill="auto"/>
            <w:noWrap/>
            <w:vAlign w:val="bottom"/>
            <w:hideMark/>
          </w:tcPr>
          <w:p w14:paraId="59348E42"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4460</w:t>
            </w:r>
          </w:p>
        </w:tc>
        <w:tc>
          <w:tcPr>
            <w:tcW w:w="709" w:type="dxa"/>
            <w:tcBorders>
              <w:top w:val="nil"/>
              <w:left w:val="nil"/>
              <w:bottom w:val="single" w:sz="4" w:space="0" w:color="auto"/>
              <w:right w:val="single" w:sz="4" w:space="0" w:color="auto"/>
            </w:tcBorders>
            <w:shd w:val="clear" w:color="auto" w:fill="auto"/>
            <w:noWrap/>
            <w:vAlign w:val="bottom"/>
            <w:hideMark/>
          </w:tcPr>
          <w:p w14:paraId="50425B4F"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4622</w:t>
            </w:r>
          </w:p>
        </w:tc>
        <w:tc>
          <w:tcPr>
            <w:tcW w:w="708" w:type="dxa"/>
            <w:tcBorders>
              <w:top w:val="nil"/>
              <w:left w:val="nil"/>
              <w:bottom w:val="single" w:sz="4" w:space="0" w:color="auto"/>
              <w:right w:val="single" w:sz="4" w:space="0" w:color="auto"/>
            </w:tcBorders>
            <w:shd w:val="clear" w:color="auto" w:fill="auto"/>
            <w:noWrap/>
            <w:vAlign w:val="bottom"/>
            <w:hideMark/>
          </w:tcPr>
          <w:p w14:paraId="1CB5BDAB"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4775</w:t>
            </w:r>
          </w:p>
        </w:tc>
        <w:tc>
          <w:tcPr>
            <w:tcW w:w="709" w:type="dxa"/>
            <w:tcBorders>
              <w:top w:val="nil"/>
              <w:left w:val="nil"/>
              <w:bottom w:val="single" w:sz="4" w:space="0" w:color="auto"/>
              <w:right w:val="single" w:sz="4" w:space="0" w:color="auto"/>
            </w:tcBorders>
            <w:shd w:val="clear" w:color="auto" w:fill="auto"/>
            <w:noWrap/>
            <w:vAlign w:val="bottom"/>
            <w:hideMark/>
          </w:tcPr>
          <w:p w14:paraId="033A060B"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4945</w:t>
            </w:r>
          </w:p>
        </w:tc>
        <w:tc>
          <w:tcPr>
            <w:tcW w:w="709" w:type="dxa"/>
            <w:tcBorders>
              <w:top w:val="nil"/>
              <w:left w:val="nil"/>
              <w:bottom w:val="single" w:sz="4" w:space="0" w:color="auto"/>
              <w:right w:val="single" w:sz="4" w:space="0" w:color="auto"/>
            </w:tcBorders>
            <w:shd w:val="clear" w:color="auto" w:fill="auto"/>
            <w:noWrap/>
            <w:vAlign w:val="bottom"/>
            <w:hideMark/>
          </w:tcPr>
          <w:p w14:paraId="64067AF5"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5020</w:t>
            </w:r>
          </w:p>
        </w:tc>
        <w:tc>
          <w:tcPr>
            <w:tcW w:w="709" w:type="dxa"/>
            <w:tcBorders>
              <w:top w:val="nil"/>
              <w:left w:val="nil"/>
              <w:bottom w:val="single" w:sz="4" w:space="0" w:color="auto"/>
              <w:right w:val="single" w:sz="4" w:space="0" w:color="auto"/>
            </w:tcBorders>
            <w:shd w:val="clear" w:color="auto" w:fill="auto"/>
            <w:noWrap/>
            <w:vAlign w:val="bottom"/>
            <w:hideMark/>
          </w:tcPr>
          <w:p w14:paraId="67A7F43A"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5003</w:t>
            </w:r>
          </w:p>
        </w:tc>
        <w:tc>
          <w:tcPr>
            <w:tcW w:w="708" w:type="dxa"/>
            <w:tcBorders>
              <w:top w:val="nil"/>
              <w:left w:val="nil"/>
              <w:bottom w:val="single" w:sz="4" w:space="0" w:color="auto"/>
              <w:right w:val="double" w:sz="6" w:space="0" w:color="auto"/>
            </w:tcBorders>
            <w:shd w:val="clear" w:color="auto" w:fill="auto"/>
            <w:noWrap/>
            <w:vAlign w:val="bottom"/>
            <w:hideMark/>
          </w:tcPr>
          <w:p w14:paraId="31514324"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4966</w:t>
            </w:r>
          </w:p>
        </w:tc>
      </w:tr>
      <w:tr w:rsidR="00A16DDB" w:rsidRPr="00D95127" w14:paraId="657821FC" w14:textId="77777777" w:rsidTr="007A627A">
        <w:trPr>
          <w:trHeight w:val="300"/>
        </w:trPr>
        <w:tc>
          <w:tcPr>
            <w:tcW w:w="1962" w:type="dxa"/>
            <w:tcBorders>
              <w:top w:val="nil"/>
              <w:left w:val="double" w:sz="6" w:space="0" w:color="auto"/>
              <w:bottom w:val="single" w:sz="4" w:space="0" w:color="auto"/>
              <w:right w:val="single" w:sz="4" w:space="0" w:color="auto"/>
            </w:tcBorders>
            <w:shd w:val="clear" w:color="auto" w:fill="auto"/>
            <w:noWrap/>
            <w:vAlign w:val="bottom"/>
            <w:hideMark/>
          </w:tcPr>
          <w:p w14:paraId="594F154B" w14:textId="77777777" w:rsidR="00A16DDB" w:rsidRPr="00D95127" w:rsidRDefault="00A16DDB" w:rsidP="007A627A">
            <w:pPr>
              <w:rPr>
                <w:rFonts w:eastAsia="Times New Roman" w:cs="Times New Roman"/>
                <w:szCs w:val="24"/>
                <w:lang w:val="cs-CZ" w:eastAsia="cs-CZ"/>
              </w:rPr>
            </w:pPr>
            <w:r w:rsidRPr="00D95127">
              <w:rPr>
                <w:rFonts w:eastAsia="Times New Roman" w:cs="Times New Roman"/>
                <w:szCs w:val="24"/>
                <w:lang w:val="cs-CZ" w:eastAsia="cs-CZ"/>
              </w:rPr>
              <w:t>Výnos, t/ha</w:t>
            </w:r>
          </w:p>
        </w:tc>
        <w:tc>
          <w:tcPr>
            <w:tcW w:w="744" w:type="dxa"/>
            <w:tcBorders>
              <w:top w:val="nil"/>
              <w:left w:val="nil"/>
              <w:bottom w:val="single" w:sz="4" w:space="0" w:color="auto"/>
              <w:right w:val="single" w:sz="4" w:space="0" w:color="auto"/>
            </w:tcBorders>
            <w:shd w:val="clear" w:color="auto" w:fill="auto"/>
            <w:noWrap/>
            <w:vAlign w:val="bottom"/>
            <w:hideMark/>
          </w:tcPr>
          <w:p w14:paraId="49F0C4E6"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1,31</w:t>
            </w:r>
          </w:p>
        </w:tc>
        <w:tc>
          <w:tcPr>
            <w:tcW w:w="708" w:type="dxa"/>
            <w:tcBorders>
              <w:top w:val="nil"/>
              <w:left w:val="nil"/>
              <w:bottom w:val="single" w:sz="4" w:space="0" w:color="auto"/>
              <w:right w:val="single" w:sz="4" w:space="0" w:color="auto"/>
            </w:tcBorders>
            <w:shd w:val="clear" w:color="auto" w:fill="auto"/>
            <w:noWrap/>
            <w:vAlign w:val="bottom"/>
            <w:hideMark/>
          </w:tcPr>
          <w:p w14:paraId="34BE7F8D"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0,99</w:t>
            </w:r>
          </w:p>
        </w:tc>
        <w:tc>
          <w:tcPr>
            <w:tcW w:w="709" w:type="dxa"/>
            <w:tcBorders>
              <w:top w:val="nil"/>
              <w:left w:val="nil"/>
              <w:bottom w:val="single" w:sz="4" w:space="0" w:color="auto"/>
              <w:right w:val="single" w:sz="4" w:space="0" w:color="auto"/>
            </w:tcBorders>
            <w:shd w:val="clear" w:color="auto" w:fill="auto"/>
            <w:noWrap/>
            <w:vAlign w:val="bottom"/>
            <w:hideMark/>
          </w:tcPr>
          <w:p w14:paraId="0B300F74"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1,23</w:t>
            </w:r>
          </w:p>
        </w:tc>
        <w:tc>
          <w:tcPr>
            <w:tcW w:w="709" w:type="dxa"/>
            <w:tcBorders>
              <w:top w:val="nil"/>
              <w:left w:val="nil"/>
              <w:bottom w:val="single" w:sz="4" w:space="0" w:color="auto"/>
              <w:right w:val="single" w:sz="4" w:space="0" w:color="auto"/>
            </w:tcBorders>
            <w:shd w:val="clear" w:color="auto" w:fill="auto"/>
            <w:noWrap/>
            <w:vAlign w:val="bottom"/>
            <w:hideMark/>
          </w:tcPr>
          <w:p w14:paraId="4DCD96B4"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1,39</w:t>
            </w:r>
          </w:p>
        </w:tc>
        <w:tc>
          <w:tcPr>
            <w:tcW w:w="709" w:type="dxa"/>
            <w:tcBorders>
              <w:top w:val="nil"/>
              <w:left w:val="nil"/>
              <w:bottom w:val="single" w:sz="4" w:space="0" w:color="auto"/>
              <w:right w:val="single" w:sz="4" w:space="0" w:color="auto"/>
            </w:tcBorders>
            <w:shd w:val="clear" w:color="auto" w:fill="auto"/>
            <w:noWrap/>
            <w:vAlign w:val="bottom"/>
            <w:hideMark/>
          </w:tcPr>
          <w:p w14:paraId="631B4EC1"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1,05</w:t>
            </w:r>
          </w:p>
        </w:tc>
        <w:tc>
          <w:tcPr>
            <w:tcW w:w="708" w:type="dxa"/>
            <w:tcBorders>
              <w:top w:val="nil"/>
              <w:left w:val="nil"/>
              <w:bottom w:val="single" w:sz="4" w:space="0" w:color="auto"/>
              <w:right w:val="single" w:sz="4" w:space="0" w:color="auto"/>
            </w:tcBorders>
            <w:shd w:val="clear" w:color="auto" w:fill="auto"/>
            <w:noWrap/>
            <w:vAlign w:val="bottom"/>
            <w:hideMark/>
          </w:tcPr>
          <w:p w14:paraId="29A93A60"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1,61</w:t>
            </w:r>
          </w:p>
        </w:tc>
        <w:tc>
          <w:tcPr>
            <w:tcW w:w="709" w:type="dxa"/>
            <w:tcBorders>
              <w:top w:val="nil"/>
              <w:left w:val="nil"/>
              <w:bottom w:val="single" w:sz="4" w:space="0" w:color="auto"/>
              <w:right w:val="single" w:sz="4" w:space="0" w:color="auto"/>
            </w:tcBorders>
            <w:shd w:val="clear" w:color="auto" w:fill="auto"/>
            <w:noWrap/>
            <w:vAlign w:val="bottom"/>
            <w:hideMark/>
          </w:tcPr>
          <w:p w14:paraId="5C313CCE"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1,37</w:t>
            </w:r>
          </w:p>
        </w:tc>
        <w:tc>
          <w:tcPr>
            <w:tcW w:w="709" w:type="dxa"/>
            <w:tcBorders>
              <w:top w:val="nil"/>
              <w:left w:val="nil"/>
              <w:bottom w:val="single" w:sz="4" w:space="0" w:color="auto"/>
              <w:right w:val="single" w:sz="4" w:space="0" w:color="auto"/>
            </w:tcBorders>
            <w:shd w:val="clear" w:color="auto" w:fill="auto"/>
            <w:noWrap/>
            <w:vAlign w:val="bottom"/>
            <w:hideMark/>
          </w:tcPr>
          <w:p w14:paraId="67F6930F"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1,02</w:t>
            </w:r>
          </w:p>
        </w:tc>
        <w:tc>
          <w:tcPr>
            <w:tcW w:w="709" w:type="dxa"/>
            <w:tcBorders>
              <w:top w:val="nil"/>
              <w:left w:val="nil"/>
              <w:bottom w:val="single" w:sz="4" w:space="0" w:color="auto"/>
              <w:right w:val="single" w:sz="4" w:space="0" w:color="auto"/>
            </w:tcBorders>
            <w:shd w:val="clear" w:color="auto" w:fill="auto"/>
            <w:noWrap/>
            <w:vAlign w:val="bottom"/>
            <w:hideMark/>
          </w:tcPr>
          <w:p w14:paraId="797499B0"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1,43</w:t>
            </w:r>
          </w:p>
        </w:tc>
        <w:tc>
          <w:tcPr>
            <w:tcW w:w="708" w:type="dxa"/>
            <w:tcBorders>
              <w:top w:val="nil"/>
              <w:left w:val="nil"/>
              <w:bottom w:val="single" w:sz="4" w:space="0" w:color="auto"/>
              <w:right w:val="double" w:sz="6" w:space="0" w:color="auto"/>
            </w:tcBorders>
            <w:shd w:val="clear" w:color="auto" w:fill="auto"/>
            <w:noWrap/>
            <w:vAlign w:val="bottom"/>
            <w:hideMark/>
          </w:tcPr>
          <w:p w14:paraId="0938DCB8"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1,19</w:t>
            </w:r>
          </w:p>
        </w:tc>
      </w:tr>
      <w:tr w:rsidR="00A16DDB" w:rsidRPr="00D95127" w14:paraId="40766AF0" w14:textId="77777777" w:rsidTr="007A627A">
        <w:trPr>
          <w:trHeight w:val="315"/>
        </w:trPr>
        <w:tc>
          <w:tcPr>
            <w:tcW w:w="1962" w:type="dxa"/>
            <w:tcBorders>
              <w:top w:val="nil"/>
              <w:left w:val="double" w:sz="6" w:space="0" w:color="auto"/>
              <w:bottom w:val="double" w:sz="6" w:space="0" w:color="auto"/>
              <w:right w:val="single" w:sz="4" w:space="0" w:color="auto"/>
            </w:tcBorders>
            <w:shd w:val="clear" w:color="auto" w:fill="auto"/>
            <w:noWrap/>
            <w:vAlign w:val="bottom"/>
            <w:hideMark/>
          </w:tcPr>
          <w:p w14:paraId="4CBCA1A7" w14:textId="77777777" w:rsidR="00A16DDB" w:rsidRPr="00D95127" w:rsidRDefault="00A16DDB" w:rsidP="007A627A">
            <w:pPr>
              <w:rPr>
                <w:rFonts w:eastAsia="Times New Roman" w:cs="Times New Roman"/>
                <w:szCs w:val="24"/>
                <w:lang w:val="cs-CZ" w:eastAsia="cs-CZ"/>
              </w:rPr>
            </w:pPr>
            <w:r w:rsidRPr="00D95127">
              <w:rPr>
                <w:rFonts w:eastAsia="Times New Roman" w:cs="Times New Roman"/>
                <w:szCs w:val="24"/>
                <w:lang w:val="cs-CZ" w:eastAsia="cs-CZ"/>
              </w:rPr>
              <w:t>Produkce, t</w:t>
            </w:r>
          </w:p>
        </w:tc>
        <w:tc>
          <w:tcPr>
            <w:tcW w:w="744" w:type="dxa"/>
            <w:tcBorders>
              <w:top w:val="nil"/>
              <w:left w:val="nil"/>
              <w:bottom w:val="double" w:sz="6" w:space="0" w:color="auto"/>
              <w:right w:val="single" w:sz="4" w:space="0" w:color="auto"/>
            </w:tcBorders>
            <w:shd w:val="clear" w:color="auto" w:fill="auto"/>
            <w:noWrap/>
            <w:vAlign w:val="bottom"/>
            <w:hideMark/>
          </w:tcPr>
          <w:p w14:paraId="7B926D17"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6088</w:t>
            </w:r>
          </w:p>
        </w:tc>
        <w:tc>
          <w:tcPr>
            <w:tcW w:w="708" w:type="dxa"/>
            <w:tcBorders>
              <w:top w:val="nil"/>
              <w:left w:val="nil"/>
              <w:bottom w:val="double" w:sz="6" w:space="0" w:color="auto"/>
              <w:right w:val="single" w:sz="4" w:space="0" w:color="auto"/>
            </w:tcBorders>
            <w:shd w:val="clear" w:color="auto" w:fill="auto"/>
            <w:noWrap/>
            <w:vAlign w:val="bottom"/>
            <w:hideMark/>
          </w:tcPr>
          <w:p w14:paraId="3B6FFB00"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4338</w:t>
            </w:r>
          </w:p>
        </w:tc>
        <w:tc>
          <w:tcPr>
            <w:tcW w:w="709" w:type="dxa"/>
            <w:tcBorders>
              <w:top w:val="nil"/>
              <w:left w:val="nil"/>
              <w:bottom w:val="double" w:sz="6" w:space="0" w:color="auto"/>
              <w:right w:val="single" w:sz="4" w:space="0" w:color="auto"/>
            </w:tcBorders>
            <w:shd w:val="clear" w:color="auto" w:fill="auto"/>
            <w:noWrap/>
            <w:vAlign w:val="bottom"/>
            <w:hideMark/>
          </w:tcPr>
          <w:p w14:paraId="51FCFB5A"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5330</w:t>
            </w:r>
          </w:p>
        </w:tc>
        <w:tc>
          <w:tcPr>
            <w:tcW w:w="709" w:type="dxa"/>
            <w:tcBorders>
              <w:top w:val="nil"/>
              <w:left w:val="nil"/>
              <w:bottom w:val="double" w:sz="6" w:space="0" w:color="auto"/>
              <w:right w:val="single" w:sz="4" w:space="0" w:color="auto"/>
            </w:tcBorders>
            <w:shd w:val="clear" w:color="auto" w:fill="auto"/>
            <w:noWrap/>
            <w:vAlign w:val="bottom"/>
            <w:hideMark/>
          </w:tcPr>
          <w:p w14:paraId="7143890E"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6202</w:t>
            </w:r>
          </w:p>
        </w:tc>
        <w:tc>
          <w:tcPr>
            <w:tcW w:w="709" w:type="dxa"/>
            <w:tcBorders>
              <w:top w:val="nil"/>
              <w:left w:val="nil"/>
              <w:bottom w:val="double" w:sz="6" w:space="0" w:color="auto"/>
              <w:right w:val="single" w:sz="4" w:space="0" w:color="auto"/>
            </w:tcBorders>
            <w:shd w:val="clear" w:color="auto" w:fill="auto"/>
            <w:noWrap/>
            <w:vAlign w:val="bottom"/>
            <w:hideMark/>
          </w:tcPr>
          <w:p w14:paraId="46EDC45D"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4843</w:t>
            </w:r>
          </w:p>
        </w:tc>
        <w:tc>
          <w:tcPr>
            <w:tcW w:w="708" w:type="dxa"/>
            <w:tcBorders>
              <w:top w:val="nil"/>
              <w:left w:val="nil"/>
              <w:bottom w:val="double" w:sz="6" w:space="0" w:color="auto"/>
              <w:right w:val="single" w:sz="4" w:space="0" w:color="auto"/>
            </w:tcBorders>
            <w:shd w:val="clear" w:color="auto" w:fill="auto"/>
            <w:noWrap/>
            <w:vAlign w:val="bottom"/>
            <w:hideMark/>
          </w:tcPr>
          <w:p w14:paraId="2A92FB61"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7712</w:t>
            </w:r>
          </w:p>
        </w:tc>
        <w:tc>
          <w:tcPr>
            <w:tcW w:w="709" w:type="dxa"/>
            <w:tcBorders>
              <w:top w:val="nil"/>
              <w:left w:val="nil"/>
              <w:bottom w:val="double" w:sz="6" w:space="0" w:color="auto"/>
              <w:right w:val="single" w:sz="4" w:space="0" w:color="auto"/>
            </w:tcBorders>
            <w:shd w:val="clear" w:color="auto" w:fill="auto"/>
            <w:noWrap/>
            <w:vAlign w:val="bottom"/>
            <w:hideMark/>
          </w:tcPr>
          <w:p w14:paraId="63C278AD"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6797</w:t>
            </w:r>
          </w:p>
        </w:tc>
        <w:tc>
          <w:tcPr>
            <w:tcW w:w="709" w:type="dxa"/>
            <w:tcBorders>
              <w:top w:val="nil"/>
              <w:left w:val="nil"/>
              <w:bottom w:val="double" w:sz="6" w:space="0" w:color="auto"/>
              <w:right w:val="single" w:sz="4" w:space="0" w:color="auto"/>
            </w:tcBorders>
            <w:shd w:val="clear" w:color="auto" w:fill="auto"/>
            <w:noWrap/>
            <w:vAlign w:val="bottom"/>
            <w:hideMark/>
          </w:tcPr>
          <w:p w14:paraId="369C66C8"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5126</w:t>
            </w:r>
          </w:p>
        </w:tc>
        <w:tc>
          <w:tcPr>
            <w:tcW w:w="709" w:type="dxa"/>
            <w:tcBorders>
              <w:top w:val="nil"/>
              <w:left w:val="nil"/>
              <w:bottom w:val="double" w:sz="6" w:space="0" w:color="auto"/>
              <w:right w:val="single" w:sz="4" w:space="0" w:color="auto"/>
            </w:tcBorders>
            <w:shd w:val="clear" w:color="auto" w:fill="auto"/>
            <w:noWrap/>
            <w:vAlign w:val="bottom"/>
            <w:hideMark/>
          </w:tcPr>
          <w:p w14:paraId="291FC9A5"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7145</w:t>
            </w:r>
          </w:p>
        </w:tc>
        <w:tc>
          <w:tcPr>
            <w:tcW w:w="708" w:type="dxa"/>
            <w:tcBorders>
              <w:top w:val="nil"/>
              <w:left w:val="nil"/>
              <w:bottom w:val="double" w:sz="6" w:space="0" w:color="auto"/>
              <w:right w:val="double" w:sz="6" w:space="0" w:color="auto"/>
            </w:tcBorders>
            <w:shd w:val="clear" w:color="auto" w:fill="auto"/>
            <w:noWrap/>
            <w:vAlign w:val="bottom"/>
            <w:hideMark/>
          </w:tcPr>
          <w:p w14:paraId="43878141" w14:textId="77777777" w:rsidR="00A16DDB" w:rsidRPr="00D95127" w:rsidRDefault="00A16DDB" w:rsidP="007A627A">
            <w:pPr>
              <w:jc w:val="right"/>
              <w:rPr>
                <w:rFonts w:eastAsia="Times New Roman" w:cs="Times New Roman"/>
                <w:szCs w:val="24"/>
                <w:lang w:val="cs-CZ" w:eastAsia="cs-CZ"/>
              </w:rPr>
            </w:pPr>
            <w:r w:rsidRPr="00D95127">
              <w:rPr>
                <w:rFonts w:eastAsia="Times New Roman" w:cs="Times New Roman"/>
                <w:szCs w:val="24"/>
                <w:lang w:val="cs-CZ" w:eastAsia="cs-CZ"/>
              </w:rPr>
              <w:t>5925</w:t>
            </w:r>
          </w:p>
        </w:tc>
      </w:tr>
    </w:tbl>
    <w:p w14:paraId="19F1483D" w14:textId="77777777" w:rsidR="00A16DDB" w:rsidRPr="00D95127" w:rsidRDefault="00A16DDB" w:rsidP="007800CC">
      <w:pPr>
        <w:pStyle w:val="UZEIZdroj"/>
        <w:rPr>
          <w:lang w:eastAsia="cs-CZ"/>
        </w:rPr>
      </w:pPr>
      <w:r w:rsidRPr="00D95127">
        <w:t>Pramen: ÚKZÚZ</w:t>
      </w:r>
    </w:p>
    <w:p w14:paraId="586D17D6" w14:textId="463F8542" w:rsidR="00A16DDB" w:rsidRPr="00D95127" w:rsidRDefault="00A16DDB" w:rsidP="007800CC">
      <w:pPr>
        <w:pStyle w:val="UZEINormaln"/>
        <w:rPr>
          <w:rFonts w:cs="Times New Roman"/>
        </w:rPr>
      </w:pPr>
      <w:r w:rsidRPr="00D95127">
        <w:t xml:space="preserve">Do roku 2015 největším světovým pěstitelem chmele bylo Německo, od roku 2016 USA. USA v roce 2020 </w:t>
      </w:r>
      <w:r w:rsidRPr="00D95127">
        <w:rPr>
          <w:rFonts w:cs="Times New Roman"/>
        </w:rPr>
        <w:t>vyprodukovalo 48 038 t chmele na ploše 24 954 ha. ČR zaujímá dlouhodobě 3. místo. ČR exportuje svoji produkci z 75-80 %. Chmel zůstává jednou z nemnoha položek agrárního zahraničního obchodu, u nichž má ČR stále kladné saldo. Zahraniční obchod s chmelem a chmelovými výrobky zaznamenal v roce 2020 opět kladné saldo v hodnotě  902,2 mil. Kč.  Mezi významné odběratele českého chmele v roce 2020 patřilo Německo (1 167 t), Čína (1 148 t), Japonsko (974 t) a Rusko (325 t).</w:t>
      </w:r>
    </w:p>
    <w:p w14:paraId="6C38581D" w14:textId="0DE8023B" w:rsidR="00A16DDB" w:rsidRPr="00D95127" w:rsidRDefault="00A16DDB" w:rsidP="007800CC">
      <w:pPr>
        <w:pStyle w:val="UZEINormaln"/>
        <w:rPr>
          <w:rFonts w:cs="Times New Roman"/>
        </w:rPr>
      </w:pPr>
      <w:r w:rsidRPr="00D95127">
        <w:t xml:space="preserve">Vzhledem k vysokému podílu vyvážené produkce je také míra krytí domácí spotřeby na vysoké úrovni 226 % (rok 2020), přičemž Strategie zemědělství 2030 stanovuje cíl pro rok 2020 ve výši 220-230 %. Přesto ekonomika pěstování chmele nedosahuje příznivějších rozměrů než ostatní sektory rostlinné výroby. </w:t>
      </w:r>
    </w:p>
    <w:p w14:paraId="4899358A" w14:textId="77777777" w:rsidR="00A16DDB" w:rsidRPr="00D95127" w:rsidRDefault="00A16DDB" w:rsidP="007800CC">
      <w:pPr>
        <w:pStyle w:val="UZEINormaln"/>
        <w:rPr>
          <w:rFonts w:cs="Times New Roman"/>
        </w:rPr>
      </w:pPr>
      <w:r w:rsidRPr="00D95127">
        <w:t xml:space="preserve">Pro udržení </w:t>
      </w:r>
      <w:r w:rsidRPr="00D95127">
        <w:rPr>
          <w:rFonts w:cs="Times New Roman"/>
        </w:rPr>
        <w:t>této konkurenční pozice je třeba řešit následující problémy:</w:t>
      </w:r>
    </w:p>
    <w:p w14:paraId="38A7C347" w14:textId="77777777" w:rsidR="00A16DDB" w:rsidRPr="00D95127" w:rsidRDefault="00A16DDB" w:rsidP="00DE7D57">
      <w:pPr>
        <w:pStyle w:val="UZEIOdrky"/>
        <w:numPr>
          <w:ilvl w:val="0"/>
          <w:numId w:val="15"/>
        </w:numPr>
      </w:pPr>
      <w:r w:rsidRPr="00D95127">
        <w:t xml:space="preserve">Staří porostu chmele a chmelových konstrukcí. Stárnutí porostů a konstrukcí je rychlejší než obnova;  </w:t>
      </w:r>
    </w:p>
    <w:p w14:paraId="16FB53F6" w14:textId="77777777" w:rsidR="00A16DDB" w:rsidRPr="00D95127" w:rsidRDefault="00A16DDB" w:rsidP="00DE7D57">
      <w:pPr>
        <w:pStyle w:val="UZEIOdrky"/>
        <w:numPr>
          <w:ilvl w:val="0"/>
          <w:numId w:val="15"/>
        </w:numPr>
      </w:pPr>
      <w:r w:rsidRPr="00D95127">
        <w:t>Zastaralá mobilní a sklizňová technika a vysoké pořizovací ceny ve srovnání s jinými sektory;</w:t>
      </w:r>
    </w:p>
    <w:p w14:paraId="42D0BDB0" w14:textId="77777777" w:rsidR="00A16DDB" w:rsidRPr="00D95127" w:rsidRDefault="00A16DDB" w:rsidP="00DE7D57">
      <w:pPr>
        <w:pStyle w:val="UZEIOdrky"/>
        <w:numPr>
          <w:ilvl w:val="0"/>
          <w:numId w:val="15"/>
        </w:numPr>
      </w:pPr>
      <w:r w:rsidRPr="00D95127">
        <w:t>Výkyvy nákladů na jednotku produkce za současně dlouhodobě nasmlouvanou cenou kvůli nepříznivým klimatickým podmínkám, a riziko nedodržení dlouhodobých obchodních smluv;</w:t>
      </w:r>
    </w:p>
    <w:p w14:paraId="5D09E10D" w14:textId="77777777" w:rsidR="00A16DDB" w:rsidRPr="00D95127" w:rsidRDefault="00A16DDB" w:rsidP="00DE7D57">
      <w:pPr>
        <w:pStyle w:val="UZEIOdrky"/>
        <w:numPr>
          <w:ilvl w:val="0"/>
          <w:numId w:val="15"/>
        </w:numPr>
      </w:pPr>
      <w:r w:rsidRPr="00D95127">
        <w:t>Nedostatek sezónních a kvalifikovaných pracovních sil</w:t>
      </w:r>
    </w:p>
    <w:p w14:paraId="5F0BA0F0" w14:textId="1C9E07BA" w:rsidR="00C624B3" w:rsidRDefault="00A16DDB" w:rsidP="00DE7D57">
      <w:pPr>
        <w:pStyle w:val="UZEIOdrky"/>
        <w:numPr>
          <w:ilvl w:val="0"/>
          <w:numId w:val="15"/>
        </w:numPr>
      </w:pPr>
      <w:r w:rsidRPr="00D95127">
        <w:t>Nízké povědomí o značce a možnostech využití certifikačního procesu ve spotřebitelské vertikále.</w:t>
      </w:r>
    </w:p>
    <w:p w14:paraId="3DD12C51" w14:textId="365F492C" w:rsidR="00A16DDB" w:rsidRPr="00C624B3" w:rsidRDefault="00C624B3" w:rsidP="00C624B3">
      <w:pPr>
        <w:spacing w:after="160" w:line="259" w:lineRule="auto"/>
        <w:jc w:val="left"/>
        <w:rPr>
          <w:rFonts w:eastAsia="Times New Roman" w:cs="Calibri"/>
          <w:color w:val="000000"/>
          <w:szCs w:val="24"/>
          <w:lang w:val="cs-CZ"/>
        </w:rPr>
      </w:pPr>
      <w:r>
        <w:br w:type="page"/>
      </w:r>
    </w:p>
    <w:p w14:paraId="5C2A02A2" w14:textId="77777777" w:rsidR="00A16DDB" w:rsidRPr="00D95127" w:rsidRDefault="00A16DDB" w:rsidP="007800CC">
      <w:pPr>
        <w:pStyle w:val="Nadpis1"/>
      </w:pPr>
      <w:bookmarkStart w:id="551" w:name="_Toc15304071"/>
      <w:bookmarkStart w:id="552" w:name="_Toc23509888"/>
      <w:bookmarkStart w:id="553" w:name="_Toc76137394"/>
      <w:bookmarkStart w:id="554" w:name="_Toc76637593"/>
      <w:bookmarkStart w:id="555" w:name="_Toc80953272"/>
      <w:bookmarkStart w:id="556" w:name="_Toc81739225"/>
      <w:r w:rsidRPr="00D95127">
        <w:t>Jaký je mechanizmus a příčiny tohoto problému?</w:t>
      </w:r>
      <w:bookmarkEnd w:id="551"/>
      <w:bookmarkEnd w:id="552"/>
      <w:bookmarkEnd w:id="553"/>
      <w:bookmarkEnd w:id="554"/>
      <w:bookmarkEnd w:id="555"/>
      <w:bookmarkEnd w:id="556"/>
    </w:p>
    <w:p w14:paraId="52B3ECD3" w14:textId="77777777" w:rsidR="00A16DDB" w:rsidRPr="00D95127" w:rsidRDefault="00A16DDB" w:rsidP="007800CC">
      <w:pPr>
        <w:pStyle w:val="UZEINormaln"/>
        <w:rPr>
          <w:rFonts w:cs="Times New Roman"/>
        </w:rPr>
      </w:pPr>
      <w:r w:rsidRPr="00D95127">
        <w:t>Pro udržení konkurenční výhody českého chmele a jeho pěstitelů chmele jsou určující zejména tyto faktory:</w:t>
      </w:r>
    </w:p>
    <w:p w14:paraId="5B912AAD" w14:textId="77777777" w:rsidR="00A16DDB" w:rsidRPr="00D95127" w:rsidRDefault="00A16DDB" w:rsidP="007800CC">
      <w:pPr>
        <w:pStyle w:val="UZEIOdrky"/>
        <w:rPr>
          <w:b/>
        </w:rPr>
      </w:pPr>
      <w:r w:rsidRPr="00D95127">
        <w:rPr>
          <w:b/>
        </w:rPr>
        <w:t>Klimatické podmínky ČR výrazně snižují výnosový a kvalitativní potenciál;</w:t>
      </w:r>
    </w:p>
    <w:p w14:paraId="6B1F0862" w14:textId="77777777" w:rsidR="00A16DDB" w:rsidRPr="00D95127" w:rsidRDefault="00A16DDB" w:rsidP="007800CC">
      <w:pPr>
        <w:pStyle w:val="UZEIOdrky"/>
        <w:rPr>
          <w:b/>
        </w:rPr>
      </w:pPr>
      <w:r w:rsidRPr="00D95127">
        <w:rPr>
          <w:b/>
        </w:rPr>
        <w:t>Nízký stupeň technologické obměny jednoúčelových výrobních prostředků způsobující vyšší provozní náklady;</w:t>
      </w:r>
    </w:p>
    <w:p w14:paraId="20919A21" w14:textId="77777777" w:rsidR="00A16DDB" w:rsidRPr="00D95127" w:rsidRDefault="00A16DDB" w:rsidP="007800CC">
      <w:pPr>
        <w:pStyle w:val="UZEIOdrky"/>
        <w:rPr>
          <w:b/>
        </w:rPr>
      </w:pPr>
      <w:r w:rsidRPr="00D95127">
        <w:rPr>
          <w:b/>
        </w:rPr>
        <w:t>Změny na trhu faktorů, především dostupnost a kvalita pracovní síly;</w:t>
      </w:r>
    </w:p>
    <w:p w14:paraId="0CD2A7A7" w14:textId="77777777" w:rsidR="00A16DDB" w:rsidRPr="00D95127" w:rsidRDefault="00A16DDB" w:rsidP="007800CC">
      <w:pPr>
        <w:pStyle w:val="UZEIOdrky"/>
        <w:rPr>
          <w:b/>
        </w:rPr>
      </w:pPr>
      <w:r w:rsidRPr="00D95127">
        <w:rPr>
          <w:b/>
        </w:rPr>
        <w:t>Vysoká volatilita realizačních cen ovlivněná světovým trhem;</w:t>
      </w:r>
    </w:p>
    <w:p w14:paraId="087665F9" w14:textId="77777777" w:rsidR="00A16DDB" w:rsidRPr="00D95127" w:rsidRDefault="00A16DDB" w:rsidP="007800CC">
      <w:pPr>
        <w:pStyle w:val="UZEIOdrky"/>
        <w:rPr>
          <w:b/>
        </w:rPr>
      </w:pPr>
      <w:r w:rsidRPr="00D95127">
        <w:rPr>
          <w:b/>
        </w:rPr>
        <w:t>V oblasti poradenství chybí dostatek kvalifikovaných osob;</w:t>
      </w:r>
    </w:p>
    <w:p w14:paraId="4132ACB1" w14:textId="77777777" w:rsidR="00A16DDB" w:rsidRPr="00D95127" w:rsidRDefault="00A16DDB" w:rsidP="007800CC">
      <w:pPr>
        <w:pStyle w:val="UZEIOdrky"/>
        <w:rPr>
          <w:b/>
        </w:rPr>
      </w:pPr>
      <w:r w:rsidRPr="00D95127">
        <w:rPr>
          <w:b/>
        </w:rPr>
        <w:t>Dostupnost a kvalita vodních zdrojů pro budování kapkové závlahy;</w:t>
      </w:r>
    </w:p>
    <w:p w14:paraId="5017D4B9" w14:textId="77777777" w:rsidR="00A16DDB" w:rsidRPr="00D95127" w:rsidRDefault="00A16DDB" w:rsidP="007800CC">
      <w:pPr>
        <w:pStyle w:val="UZEINormaln"/>
        <w:rPr>
          <w:rFonts w:cs="Times New Roman"/>
        </w:rPr>
      </w:pPr>
      <w:r w:rsidRPr="00D95127">
        <w:rPr>
          <w:b/>
        </w:rPr>
        <w:t xml:space="preserve">Věková struktura chmelových porostů a chmelové konstrukce. </w:t>
      </w:r>
      <w:r w:rsidRPr="00D95127">
        <w:rPr>
          <w:rFonts w:cs="Times New Roman"/>
        </w:rPr>
        <w:t>V současné době výkyvu klimatických anomálií k vysokým teplotám a nízkým dešťovým srážkám se jeví zavlažování chmelových porostů jako nevyhnutelná záležitost, protože závlaha chmele je významným stabilizačním faktorem pro rentabilní pěstování chmele při zachování jeho kvality. Ve chmelařských oblastech ČR je nejvíce zastoupena kapková závlaha umístěná na stropu konstrukce. Uplatnění nachází i kapková závlaha, která se umísťuje v meziřadí chmelnice do hloubky 0,5 metru a závlaha mikropostřikem. Dostupnost a kvalita vodních zdrojů se často stávají limitujícími kritérii při rozhodování o realizaci závlahového systému. Získání zdrojů zavlažovací vody je časově velmi náročná akce závislá na obstarání souhlasu všech dotčených osob, samospráv i vlastníků pozemků. Celkovou výměru zavlažovaných ploch lze odhadnout na 1 400 ha, tj. 28 % plochy aktuálně využívaných chmelnic, přitom výhledově se ukazuje potřeba zavlažování na celé ploše.</w:t>
      </w:r>
    </w:p>
    <w:p w14:paraId="3D488F8E" w14:textId="77777777" w:rsidR="00A16DDB" w:rsidRPr="00D95127" w:rsidRDefault="00A16DDB" w:rsidP="007800CC">
      <w:pPr>
        <w:pStyle w:val="UZEINormaln"/>
        <w:rPr>
          <w:rFonts w:cs="Times New Roman"/>
        </w:rPr>
      </w:pPr>
      <w:r w:rsidRPr="00D95127">
        <w:t>Věková struktura porostů chmele je jedním z významných faktorů ovlivňující výnosovou stabilitu a kvalitu chmele. Optimální doba obměny porostů je 10–12 let. V roce 2020 jsou nejstarší (20 a více let) chmelnice v Žatecké oblasti (23,4 %). V Tršické oblasti převažují chmelnice ve věku do 5 let (38,2 %). Podíl chmelnic s optimální věkovou strukturou v Žatecké oblasti činí 67,5 % , Úštěcké 72,8 %, Tršické 67,3 %. Průměrně je až 71,4 % konstrukcí starších 20 let, ve skutečnosti to může být méně, protože nejsou evidovány např. generální opravy konstrukcí. Pomalé tempo obnovy je spojeno s vysokými investičními náklady kolem 600 tis. Kč/ha na jejich obnovu s vysokým rizikem nízké návratnosti. Banky na činnosti poskytují půjčky s ručením PGRLF.</w:t>
      </w:r>
    </w:p>
    <w:p w14:paraId="23B805F7" w14:textId="31DCDE0E" w:rsidR="00A16DDB" w:rsidRPr="00D95127" w:rsidRDefault="00A16DDB" w:rsidP="007800CC">
      <w:pPr>
        <w:pStyle w:val="UZEITaB"/>
      </w:pPr>
      <w:bookmarkStart w:id="557" w:name="_Toc81738479"/>
      <w:r w:rsidRPr="00D95127">
        <w:t>Věková struktura porostů chmele podle stavu k 20. 8. 2020 (ha)</w:t>
      </w:r>
      <w:bookmarkEnd w:id="557"/>
    </w:p>
    <w:tbl>
      <w:tblPr>
        <w:tblpPr w:leftFromText="141" w:rightFromText="141" w:vertAnchor="text" w:tblpY="1"/>
        <w:tblOverlap w:val="never"/>
        <w:tblW w:w="5000" w:type="pct"/>
        <w:tblCellMar>
          <w:left w:w="70" w:type="dxa"/>
          <w:right w:w="70" w:type="dxa"/>
        </w:tblCellMar>
        <w:tblLook w:val="04A0" w:firstRow="1" w:lastRow="0" w:firstColumn="1" w:lastColumn="0" w:noHBand="0" w:noVBand="1"/>
      </w:tblPr>
      <w:tblGrid>
        <w:gridCol w:w="2230"/>
        <w:gridCol w:w="1205"/>
        <w:gridCol w:w="829"/>
        <w:gridCol w:w="590"/>
        <w:gridCol w:w="818"/>
        <w:gridCol w:w="590"/>
        <w:gridCol w:w="796"/>
        <w:gridCol w:w="590"/>
        <w:gridCol w:w="824"/>
        <w:gridCol w:w="590"/>
      </w:tblGrid>
      <w:tr w:rsidR="00A16DDB" w:rsidRPr="00D95127" w14:paraId="70127FDF" w14:textId="77777777" w:rsidTr="007800CC">
        <w:trPr>
          <w:trHeight w:val="540"/>
          <w:tblHeader/>
        </w:trPr>
        <w:tc>
          <w:tcPr>
            <w:tcW w:w="10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C9A43A" w14:textId="77777777" w:rsidR="00A16DDB" w:rsidRPr="00D95127" w:rsidRDefault="00A16DDB" w:rsidP="007A627A">
            <w:pPr>
              <w:jc w:val="center"/>
              <w:rPr>
                <w:rFonts w:cs="Times New Roman"/>
                <w:b/>
                <w:color w:val="000000"/>
                <w:sz w:val="20"/>
                <w:szCs w:val="20"/>
                <w:lang w:val="cs-CZ"/>
              </w:rPr>
            </w:pPr>
            <w:r w:rsidRPr="00D95127">
              <w:rPr>
                <w:rFonts w:cs="Times New Roman"/>
                <w:b/>
                <w:color w:val="000000"/>
                <w:sz w:val="20"/>
                <w:szCs w:val="20"/>
                <w:lang w:val="cs-CZ"/>
              </w:rPr>
              <w:t>Období založení porostu</w:t>
            </w:r>
          </w:p>
        </w:tc>
        <w:tc>
          <w:tcPr>
            <w:tcW w:w="742" w:type="pct"/>
            <w:tcBorders>
              <w:top w:val="single" w:sz="4" w:space="0" w:color="auto"/>
              <w:left w:val="single" w:sz="4" w:space="0" w:color="auto"/>
              <w:bottom w:val="single" w:sz="4" w:space="0" w:color="auto"/>
              <w:right w:val="single" w:sz="4" w:space="0" w:color="auto"/>
            </w:tcBorders>
          </w:tcPr>
          <w:p w14:paraId="03AE3A90" w14:textId="77777777" w:rsidR="00A16DDB" w:rsidRPr="00D95127" w:rsidRDefault="00A16DDB" w:rsidP="007A627A">
            <w:pPr>
              <w:jc w:val="center"/>
              <w:rPr>
                <w:rFonts w:cs="Times New Roman"/>
                <w:b/>
                <w:color w:val="000000"/>
                <w:sz w:val="20"/>
                <w:szCs w:val="20"/>
                <w:lang w:val="cs-CZ"/>
              </w:rPr>
            </w:pPr>
            <w:r w:rsidRPr="00D95127">
              <w:rPr>
                <w:rFonts w:cs="Times New Roman"/>
                <w:b/>
                <w:color w:val="000000"/>
                <w:sz w:val="20"/>
                <w:szCs w:val="20"/>
                <w:lang w:val="cs-CZ"/>
              </w:rPr>
              <w:t>Stáří porostu</w:t>
            </w:r>
          </w:p>
        </w:tc>
        <w:tc>
          <w:tcPr>
            <w:tcW w:w="479" w:type="pct"/>
            <w:tcBorders>
              <w:top w:val="single" w:sz="4" w:space="0" w:color="auto"/>
              <w:left w:val="single" w:sz="4" w:space="0" w:color="auto"/>
              <w:bottom w:val="single" w:sz="4" w:space="0" w:color="auto"/>
              <w:right w:val="single" w:sz="4" w:space="0" w:color="auto"/>
            </w:tcBorders>
            <w:vAlign w:val="center"/>
          </w:tcPr>
          <w:p w14:paraId="4E095298" w14:textId="77777777" w:rsidR="00A16DDB" w:rsidRPr="00D95127" w:rsidRDefault="00A16DDB" w:rsidP="007A627A">
            <w:pPr>
              <w:jc w:val="center"/>
              <w:rPr>
                <w:rFonts w:cs="Times New Roman"/>
                <w:b/>
                <w:color w:val="000000"/>
                <w:sz w:val="20"/>
                <w:szCs w:val="20"/>
                <w:lang w:val="cs-CZ"/>
              </w:rPr>
            </w:pPr>
            <w:r w:rsidRPr="00D95127">
              <w:rPr>
                <w:rFonts w:cs="Times New Roman"/>
                <w:b/>
                <w:color w:val="000000"/>
                <w:sz w:val="20"/>
                <w:szCs w:val="20"/>
                <w:lang w:val="cs-CZ"/>
              </w:rPr>
              <w:t xml:space="preserve">Žatecko </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B27878" w14:textId="77777777" w:rsidR="00A16DDB" w:rsidRPr="00D95127" w:rsidRDefault="00A16DDB" w:rsidP="007A627A">
            <w:pPr>
              <w:jc w:val="center"/>
              <w:rPr>
                <w:rFonts w:cs="Times New Roman"/>
                <w:b/>
                <w:color w:val="000000"/>
                <w:sz w:val="20"/>
                <w:szCs w:val="20"/>
                <w:lang w:val="cs-CZ"/>
              </w:rPr>
            </w:pPr>
            <w:r w:rsidRPr="00D95127">
              <w:rPr>
                <w:rFonts w:cs="Times New Roman"/>
                <w:b/>
                <w:color w:val="000000"/>
                <w:sz w:val="20"/>
                <w:szCs w:val="20"/>
                <w:lang w:val="cs-CZ"/>
              </w:rPr>
              <w:t>%</w:t>
            </w:r>
          </w:p>
        </w:tc>
        <w:tc>
          <w:tcPr>
            <w:tcW w:w="472" w:type="pct"/>
            <w:tcBorders>
              <w:top w:val="single" w:sz="4" w:space="0" w:color="auto"/>
              <w:left w:val="single" w:sz="4" w:space="0" w:color="auto"/>
              <w:bottom w:val="single" w:sz="4" w:space="0" w:color="auto"/>
              <w:right w:val="single" w:sz="4" w:space="0" w:color="auto"/>
            </w:tcBorders>
            <w:vAlign w:val="center"/>
          </w:tcPr>
          <w:p w14:paraId="17C478F9" w14:textId="77777777" w:rsidR="00A16DDB" w:rsidRPr="00D95127" w:rsidRDefault="00A16DDB" w:rsidP="007A627A">
            <w:pPr>
              <w:jc w:val="center"/>
              <w:rPr>
                <w:rFonts w:cs="Times New Roman"/>
                <w:b/>
                <w:color w:val="000000"/>
                <w:sz w:val="20"/>
                <w:szCs w:val="20"/>
                <w:lang w:val="cs-CZ"/>
              </w:rPr>
            </w:pPr>
            <w:r w:rsidRPr="00D95127">
              <w:rPr>
                <w:rFonts w:cs="Times New Roman"/>
                <w:b/>
                <w:color w:val="000000"/>
                <w:sz w:val="20"/>
                <w:szCs w:val="20"/>
                <w:lang w:val="cs-CZ"/>
              </w:rPr>
              <w:t xml:space="preserve">Úštěcko </w:t>
            </w:r>
          </w:p>
        </w:tc>
        <w:tc>
          <w:tcPr>
            <w:tcW w:w="339" w:type="pct"/>
            <w:tcBorders>
              <w:top w:val="single" w:sz="4" w:space="0" w:color="auto"/>
              <w:left w:val="single" w:sz="4" w:space="0" w:color="auto"/>
              <w:bottom w:val="single" w:sz="4" w:space="0" w:color="auto"/>
              <w:right w:val="single" w:sz="4" w:space="0" w:color="auto"/>
            </w:tcBorders>
            <w:vAlign w:val="center"/>
          </w:tcPr>
          <w:p w14:paraId="6761B914" w14:textId="77777777" w:rsidR="00A16DDB" w:rsidRPr="00D95127" w:rsidRDefault="00A16DDB" w:rsidP="007A627A">
            <w:pPr>
              <w:jc w:val="center"/>
              <w:rPr>
                <w:rFonts w:cs="Times New Roman"/>
                <w:b/>
                <w:color w:val="000000"/>
                <w:sz w:val="20"/>
                <w:szCs w:val="20"/>
                <w:lang w:val="cs-CZ"/>
              </w:rPr>
            </w:pPr>
            <w:r w:rsidRPr="00D95127">
              <w:rPr>
                <w:rFonts w:cs="Times New Roman"/>
                <w:b/>
                <w:color w:val="000000"/>
                <w:sz w:val="20"/>
                <w:szCs w:val="20"/>
                <w:lang w:val="cs-CZ"/>
              </w:rPr>
              <w:t>%</w:t>
            </w:r>
          </w:p>
        </w:tc>
        <w:tc>
          <w:tcPr>
            <w:tcW w:w="4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061F31" w14:textId="77777777" w:rsidR="00A16DDB" w:rsidRPr="00D95127" w:rsidRDefault="00A16DDB" w:rsidP="007A627A">
            <w:pPr>
              <w:jc w:val="center"/>
              <w:rPr>
                <w:rFonts w:cs="Times New Roman"/>
                <w:b/>
                <w:color w:val="000000"/>
                <w:sz w:val="20"/>
                <w:szCs w:val="20"/>
                <w:lang w:val="cs-CZ"/>
              </w:rPr>
            </w:pPr>
            <w:r w:rsidRPr="00D95127">
              <w:rPr>
                <w:rFonts w:cs="Times New Roman"/>
                <w:b/>
                <w:color w:val="000000"/>
                <w:sz w:val="20"/>
                <w:szCs w:val="20"/>
                <w:lang w:val="cs-CZ"/>
              </w:rPr>
              <w:t xml:space="preserve">Tršicko </w:t>
            </w:r>
          </w:p>
        </w:tc>
        <w:tc>
          <w:tcPr>
            <w:tcW w:w="339" w:type="pct"/>
            <w:tcBorders>
              <w:top w:val="single" w:sz="4" w:space="0" w:color="auto"/>
              <w:left w:val="single" w:sz="4" w:space="0" w:color="auto"/>
              <w:bottom w:val="single" w:sz="4" w:space="0" w:color="auto"/>
              <w:right w:val="single" w:sz="4" w:space="0" w:color="auto"/>
            </w:tcBorders>
            <w:vAlign w:val="center"/>
          </w:tcPr>
          <w:p w14:paraId="24E755FF" w14:textId="77777777" w:rsidR="00A16DDB" w:rsidRPr="00D95127" w:rsidRDefault="00A16DDB" w:rsidP="007A627A">
            <w:pPr>
              <w:jc w:val="center"/>
              <w:rPr>
                <w:rFonts w:cs="Times New Roman"/>
                <w:b/>
                <w:color w:val="000000"/>
                <w:sz w:val="20"/>
                <w:szCs w:val="20"/>
                <w:lang w:val="cs-CZ"/>
              </w:rPr>
            </w:pPr>
            <w:r w:rsidRPr="00D95127">
              <w:rPr>
                <w:rFonts w:cs="Times New Roman"/>
                <w:b/>
                <w:color w:val="000000"/>
                <w:sz w:val="20"/>
                <w:szCs w:val="20"/>
                <w:lang w:val="cs-CZ"/>
              </w:rPr>
              <w:t>%</w:t>
            </w:r>
          </w:p>
        </w:tc>
        <w:tc>
          <w:tcPr>
            <w:tcW w:w="47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ADE25" w14:textId="77777777" w:rsidR="00A16DDB" w:rsidRPr="00D95127" w:rsidRDefault="00A16DDB" w:rsidP="007A627A">
            <w:pPr>
              <w:jc w:val="center"/>
              <w:rPr>
                <w:rFonts w:cs="Times New Roman"/>
                <w:b/>
                <w:color w:val="000000"/>
                <w:sz w:val="20"/>
                <w:szCs w:val="20"/>
                <w:lang w:val="cs-CZ"/>
              </w:rPr>
            </w:pPr>
            <w:r w:rsidRPr="00D95127">
              <w:rPr>
                <w:rFonts w:cs="Times New Roman"/>
                <w:b/>
                <w:color w:val="000000"/>
                <w:sz w:val="20"/>
                <w:szCs w:val="20"/>
                <w:lang w:val="cs-CZ"/>
              </w:rPr>
              <w:t>ČR (ha)</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89085C" w14:textId="77777777" w:rsidR="00A16DDB" w:rsidRPr="00D95127" w:rsidRDefault="00A16DDB" w:rsidP="007A627A">
            <w:pPr>
              <w:jc w:val="center"/>
              <w:rPr>
                <w:rFonts w:cs="Times New Roman"/>
                <w:b/>
                <w:color w:val="000000"/>
                <w:sz w:val="20"/>
                <w:szCs w:val="20"/>
                <w:lang w:val="cs-CZ"/>
              </w:rPr>
            </w:pPr>
            <w:r w:rsidRPr="00D95127">
              <w:rPr>
                <w:rFonts w:cs="Times New Roman"/>
                <w:b/>
                <w:color w:val="000000"/>
                <w:sz w:val="20"/>
                <w:szCs w:val="20"/>
                <w:lang w:val="cs-CZ"/>
              </w:rPr>
              <w:t>%</w:t>
            </w:r>
          </w:p>
        </w:tc>
      </w:tr>
      <w:tr w:rsidR="00A16DDB" w:rsidRPr="00D95127" w14:paraId="0F9ECDEB" w14:textId="77777777" w:rsidTr="007800CC">
        <w:trPr>
          <w:trHeight w:val="300"/>
        </w:trPr>
        <w:tc>
          <w:tcPr>
            <w:tcW w:w="1014" w:type="pct"/>
            <w:tcBorders>
              <w:top w:val="single" w:sz="4" w:space="0" w:color="auto"/>
              <w:left w:val="single" w:sz="4" w:space="0" w:color="auto"/>
              <w:bottom w:val="single" w:sz="4" w:space="0" w:color="auto"/>
              <w:right w:val="nil"/>
            </w:tcBorders>
            <w:shd w:val="clear" w:color="auto" w:fill="auto"/>
            <w:noWrap/>
            <w:vAlign w:val="bottom"/>
          </w:tcPr>
          <w:p w14:paraId="10C06EAC"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do 2000</w:t>
            </w:r>
          </w:p>
        </w:tc>
        <w:tc>
          <w:tcPr>
            <w:tcW w:w="742" w:type="pct"/>
            <w:tcBorders>
              <w:top w:val="single" w:sz="4" w:space="0" w:color="auto"/>
              <w:left w:val="single" w:sz="4" w:space="0" w:color="auto"/>
              <w:bottom w:val="single" w:sz="4" w:space="0" w:color="auto"/>
              <w:right w:val="single" w:sz="4" w:space="0" w:color="auto"/>
            </w:tcBorders>
          </w:tcPr>
          <w:p w14:paraId="41627C40"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20 a víc</w:t>
            </w:r>
          </w:p>
        </w:tc>
        <w:tc>
          <w:tcPr>
            <w:tcW w:w="479" w:type="pct"/>
            <w:tcBorders>
              <w:top w:val="single" w:sz="4" w:space="0" w:color="auto"/>
              <w:left w:val="single" w:sz="4" w:space="0" w:color="auto"/>
              <w:bottom w:val="single" w:sz="4" w:space="0" w:color="auto"/>
              <w:right w:val="single" w:sz="4" w:space="0" w:color="auto"/>
            </w:tcBorders>
            <w:vAlign w:val="center"/>
          </w:tcPr>
          <w:p w14:paraId="7A456CD4"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896</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6CE917"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23,4</w:t>
            </w:r>
          </w:p>
        </w:tc>
        <w:tc>
          <w:tcPr>
            <w:tcW w:w="472" w:type="pct"/>
            <w:tcBorders>
              <w:top w:val="single" w:sz="4" w:space="0" w:color="auto"/>
              <w:left w:val="single" w:sz="4" w:space="0" w:color="auto"/>
              <w:bottom w:val="single" w:sz="4" w:space="0" w:color="auto"/>
              <w:right w:val="single" w:sz="4" w:space="0" w:color="auto"/>
            </w:tcBorders>
            <w:vAlign w:val="center"/>
          </w:tcPr>
          <w:p w14:paraId="7136FCBB"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113</w:t>
            </w:r>
          </w:p>
        </w:tc>
        <w:tc>
          <w:tcPr>
            <w:tcW w:w="339" w:type="pct"/>
            <w:tcBorders>
              <w:top w:val="single" w:sz="4" w:space="0" w:color="auto"/>
              <w:left w:val="single" w:sz="4" w:space="0" w:color="auto"/>
              <w:bottom w:val="single" w:sz="4" w:space="0" w:color="auto"/>
              <w:right w:val="single" w:sz="4" w:space="0" w:color="auto"/>
            </w:tcBorders>
            <w:vAlign w:val="center"/>
          </w:tcPr>
          <w:p w14:paraId="658A88EB"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22,5</w:t>
            </w:r>
          </w:p>
        </w:tc>
        <w:tc>
          <w:tcPr>
            <w:tcW w:w="4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B38A4C"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145</w:t>
            </w:r>
          </w:p>
        </w:tc>
        <w:tc>
          <w:tcPr>
            <w:tcW w:w="339" w:type="pct"/>
            <w:tcBorders>
              <w:top w:val="single" w:sz="4" w:space="0" w:color="auto"/>
              <w:left w:val="single" w:sz="4" w:space="0" w:color="auto"/>
              <w:bottom w:val="single" w:sz="4" w:space="0" w:color="auto"/>
              <w:right w:val="single" w:sz="4" w:space="0" w:color="auto"/>
            </w:tcBorders>
            <w:vAlign w:val="center"/>
          </w:tcPr>
          <w:p w14:paraId="18CD40CE"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23,2</w:t>
            </w:r>
          </w:p>
        </w:tc>
        <w:tc>
          <w:tcPr>
            <w:tcW w:w="47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3BE559"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1 154</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DA37E3"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23,2</w:t>
            </w:r>
          </w:p>
        </w:tc>
      </w:tr>
      <w:tr w:rsidR="00A16DDB" w:rsidRPr="00D95127" w14:paraId="3E173A95" w14:textId="77777777" w:rsidTr="007800CC">
        <w:trPr>
          <w:trHeight w:val="300"/>
        </w:trPr>
        <w:tc>
          <w:tcPr>
            <w:tcW w:w="1014" w:type="pct"/>
            <w:tcBorders>
              <w:top w:val="nil"/>
              <w:left w:val="single" w:sz="4" w:space="0" w:color="auto"/>
              <w:bottom w:val="single" w:sz="4" w:space="0" w:color="auto"/>
              <w:right w:val="nil"/>
            </w:tcBorders>
            <w:shd w:val="clear" w:color="auto" w:fill="auto"/>
            <w:noWrap/>
            <w:vAlign w:val="bottom"/>
          </w:tcPr>
          <w:p w14:paraId="5A4E6AAA"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2001 - 2005</w:t>
            </w:r>
          </w:p>
        </w:tc>
        <w:tc>
          <w:tcPr>
            <w:tcW w:w="742" w:type="pct"/>
            <w:tcBorders>
              <w:top w:val="single" w:sz="4" w:space="0" w:color="auto"/>
              <w:left w:val="single" w:sz="4" w:space="0" w:color="auto"/>
              <w:bottom w:val="single" w:sz="4" w:space="0" w:color="auto"/>
              <w:right w:val="single" w:sz="4" w:space="0" w:color="auto"/>
            </w:tcBorders>
          </w:tcPr>
          <w:p w14:paraId="0D5EE1BD"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15-19</w:t>
            </w:r>
          </w:p>
        </w:tc>
        <w:tc>
          <w:tcPr>
            <w:tcW w:w="479" w:type="pct"/>
            <w:tcBorders>
              <w:top w:val="single" w:sz="4" w:space="0" w:color="auto"/>
              <w:left w:val="single" w:sz="4" w:space="0" w:color="auto"/>
              <w:bottom w:val="single" w:sz="4" w:space="0" w:color="auto"/>
              <w:right w:val="single" w:sz="4" w:space="0" w:color="auto"/>
            </w:tcBorders>
            <w:vAlign w:val="center"/>
          </w:tcPr>
          <w:p w14:paraId="0C06CB4E"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353</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B23949"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9,2</w:t>
            </w:r>
          </w:p>
        </w:tc>
        <w:tc>
          <w:tcPr>
            <w:tcW w:w="472" w:type="pct"/>
            <w:tcBorders>
              <w:top w:val="single" w:sz="4" w:space="0" w:color="auto"/>
              <w:left w:val="single" w:sz="4" w:space="0" w:color="auto"/>
              <w:bottom w:val="single" w:sz="4" w:space="0" w:color="auto"/>
              <w:right w:val="single" w:sz="4" w:space="0" w:color="auto"/>
            </w:tcBorders>
            <w:vAlign w:val="center"/>
          </w:tcPr>
          <w:p w14:paraId="7F4CB06F"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24</w:t>
            </w:r>
          </w:p>
        </w:tc>
        <w:tc>
          <w:tcPr>
            <w:tcW w:w="339" w:type="pct"/>
            <w:tcBorders>
              <w:top w:val="single" w:sz="4" w:space="0" w:color="auto"/>
              <w:left w:val="single" w:sz="4" w:space="0" w:color="auto"/>
              <w:bottom w:val="single" w:sz="4" w:space="0" w:color="auto"/>
              <w:right w:val="single" w:sz="4" w:space="0" w:color="auto"/>
            </w:tcBorders>
            <w:vAlign w:val="center"/>
          </w:tcPr>
          <w:p w14:paraId="3C198989"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4,7</w:t>
            </w:r>
          </w:p>
        </w:tc>
        <w:tc>
          <w:tcPr>
            <w:tcW w:w="4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BE264F"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59</w:t>
            </w:r>
          </w:p>
        </w:tc>
        <w:tc>
          <w:tcPr>
            <w:tcW w:w="339" w:type="pct"/>
            <w:tcBorders>
              <w:top w:val="single" w:sz="4" w:space="0" w:color="auto"/>
              <w:left w:val="single" w:sz="4" w:space="0" w:color="auto"/>
              <w:bottom w:val="single" w:sz="4" w:space="0" w:color="auto"/>
              <w:right w:val="single" w:sz="4" w:space="0" w:color="auto"/>
            </w:tcBorders>
            <w:vAlign w:val="center"/>
          </w:tcPr>
          <w:p w14:paraId="2BD080DD"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9,5</w:t>
            </w:r>
          </w:p>
        </w:tc>
        <w:tc>
          <w:tcPr>
            <w:tcW w:w="47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EC61CB"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436</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709BD7"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8,8</w:t>
            </w:r>
          </w:p>
        </w:tc>
      </w:tr>
      <w:tr w:rsidR="00A16DDB" w:rsidRPr="00D95127" w14:paraId="5334D86D" w14:textId="77777777" w:rsidTr="007800CC">
        <w:trPr>
          <w:trHeight w:val="300"/>
        </w:trPr>
        <w:tc>
          <w:tcPr>
            <w:tcW w:w="1014" w:type="pct"/>
            <w:tcBorders>
              <w:top w:val="single" w:sz="4" w:space="0" w:color="auto"/>
              <w:left w:val="single" w:sz="4" w:space="0" w:color="auto"/>
              <w:bottom w:val="single" w:sz="4" w:space="0" w:color="auto"/>
              <w:right w:val="nil"/>
            </w:tcBorders>
            <w:shd w:val="clear" w:color="auto" w:fill="auto"/>
            <w:noWrap/>
            <w:vAlign w:val="bottom"/>
          </w:tcPr>
          <w:p w14:paraId="1C2F37CE"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2006 - 2010</w:t>
            </w:r>
          </w:p>
        </w:tc>
        <w:tc>
          <w:tcPr>
            <w:tcW w:w="742" w:type="pct"/>
            <w:tcBorders>
              <w:top w:val="single" w:sz="4" w:space="0" w:color="auto"/>
              <w:left w:val="single" w:sz="4" w:space="0" w:color="auto"/>
              <w:bottom w:val="single" w:sz="4" w:space="0" w:color="auto"/>
              <w:right w:val="single" w:sz="4" w:space="0" w:color="auto"/>
            </w:tcBorders>
          </w:tcPr>
          <w:p w14:paraId="5A7C8CDC"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10-14</w:t>
            </w:r>
          </w:p>
        </w:tc>
        <w:tc>
          <w:tcPr>
            <w:tcW w:w="479" w:type="pct"/>
            <w:tcBorders>
              <w:top w:val="single" w:sz="4" w:space="0" w:color="auto"/>
              <w:left w:val="single" w:sz="4" w:space="0" w:color="auto"/>
              <w:bottom w:val="single" w:sz="4" w:space="0" w:color="auto"/>
              <w:right w:val="single" w:sz="4" w:space="0" w:color="auto"/>
            </w:tcBorders>
            <w:vAlign w:val="center"/>
          </w:tcPr>
          <w:p w14:paraId="7734C882"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677</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FD1558"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17,6</w:t>
            </w:r>
          </w:p>
        </w:tc>
        <w:tc>
          <w:tcPr>
            <w:tcW w:w="472" w:type="pct"/>
            <w:tcBorders>
              <w:top w:val="single" w:sz="4" w:space="0" w:color="auto"/>
              <w:left w:val="single" w:sz="4" w:space="0" w:color="auto"/>
              <w:bottom w:val="single" w:sz="4" w:space="0" w:color="auto"/>
              <w:right w:val="single" w:sz="4" w:space="0" w:color="auto"/>
            </w:tcBorders>
            <w:vAlign w:val="center"/>
          </w:tcPr>
          <w:p w14:paraId="0E289D06"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113</w:t>
            </w:r>
          </w:p>
        </w:tc>
        <w:tc>
          <w:tcPr>
            <w:tcW w:w="339" w:type="pct"/>
            <w:tcBorders>
              <w:top w:val="single" w:sz="4" w:space="0" w:color="auto"/>
              <w:left w:val="single" w:sz="4" w:space="0" w:color="auto"/>
              <w:bottom w:val="single" w:sz="4" w:space="0" w:color="auto"/>
              <w:right w:val="single" w:sz="4" w:space="0" w:color="auto"/>
            </w:tcBorders>
            <w:vAlign w:val="center"/>
          </w:tcPr>
          <w:p w14:paraId="471CB0AB"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22,4</w:t>
            </w:r>
          </w:p>
        </w:tc>
        <w:tc>
          <w:tcPr>
            <w:tcW w:w="4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B26085"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42</w:t>
            </w:r>
          </w:p>
        </w:tc>
        <w:tc>
          <w:tcPr>
            <w:tcW w:w="339" w:type="pct"/>
            <w:tcBorders>
              <w:top w:val="single" w:sz="4" w:space="0" w:color="auto"/>
              <w:left w:val="single" w:sz="4" w:space="0" w:color="auto"/>
              <w:bottom w:val="single" w:sz="4" w:space="0" w:color="auto"/>
              <w:right w:val="single" w:sz="4" w:space="0" w:color="auto"/>
            </w:tcBorders>
            <w:vAlign w:val="center"/>
          </w:tcPr>
          <w:p w14:paraId="002DA457"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6,7</w:t>
            </w:r>
          </w:p>
        </w:tc>
        <w:tc>
          <w:tcPr>
            <w:tcW w:w="47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063ECC"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832</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A403DB"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16,8</w:t>
            </w:r>
          </w:p>
        </w:tc>
      </w:tr>
      <w:tr w:rsidR="00A16DDB" w:rsidRPr="00D95127" w14:paraId="095C9D49" w14:textId="77777777" w:rsidTr="007800CC">
        <w:trPr>
          <w:trHeight w:val="300"/>
        </w:trPr>
        <w:tc>
          <w:tcPr>
            <w:tcW w:w="1014" w:type="pct"/>
            <w:tcBorders>
              <w:top w:val="nil"/>
              <w:left w:val="single" w:sz="4" w:space="0" w:color="auto"/>
              <w:bottom w:val="single" w:sz="4" w:space="0" w:color="auto"/>
              <w:right w:val="nil"/>
            </w:tcBorders>
            <w:shd w:val="clear" w:color="auto" w:fill="auto"/>
            <w:noWrap/>
            <w:vAlign w:val="bottom"/>
          </w:tcPr>
          <w:p w14:paraId="2D5FAEC8"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2011 - 2015</w:t>
            </w:r>
          </w:p>
        </w:tc>
        <w:tc>
          <w:tcPr>
            <w:tcW w:w="742" w:type="pct"/>
            <w:tcBorders>
              <w:top w:val="single" w:sz="4" w:space="0" w:color="auto"/>
              <w:left w:val="single" w:sz="4" w:space="0" w:color="auto"/>
              <w:bottom w:val="single" w:sz="4" w:space="0" w:color="auto"/>
              <w:right w:val="single" w:sz="4" w:space="0" w:color="auto"/>
            </w:tcBorders>
          </w:tcPr>
          <w:p w14:paraId="4AC0F8AF"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5-9</w:t>
            </w:r>
          </w:p>
        </w:tc>
        <w:tc>
          <w:tcPr>
            <w:tcW w:w="479" w:type="pct"/>
            <w:tcBorders>
              <w:top w:val="single" w:sz="4" w:space="0" w:color="auto"/>
              <w:left w:val="single" w:sz="4" w:space="0" w:color="auto"/>
              <w:bottom w:val="single" w:sz="4" w:space="0" w:color="auto"/>
              <w:right w:val="single" w:sz="4" w:space="0" w:color="auto"/>
            </w:tcBorders>
            <w:vAlign w:val="center"/>
          </w:tcPr>
          <w:p w14:paraId="68113D18"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1 078</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61B4A8"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28,1</w:t>
            </w:r>
          </w:p>
        </w:tc>
        <w:tc>
          <w:tcPr>
            <w:tcW w:w="472" w:type="pct"/>
            <w:tcBorders>
              <w:top w:val="single" w:sz="4" w:space="0" w:color="auto"/>
              <w:left w:val="single" w:sz="4" w:space="0" w:color="auto"/>
              <w:bottom w:val="single" w:sz="4" w:space="0" w:color="auto"/>
              <w:right w:val="single" w:sz="4" w:space="0" w:color="auto"/>
            </w:tcBorders>
            <w:vAlign w:val="center"/>
          </w:tcPr>
          <w:p w14:paraId="575C834C"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175</w:t>
            </w:r>
          </w:p>
        </w:tc>
        <w:tc>
          <w:tcPr>
            <w:tcW w:w="339" w:type="pct"/>
            <w:tcBorders>
              <w:top w:val="single" w:sz="4" w:space="0" w:color="auto"/>
              <w:left w:val="single" w:sz="4" w:space="0" w:color="auto"/>
              <w:bottom w:val="single" w:sz="4" w:space="0" w:color="auto"/>
              <w:right w:val="single" w:sz="4" w:space="0" w:color="auto"/>
            </w:tcBorders>
            <w:vAlign w:val="center"/>
          </w:tcPr>
          <w:p w14:paraId="1325D49A"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34,6</w:t>
            </w:r>
          </w:p>
        </w:tc>
        <w:tc>
          <w:tcPr>
            <w:tcW w:w="4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59D131"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140</w:t>
            </w:r>
          </w:p>
        </w:tc>
        <w:tc>
          <w:tcPr>
            <w:tcW w:w="339" w:type="pct"/>
            <w:tcBorders>
              <w:top w:val="single" w:sz="4" w:space="0" w:color="auto"/>
              <w:left w:val="single" w:sz="4" w:space="0" w:color="auto"/>
              <w:bottom w:val="single" w:sz="4" w:space="0" w:color="auto"/>
              <w:right w:val="single" w:sz="4" w:space="0" w:color="auto"/>
            </w:tcBorders>
            <w:vAlign w:val="center"/>
          </w:tcPr>
          <w:p w14:paraId="69BB15F2"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22,4</w:t>
            </w:r>
          </w:p>
        </w:tc>
        <w:tc>
          <w:tcPr>
            <w:tcW w:w="47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45DA40"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1 391</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D2B453"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28,0</w:t>
            </w:r>
          </w:p>
        </w:tc>
      </w:tr>
      <w:tr w:rsidR="00A16DDB" w:rsidRPr="00D95127" w14:paraId="4042C9D6" w14:textId="77777777" w:rsidTr="007800CC">
        <w:trPr>
          <w:trHeight w:val="300"/>
        </w:trPr>
        <w:tc>
          <w:tcPr>
            <w:tcW w:w="1014" w:type="pct"/>
            <w:tcBorders>
              <w:top w:val="nil"/>
              <w:left w:val="single" w:sz="4" w:space="0" w:color="auto"/>
              <w:bottom w:val="single" w:sz="4" w:space="0" w:color="auto"/>
              <w:right w:val="nil"/>
            </w:tcBorders>
            <w:shd w:val="clear" w:color="auto" w:fill="auto"/>
            <w:noWrap/>
            <w:vAlign w:val="bottom"/>
          </w:tcPr>
          <w:p w14:paraId="410AB7C9"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2016 - 2020</w:t>
            </w:r>
          </w:p>
        </w:tc>
        <w:tc>
          <w:tcPr>
            <w:tcW w:w="742" w:type="pct"/>
            <w:tcBorders>
              <w:top w:val="single" w:sz="4" w:space="0" w:color="auto"/>
              <w:left w:val="single" w:sz="4" w:space="0" w:color="auto"/>
              <w:bottom w:val="single" w:sz="4" w:space="0" w:color="auto"/>
              <w:right w:val="single" w:sz="4" w:space="0" w:color="auto"/>
            </w:tcBorders>
          </w:tcPr>
          <w:p w14:paraId="533971AF"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do 5 let</w:t>
            </w:r>
          </w:p>
        </w:tc>
        <w:tc>
          <w:tcPr>
            <w:tcW w:w="479" w:type="pct"/>
            <w:tcBorders>
              <w:top w:val="single" w:sz="4" w:space="0" w:color="auto"/>
              <w:left w:val="single" w:sz="4" w:space="0" w:color="auto"/>
              <w:bottom w:val="single" w:sz="4" w:space="0" w:color="auto"/>
              <w:right w:val="single" w:sz="4" w:space="0" w:color="auto"/>
            </w:tcBorders>
            <w:vAlign w:val="center"/>
          </w:tcPr>
          <w:p w14:paraId="5DCB3458"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835</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A3F1C7"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21,8</w:t>
            </w:r>
          </w:p>
        </w:tc>
        <w:tc>
          <w:tcPr>
            <w:tcW w:w="472" w:type="pct"/>
            <w:tcBorders>
              <w:top w:val="single" w:sz="4" w:space="0" w:color="auto"/>
              <w:left w:val="single" w:sz="4" w:space="0" w:color="auto"/>
              <w:bottom w:val="single" w:sz="4" w:space="0" w:color="auto"/>
              <w:right w:val="single" w:sz="4" w:space="0" w:color="auto"/>
            </w:tcBorders>
            <w:vAlign w:val="center"/>
          </w:tcPr>
          <w:p w14:paraId="477F4904"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79</w:t>
            </w:r>
          </w:p>
        </w:tc>
        <w:tc>
          <w:tcPr>
            <w:tcW w:w="339" w:type="pct"/>
            <w:tcBorders>
              <w:top w:val="single" w:sz="4" w:space="0" w:color="auto"/>
              <w:left w:val="single" w:sz="4" w:space="0" w:color="auto"/>
              <w:bottom w:val="single" w:sz="4" w:space="0" w:color="auto"/>
              <w:right w:val="single" w:sz="4" w:space="0" w:color="auto"/>
            </w:tcBorders>
            <w:vAlign w:val="center"/>
          </w:tcPr>
          <w:p w14:paraId="7921039A"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15,8</w:t>
            </w:r>
          </w:p>
        </w:tc>
        <w:tc>
          <w:tcPr>
            <w:tcW w:w="4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943365"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239</w:t>
            </w:r>
          </w:p>
        </w:tc>
        <w:tc>
          <w:tcPr>
            <w:tcW w:w="339" w:type="pct"/>
            <w:tcBorders>
              <w:top w:val="single" w:sz="4" w:space="0" w:color="auto"/>
              <w:left w:val="single" w:sz="4" w:space="0" w:color="auto"/>
              <w:bottom w:val="single" w:sz="4" w:space="0" w:color="auto"/>
              <w:right w:val="single" w:sz="4" w:space="0" w:color="auto"/>
            </w:tcBorders>
            <w:vAlign w:val="center"/>
          </w:tcPr>
          <w:p w14:paraId="0A845454"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38,2</w:t>
            </w:r>
          </w:p>
        </w:tc>
        <w:tc>
          <w:tcPr>
            <w:tcW w:w="47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A3DB8F"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1 153</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2ABA88"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23,2</w:t>
            </w:r>
          </w:p>
        </w:tc>
      </w:tr>
      <w:tr w:rsidR="00A16DDB" w:rsidRPr="00D95127" w14:paraId="0C62F9C3" w14:textId="77777777" w:rsidTr="007800CC">
        <w:trPr>
          <w:trHeight w:val="300"/>
        </w:trPr>
        <w:tc>
          <w:tcPr>
            <w:tcW w:w="101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45F167" w14:textId="77777777" w:rsidR="00A16DDB" w:rsidRPr="00D95127" w:rsidRDefault="00A16DDB" w:rsidP="007A627A">
            <w:pPr>
              <w:rPr>
                <w:rFonts w:cs="Times New Roman"/>
                <w:b/>
                <w:color w:val="000000"/>
                <w:sz w:val="20"/>
                <w:szCs w:val="20"/>
                <w:lang w:val="cs-CZ"/>
              </w:rPr>
            </w:pPr>
            <w:r w:rsidRPr="00D95127">
              <w:rPr>
                <w:rFonts w:cs="Times New Roman"/>
                <w:b/>
                <w:color w:val="000000"/>
                <w:sz w:val="20"/>
                <w:szCs w:val="20"/>
                <w:lang w:val="cs-CZ"/>
              </w:rPr>
              <w:t>Celkem</w:t>
            </w:r>
          </w:p>
        </w:tc>
        <w:tc>
          <w:tcPr>
            <w:tcW w:w="742" w:type="pct"/>
            <w:tcBorders>
              <w:top w:val="single" w:sz="4" w:space="0" w:color="auto"/>
              <w:left w:val="single" w:sz="4" w:space="0" w:color="auto"/>
              <w:bottom w:val="single" w:sz="4" w:space="0" w:color="auto"/>
              <w:right w:val="single" w:sz="4" w:space="0" w:color="auto"/>
            </w:tcBorders>
          </w:tcPr>
          <w:p w14:paraId="5F4AF460" w14:textId="77777777" w:rsidR="00A16DDB" w:rsidRPr="00D95127" w:rsidRDefault="00A16DDB" w:rsidP="007A627A">
            <w:pPr>
              <w:jc w:val="center"/>
              <w:rPr>
                <w:rFonts w:cs="Times New Roman"/>
                <w:color w:val="000000"/>
                <w:sz w:val="20"/>
                <w:szCs w:val="20"/>
                <w:lang w:val="cs-CZ"/>
              </w:rPr>
            </w:pPr>
          </w:p>
        </w:tc>
        <w:tc>
          <w:tcPr>
            <w:tcW w:w="479" w:type="pct"/>
            <w:tcBorders>
              <w:top w:val="single" w:sz="4" w:space="0" w:color="auto"/>
              <w:left w:val="single" w:sz="4" w:space="0" w:color="auto"/>
              <w:bottom w:val="single" w:sz="4" w:space="0" w:color="auto"/>
              <w:right w:val="single" w:sz="4" w:space="0" w:color="auto"/>
            </w:tcBorders>
            <w:vAlign w:val="center"/>
          </w:tcPr>
          <w:p w14:paraId="598DFFA8"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3 837</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95C8BE"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100,0</w:t>
            </w:r>
          </w:p>
        </w:tc>
        <w:tc>
          <w:tcPr>
            <w:tcW w:w="472" w:type="pct"/>
            <w:tcBorders>
              <w:top w:val="single" w:sz="4" w:space="0" w:color="auto"/>
              <w:left w:val="single" w:sz="4" w:space="0" w:color="auto"/>
              <w:bottom w:val="single" w:sz="4" w:space="0" w:color="auto"/>
              <w:right w:val="single" w:sz="4" w:space="0" w:color="auto"/>
            </w:tcBorders>
            <w:vAlign w:val="center"/>
          </w:tcPr>
          <w:p w14:paraId="0842EC68"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504</w:t>
            </w:r>
          </w:p>
        </w:tc>
        <w:tc>
          <w:tcPr>
            <w:tcW w:w="339" w:type="pct"/>
            <w:tcBorders>
              <w:top w:val="single" w:sz="4" w:space="0" w:color="auto"/>
              <w:left w:val="single" w:sz="4" w:space="0" w:color="auto"/>
              <w:bottom w:val="single" w:sz="4" w:space="0" w:color="auto"/>
              <w:right w:val="single" w:sz="4" w:space="0" w:color="auto"/>
            </w:tcBorders>
            <w:vAlign w:val="center"/>
          </w:tcPr>
          <w:p w14:paraId="0A73FAEC"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100,0</w:t>
            </w:r>
          </w:p>
        </w:tc>
        <w:tc>
          <w:tcPr>
            <w:tcW w:w="4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6DD87F"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626</w:t>
            </w:r>
          </w:p>
        </w:tc>
        <w:tc>
          <w:tcPr>
            <w:tcW w:w="339" w:type="pct"/>
            <w:tcBorders>
              <w:top w:val="single" w:sz="4" w:space="0" w:color="auto"/>
              <w:left w:val="single" w:sz="4" w:space="0" w:color="auto"/>
              <w:bottom w:val="single" w:sz="4" w:space="0" w:color="auto"/>
              <w:right w:val="single" w:sz="4" w:space="0" w:color="auto"/>
            </w:tcBorders>
            <w:vAlign w:val="center"/>
          </w:tcPr>
          <w:p w14:paraId="771752C8"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100,0</w:t>
            </w:r>
          </w:p>
        </w:tc>
        <w:tc>
          <w:tcPr>
            <w:tcW w:w="47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CFA9E8"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4 966</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DB60ECF"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100,0</w:t>
            </w:r>
          </w:p>
        </w:tc>
      </w:tr>
    </w:tbl>
    <w:p w14:paraId="4C146A28" w14:textId="77777777" w:rsidR="00A16DDB" w:rsidRPr="00D95127" w:rsidRDefault="00A16DDB" w:rsidP="007800CC">
      <w:pPr>
        <w:pStyle w:val="UZEIZdroj"/>
      </w:pPr>
      <w:r w:rsidRPr="00D95127">
        <w:t>Pramen: ÚKZÚZ</w:t>
      </w:r>
    </w:p>
    <w:p w14:paraId="09D86560" w14:textId="77777777" w:rsidR="001E771B" w:rsidRDefault="001E771B">
      <w:pPr>
        <w:spacing w:after="160" w:line="259" w:lineRule="auto"/>
        <w:jc w:val="left"/>
        <w:rPr>
          <w:rFonts w:eastAsia="Times New Roman" w:cs="Arial"/>
          <w:b/>
          <w:color w:val="000000" w:themeColor="text1"/>
          <w:sz w:val="20"/>
          <w:szCs w:val="20"/>
          <w:lang w:val="cs-CZ" w:eastAsia="cs-CZ"/>
        </w:rPr>
      </w:pPr>
      <w:r>
        <w:br w:type="page"/>
      </w:r>
    </w:p>
    <w:p w14:paraId="463962D6" w14:textId="3C7FB1E5" w:rsidR="00A16DDB" w:rsidRPr="00D95127" w:rsidRDefault="00A16DDB" w:rsidP="007800CC">
      <w:pPr>
        <w:pStyle w:val="UZEITaB"/>
      </w:pPr>
      <w:bookmarkStart w:id="558" w:name="_Toc81738480"/>
      <w:r w:rsidRPr="00D95127">
        <w:t>Věková struktura konstrukcí chmele podle stavu k 20. 8. 2020 (ha)</w:t>
      </w:r>
      <w:bookmarkEnd w:id="558"/>
    </w:p>
    <w:tbl>
      <w:tblPr>
        <w:tblpPr w:leftFromText="141" w:rightFromText="141" w:vertAnchor="text" w:tblpY="1"/>
        <w:tblOverlap w:val="never"/>
        <w:tblW w:w="5000" w:type="pct"/>
        <w:tblCellMar>
          <w:left w:w="70" w:type="dxa"/>
          <w:right w:w="70" w:type="dxa"/>
        </w:tblCellMar>
        <w:tblLook w:val="04A0" w:firstRow="1" w:lastRow="0" w:firstColumn="1" w:lastColumn="0" w:noHBand="0" w:noVBand="1"/>
      </w:tblPr>
      <w:tblGrid>
        <w:gridCol w:w="2230"/>
        <w:gridCol w:w="796"/>
        <w:gridCol w:w="829"/>
        <w:gridCol w:w="593"/>
        <w:gridCol w:w="818"/>
        <w:gridCol w:w="594"/>
        <w:gridCol w:w="1190"/>
        <w:gridCol w:w="595"/>
        <w:gridCol w:w="824"/>
        <w:gridCol w:w="593"/>
      </w:tblGrid>
      <w:tr w:rsidR="00A16DDB" w:rsidRPr="00D95127" w14:paraId="0CF0D3AD" w14:textId="77777777" w:rsidTr="007A627A">
        <w:trPr>
          <w:trHeight w:val="416"/>
          <w:tblHeader/>
        </w:trPr>
        <w:tc>
          <w:tcPr>
            <w:tcW w:w="1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919192" w14:textId="77777777" w:rsidR="00A16DDB" w:rsidRPr="00D95127" w:rsidRDefault="00A16DDB" w:rsidP="007A627A">
            <w:pPr>
              <w:jc w:val="center"/>
              <w:rPr>
                <w:rFonts w:cs="Times New Roman"/>
                <w:b/>
                <w:color w:val="000000"/>
                <w:sz w:val="20"/>
                <w:szCs w:val="20"/>
                <w:lang w:val="cs-CZ"/>
              </w:rPr>
            </w:pPr>
            <w:r w:rsidRPr="00D95127">
              <w:rPr>
                <w:rFonts w:cs="Times New Roman"/>
                <w:b/>
                <w:color w:val="000000"/>
                <w:sz w:val="20"/>
                <w:szCs w:val="20"/>
                <w:lang w:val="cs-CZ"/>
              </w:rPr>
              <w:t>Období založení porostu</w:t>
            </w:r>
          </w:p>
        </w:tc>
        <w:tc>
          <w:tcPr>
            <w:tcW w:w="438" w:type="pct"/>
            <w:tcBorders>
              <w:top w:val="single" w:sz="4" w:space="0" w:color="auto"/>
              <w:left w:val="single" w:sz="4" w:space="0" w:color="auto"/>
              <w:bottom w:val="single" w:sz="4" w:space="0" w:color="auto"/>
              <w:right w:val="single" w:sz="4" w:space="0" w:color="auto"/>
            </w:tcBorders>
          </w:tcPr>
          <w:p w14:paraId="458A621C" w14:textId="77777777" w:rsidR="00A16DDB" w:rsidRPr="00D95127" w:rsidRDefault="00A16DDB" w:rsidP="007A627A">
            <w:pPr>
              <w:jc w:val="center"/>
              <w:rPr>
                <w:rFonts w:cs="Times New Roman"/>
                <w:b/>
                <w:color w:val="000000"/>
                <w:sz w:val="20"/>
                <w:szCs w:val="20"/>
                <w:lang w:val="cs-CZ"/>
              </w:rPr>
            </w:pPr>
            <w:r w:rsidRPr="00D95127">
              <w:rPr>
                <w:rFonts w:cs="Times New Roman"/>
                <w:b/>
                <w:color w:val="000000"/>
                <w:sz w:val="20"/>
                <w:szCs w:val="20"/>
                <w:lang w:val="cs-CZ"/>
              </w:rPr>
              <w:t>Stáří porostu</w:t>
            </w:r>
          </w:p>
        </w:tc>
        <w:tc>
          <w:tcPr>
            <w:tcW w:w="458" w:type="pct"/>
            <w:tcBorders>
              <w:top w:val="single" w:sz="4" w:space="0" w:color="auto"/>
              <w:left w:val="single" w:sz="4" w:space="0" w:color="auto"/>
              <w:bottom w:val="single" w:sz="4" w:space="0" w:color="auto"/>
              <w:right w:val="single" w:sz="4" w:space="0" w:color="auto"/>
            </w:tcBorders>
            <w:vAlign w:val="center"/>
          </w:tcPr>
          <w:p w14:paraId="68E29E5E" w14:textId="77777777" w:rsidR="00A16DDB" w:rsidRPr="00D95127" w:rsidRDefault="00A16DDB" w:rsidP="007A627A">
            <w:pPr>
              <w:jc w:val="center"/>
              <w:rPr>
                <w:rFonts w:cs="Times New Roman"/>
                <w:b/>
                <w:color w:val="000000"/>
                <w:sz w:val="20"/>
                <w:szCs w:val="20"/>
                <w:lang w:val="cs-CZ"/>
              </w:rPr>
            </w:pPr>
            <w:r w:rsidRPr="00D95127">
              <w:rPr>
                <w:rFonts w:cs="Times New Roman"/>
                <w:b/>
                <w:color w:val="000000"/>
                <w:sz w:val="20"/>
                <w:szCs w:val="20"/>
                <w:lang w:val="cs-CZ"/>
              </w:rPr>
              <w:t>Žatecko (ha)</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E25FF4" w14:textId="77777777" w:rsidR="00A16DDB" w:rsidRPr="00D95127" w:rsidRDefault="00A16DDB" w:rsidP="007A627A">
            <w:pPr>
              <w:jc w:val="center"/>
              <w:rPr>
                <w:rFonts w:cs="Times New Roman"/>
                <w:b/>
                <w:color w:val="000000"/>
                <w:sz w:val="20"/>
                <w:szCs w:val="20"/>
                <w:lang w:val="cs-CZ"/>
              </w:rPr>
            </w:pPr>
            <w:r w:rsidRPr="00D95127">
              <w:rPr>
                <w:rFonts w:cs="Times New Roman"/>
                <w:b/>
                <w:color w:val="000000"/>
                <w:sz w:val="20"/>
                <w:szCs w:val="20"/>
                <w:lang w:val="cs-CZ"/>
              </w:rPr>
              <w:t>%</w:t>
            </w:r>
          </w:p>
        </w:tc>
        <w:tc>
          <w:tcPr>
            <w:tcW w:w="450" w:type="pct"/>
            <w:tcBorders>
              <w:top w:val="single" w:sz="4" w:space="0" w:color="auto"/>
              <w:left w:val="single" w:sz="4" w:space="0" w:color="auto"/>
              <w:bottom w:val="single" w:sz="4" w:space="0" w:color="auto"/>
              <w:right w:val="single" w:sz="4" w:space="0" w:color="auto"/>
            </w:tcBorders>
            <w:vAlign w:val="center"/>
          </w:tcPr>
          <w:p w14:paraId="7F87EB61" w14:textId="77777777" w:rsidR="00A16DDB" w:rsidRPr="00D95127" w:rsidRDefault="00A16DDB" w:rsidP="007A627A">
            <w:pPr>
              <w:jc w:val="center"/>
              <w:rPr>
                <w:rFonts w:cs="Times New Roman"/>
                <w:b/>
                <w:color w:val="000000"/>
                <w:sz w:val="20"/>
                <w:szCs w:val="20"/>
                <w:lang w:val="cs-CZ"/>
              </w:rPr>
            </w:pPr>
            <w:r w:rsidRPr="00D95127">
              <w:rPr>
                <w:rFonts w:cs="Times New Roman"/>
                <w:b/>
                <w:color w:val="000000"/>
                <w:sz w:val="20"/>
                <w:szCs w:val="20"/>
                <w:lang w:val="cs-CZ"/>
              </w:rPr>
              <w:t>Úštěcko (ha)</w:t>
            </w:r>
          </w:p>
        </w:tc>
        <w:tc>
          <w:tcPr>
            <w:tcW w:w="329" w:type="pct"/>
            <w:tcBorders>
              <w:top w:val="single" w:sz="4" w:space="0" w:color="auto"/>
              <w:left w:val="single" w:sz="4" w:space="0" w:color="auto"/>
              <w:bottom w:val="single" w:sz="4" w:space="0" w:color="auto"/>
              <w:right w:val="single" w:sz="4" w:space="0" w:color="auto"/>
            </w:tcBorders>
            <w:vAlign w:val="center"/>
          </w:tcPr>
          <w:p w14:paraId="1C5DDCFB" w14:textId="77777777" w:rsidR="00A16DDB" w:rsidRPr="00D95127" w:rsidRDefault="00A16DDB" w:rsidP="007A627A">
            <w:pPr>
              <w:jc w:val="center"/>
              <w:rPr>
                <w:rFonts w:cs="Times New Roman"/>
                <w:b/>
                <w:color w:val="000000"/>
                <w:sz w:val="20"/>
                <w:szCs w:val="20"/>
                <w:lang w:val="cs-CZ"/>
              </w:rPr>
            </w:pPr>
            <w:r w:rsidRPr="00D95127">
              <w:rPr>
                <w:rFonts w:cs="Times New Roman"/>
                <w:b/>
                <w:color w:val="000000"/>
                <w:sz w:val="20"/>
                <w:szCs w:val="20"/>
                <w:lang w:val="cs-CZ"/>
              </w:rPr>
              <w:t>%</w:t>
            </w:r>
          </w:p>
        </w:tc>
        <w:tc>
          <w:tcPr>
            <w:tcW w:w="6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F33CA8" w14:textId="77777777" w:rsidR="00A16DDB" w:rsidRPr="00D95127" w:rsidRDefault="00A16DDB" w:rsidP="007A627A">
            <w:pPr>
              <w:jc w:val="center"/>
              <w:rPr>
                <w:rFonts w:cs="Times New Roman"/>
                <w:b/>
                <w:color w:val="000000"/>
                <w:sz w:val="20"/>
                <w:szCs w:val="20"/>
                <w:lang w:val="cs-CZ"/>
              </w:rPr>
            </w:pPr>
            <w:r w:rsidRPr="00D95127">
              <w:rPr>
                <w:rFonts w:cs="Times New Roman"/>
                <w:b/>
                <w:color w:val="000000"/>
                <w:sz w:val="20"/>
                <w:szCs w:val="20"/>
                <w:lang w:val="cs-CZ"/>
              </w:rPr>
              <w:t>Tršicko (ha)</w:t>
            </w:r>
          </w:p>
        </w:tc>
        <w:tc>
          <w:tcPr>
            <w:tcW w:w="329" w:type="pct"/>
            <w:tcBorders>
              <w:top w:val="single" w:sz="4" w:space="0" w:color="auto"/>
              <w:left w:val="single" w:sz="4" w:space="0" w:color="auto"/>
              <w:bottom w:val="single" w:sz="4" w:space="0" w:color="auto"/>
              <w:right w:val="single" w:sz="4" w:space="0" w:color="auto"/>
            </w:tcBorders>
            <w:vAlign w:val="center"/>
          </w:tcPr>
          <w:p w14:paraId="296AF111" w14:textId="77777777" w:rsidR="00A16DDB" w:rsidRPr="00D95127" w:rsidRDefault="00A16DDB" w:rsidP="007A627A">
            <w:pPr>
              <w:jc w:val="center"/>
              <w:rPr>
                <w:rFonts w:cs="Times New Roman"/>
                <w:b/>
                <w:color w:val="000000"/>
                <w:sz w:val="20"/>
                <w:szCs w:val="20"/>
                <w:lang w:val="cs-CZ"/>
              </w:rPr>
            </w:pPr>
            <w:r w:rsidRPr="00D95127">
              <w:rPr>
                <w:rFonts w:cs="Times New Roman"/>
                <w:b/>
                <w:color w:val="000000"/>
                <w:sz w:val="20"/>
                <w:szCs w:val="20"/>
                <w:lang w:val="cs-CZ"/>
              </w:rPr>
              <w:t>%</w:t>
            </w:r>
          </w:p>
        </w:tc>
        <w:tc>
          <w:tcPr>
            <w:tcW w:w="4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AEF292" w14:textId="77777777" w:rsidR="00A16DDB" w:rsidRPr="00D95127" w:rsidRDefault="00A16DDB" w:rsidP="007A627A">
            <w:pPr>
              <w:jc w:val="center"/>
              <w:rPr>
                <w:rFonts w:cs="Times New Roman"/>
                <w:b/>
                <w:color w:val="000000"/>
                <w:sz w:val="20"/>
                <w:szCs w:val="20"/>
                <w:lang w:val="cs-CZ"/>
              </w:rPr>
            </w:pPr>
            <w:r w:rsidRPr="00D95127">
              <w:rPr>
                <w:rFonts w:cs="Times New Roman"/>
                <w:b/>
                <w:color w:val="000000"/>
                <w:sz w:val="20"/>
                <w:szCs w:val="20"/>
                <w:lang w:val="cs-CZ"/>
              </w:rPr>
              <w:t>ČR (ha)</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9C72E8" w14:textId="77777777" w:rsidR="00A16DDB" w:rsidRPr="00D95127" w:rsidRDefault="00A16DDB" w:rsidP="007A627A">
            <w:pPr>
              <w:jc w:val="center"/>
              <w:rPr>
                <w:rFonts w:cs="Times New Roman"/>
                <w:b/>
                <w:color w:val="000000"/>
                <w:sz w:val="20"/>
                <w:szCs w:val="20"/>
                <w:lang w:val="cs-CZ"/>
              </w:rPr>
            </w:pPr>
            <w:r w:rsidRPr="00D95127">
              <w:rPr>
                <w:rFonts w:cs="Times New Roman"/>
                <w:b/>
                <w:color w:val="000000"/>
                <w:sz w:val="20"/>
                <w:szCs w:val="20"/>
                <w:lang w:val="cs-CZ"/>
              </w:rPr>
              <w:t>%</w:t>
            </w:r>
          </w:p>
        </w:tc>
      </w:tr>
      <w:tr w:rsidR="00A16DDB" w:rsidRPr="00D95127" w14:paraId="1A3808A1" w14:textId="77777777" w:rsidTr="007A627A">
        <w:trPr>
          <w:trHeight w:val="300"/>
        </w:trPr>
        <w:tc>
          <w:tcPr>
            <w:tcW w:w="122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F53977"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do 2000</w:t>
            </w:r>
          </w:p>
        </w:tc>
        <w:tc>
          <w:tcPr>
            <w:tcW w:w="438" w:type="pct"/>
            <w:tcBorders>
              <w:top w:val="single" w:sz="4" w:space="0" w:color="auto"/>
              <w:left w:val="single" w:sz="4" w:space="0" w:color="auto"/>
              <w:bottom w:val="single" w:sz="4" w:space="0" w:color="auto"/>
              <w:right w:val="single" w:sz="4" w:space="0" w:color="auto"/>
            </w:tcBorders>
          </w:tcPr>
          <w:p w14:paraId="13AA5041"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20 a víc</w:t>
            </w:r>
          </w:p>
        </w:tc>
        <w:tc>
          <w:tcPr>
            <w:tcW w:w="458" w:type="pct"/>
            <w:tcBorders>
              <w:top w:val="single" w:sz="4" w:space="0" w:color="auto"/>
              <w:left w:val="single" w:sz="4" w:space="0" w:color="auto"/>
              <w:bottom w:val="single" w:sz="4" w:space="0" w:color="auto"/>
              <w:right w:val="single" w:sz="4" w:space="0" w:color="auto"/>
            </w:tcBorders>
            <w:vAlign w:val="center"/>
          </w:tcPr>
          <w:p w14:paraId="07D58A6C"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3 116</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2C00EE"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71,6</w:t>
            </w:r>
          </w:p>
        </w:tc>
        <w:tc>
          <w:tcPr>
            <w:tcW w:w="450" w:type="pct"/>
            <w:tcBorders>
              <w:top w:val="single" w:sz="4" w:space="0" w:color="auto"/>
              <w:left w:val="single" w:sz="4" w:space="0" w:color="auto"/>
              <w:bottom w:val="single" w:sz="4" w:space="0" w:color="auto"/>
              <w:right w:val="single" w:sz="4" w:space="0" w:color="auto"/>
            </w:tcBorders>
            <w:vAlign w:val="center"/>
          </w:tcPr>
          <w:p w14:paraId="012C6253"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454</w:t>
            </w:r>
          </w:p>
        </w:tc>
        <w:tc>
          <w:tcPr>
            <w:tcW w:w="329" w:type="pct"/>
            <w:tcBorders>
              <w:top w:val="single" w:sz="4" w:space="0" w:color="auto"/>
              <w:left w:val="single" w:sz="4" w:space="0" w:color="auto"/>
              <w:bottom w:val="single" w:sz="4" w:space="0" w:color="auto"/>
              <w:right w:val="single" w:sz="4" w:space="0" w:color="auto"/>
            </w:tcBorders>
            <w:vAlign w:val="center"/>
          </w:tcPr>
          <w:p w14:paraId="1EC4BA4C"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72,1</w:t>
            </w:r>
          </w:p>
        </w:tc>
        <w:tc>
          <w:tcPr>
            <w:tcW w:w="6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2BB0EA"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452</w:t>
            </w:r>
          </w:p>
        </w:tc>
        <w:tc>
          <w:tcPr>
            <w:tcW w:w="329" w:type="pct"/>
            <w:tcBorders>
              <w:top w:val="single" w:sz="4" w:space="0" w:color="auto"/>
              <w:left w:val="single" w:sz="4" w:space="0" w:color="auto"/>
              <w:bottom w:val="single" w:sz="4" w:space="0" w:color="auto"/>
              <w:right w:val="single" w:sz="4" w:space="0" w:color="auto"/>
            </w:tcBorders>
            <w:vAlign w:val="center"/>
          </w:tcPr>
          <w:p w14:paraId="332EF0A7"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69,4</w:t>
            </w:r>
          </w:p>
        </w:tc>
        <w:tc>
          <w:tcPr>
            <w:tcW w:w="4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D30306"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4 022</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27B42C"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71,4</w:t>
            </w:r>
          </w:p>
        </w:tc>
      </w:tr>
      <w:tr w:rsidR="00A16DDB" w:rsidRPr="00D95127" w14:paraId="122CACDF" w14:textId="77777777" w:rsidTr="007A627A">
        <w:trPr>
          <w:trHeight w:val="300"/>
        </w:trPr>
        <w:tc>
          <w:tcPr>
            <w:tcW w:w="122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AFB9B7"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2001 - 2005</w:t>
            </w:r>
          </w:p>
        </w:tc>
        <w:tc>
          <w:tcPr>
            <w:tcW w:w="438" w:type="pct"/>
            <w:tcBorders>
              <w:top w:val="single" w:sz="4" w:space="0" w:color="auto"/>
              <w:left w:val="single" w:sz="4" w:space="0" w:color="auto"/>
              <w:bottom w:val="single" w:sz="4" w:space="0" w:color="auto"/>
              <w:right w:val="single" w:sz="4" w:space="0" w:color="auto"/>
            </w:tcBorders>
          </w:tcPr>
          <w:p w14:paraId="5A748848"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15-19</w:t>
            </w:r>
          </w:p>
        </w:tc>
        <w:tc>
          <w:tcPr>
            <w:tcW w:w="458" w:type="pct"/>
            <w:tcBorders>
              <w:top w:val="single" w:sz="4" w:space="0" w:color="auto"/>
              <w:left w:val="single" w:sz="4" w:space="0" w:color="auto"/>
              <w:bottom w:val="single" w:sz="4" w:space="0" w:color="auto"/>
              <w:right w:val="single" w:sz="4" w:space="0" w:color="auto"/>
            </w:tcBorders>
            <w:vAlign w:val="center"/>
          </w:tcPr>
          <w:p w14:paraId="439D1416"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342</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187957"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7,8</w:t>
            </w:r>
          </w:p>
        </w:tc>
        <w:tc>
          <w:tcPr>
            <w:tcW w:w="450" w:type="pct"/>
            <w:tcBorders>
              <w:top w:val="single" w:sz="4" w:space="0" w:color="auto"/>
              <w:left w:val="single" w:sz="4" w:space="0" w:color="auto"/>
              <w:bottom w:val="single" w:sz="4" w:space="0" w:color="auto"/>
              <w:right w:val="single" w:sz="4" w:space="0" w:color="auto"/>
            </w:tcBorders>
            <w:vAlign w:val="center"/>
          </w:tcPr>
          <w:p w14:paraId="51F3E748"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31</w:t>
            </w:r>
          </w:p>
        </w:tc>
        <w:tc>
          <w:tcPr>
            <w:tcW w:w="329" w:type="pct"/>
            <w:tcBorders>
              <w:top w:val="single" w:sz="4" w:space="0" w:color="auto"/>
              <w:left w:val="single" w:sz="4" w:space="0" w:color="auto"/>
              <w:bottom w:val="single" w:sz="4" w:space="0" w:color="auto"/>
              <w:right w:val="single" w:sz="4" w:space="0" w:color="auto"/>
            </w:tcBorders>
            <w:vAlign w:val="center"/>
          </w:tcPr>
          <w:p w14:paraId="14FC858F"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4,9</w:t>
            </w:r>
          </w:p>
        </w:tc>
        <w:tc>
          <w:tcPr>
            <w:tcW w:w="6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9C6E9B"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30</w:t>
            </w:r>
          </w:p>
        </w:tc>
        <w:tc>
          <w:tcPr>
            <w:tcW w:w="329" w:type="pct"/>
            <w:tcBorders>
              <w:top w:val="single" w:sz="4" w:space="0" w:color="auto"/>
              <w:left w:val="single" w:sz="4" w:space="0" w:color="auto"/>
              <w:bottom w:val="single" w:sz="4" w:space="0" w:color="auto"/>
              <w:right w:val="single" w:sz="4" w:space="0" w:color="auto"/>
            </w:tcBorders>
            <w:vAlign w:val="center"/>
          </w:tcPr>
          <w:p w14:paraId="2A4BF7DE"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4,6</w:t>
            </w:r>
          </w:p>
        </w:tc>
        <w:tc>
          <w:tcPr>
            <w:tcW w:w="4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70C508"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403</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43A563"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7,2</w:t>
            </w:r>
          </w:p>
        </w:tc>
      </w:tr>
      <w:tr w:rsidR="00A16DDB" w:rsidRPr="00D95127" w14:paraId="7064DF5A" w14:textId="77777777" w:rsidTr="007A627A">
        <w:trPr>
          <w:trHeight w:val="300"/>
        </w:trPr>
        <w:tc>
          <w:tcPr>
            <w:tcW w:w="122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F09BAF"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2006 - 2010</w:t>
            </w:r>
          </w:p>
        </w:tc>
        <w:tc>
          <w:tcPr>
            <w:tcW w:w="438" w:type="pct"/>
            <w:tcBorders>
              <w:top w:val="single" w:sz="4" w:space="0" w:color="auto"/>
              <w:left w:val="single" w:sz="4" w:space="0" w:color="auto"/>
              <w:bottom w:val="single" w:sz="4" w:space="0" w:color="auto"/>
              <w:right w:val="single" w:sz="4" w:space="0" w:color="auto"/>
            </w:tcBorders>
          </w:tcPr>
          <w:p w14:paraId="67917D03"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10-14</w:t>
            </w:r>
          </w:p>
        </w:tc>
        <w:tc>
          <w:tcPr>
            <w:tcW w:w="458" w:type="pct"/>
            <w:tcBorders>
              <w:top w:val="single" w:sz="4" w:space="0" w:color="auto"/>
              <w:left w:val="single" w:sz="4" w:space="0" w:color="auto"/>
              <w:bottom w:val="single" w:sz="4" w:space="0" w:color="auto"/>
              <w:right w:val="single" w:sz="4" w:space="0" w:color="auto"/>
            </w:tcBorders>
            <w:vAlign w:val="center"/>
          </w:tcPr>
          <w:p w14:paraId="5375C045"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248</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5DEB49"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5,7</w:t>
            </w:r>
          </w:p>
        </w:tc>
        <w:tc>
          <w:tcPr>
            <w:tcW w:w="450" w:type="pct"/>
            <w:tcBorders>
              <w:top w:val="single" w:sz="4" w:space="0" w:color="auto"/>
              <w:left w:val="single" w:sz="4" w:space="0" w:color="auto"/>
              <w:bottom w:val="single" w:sz="4" w:space="0" w:color="auto"/>
              <w:right w:val="single" w:sz="4" w:space="0" w:color="auto"/>
            </w:tcBorders>
            <w:vAlign w:val="center"/>
          </w:tcPr>
          <w:p w14:paraId="19182FA8"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48</w:t>
            </w:r>
          </w:p>
        </w:tc>
        <w:tc>
          <w:tcPr>
            <w:tcW w:w="329" w:type="pct"/>
            <w:tcBorders>
              <w:top w:val="single" w:sz="4" w:space="0" w:color="auto"/>
              <w:left w:val="single" w:sz="4" w:space="0" w:color="auto"/>
              <w:bottom w:val="single" w:sz="4" w:space="0" w:color="auto"/>
              <w:right w:val="single" w:sz="4" w:space="0" w:color="auto"/>
            </w:tcBorders>
            <w:vAlign w:val="center"/>
          </w:tcPr>
          <w:p w14:paraId="4FE8F53B"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7,7</w:t>
            </w:r>
          </w:p>
        </w:tc>
        <w:tc>
          <w:tcPr>
            <w:tcW w:w="6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14B0ED"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25</w:t>
            </w:r>
          </w:p>
        </w:tc>
        <w:tc>
          <w:tcPr>
            <w:tcW w:w="329" w:type="pct"/>
            <w:tcBorders>
              <w:top w:val="single" w:sz="4" w:space="0" w:color="auto"/>
              <w:left w:val="single" w:sz="4" w:space="0" w:color="auto"/>
              <w:bottom w:val="single" w:sz="4" w:space="0" w:color="auto"/>
              <w:right w:val="single" w:sz="4" w:space="0" w:color="auto"/>
            </w:tcBorders>
            <w:vAlign w:val="center"/>
          </w:tcPr>
          <w:p w14:paraId="2FD43B6E"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3,8</w:t>
            </w:r>
          </w:p>
        </w:tc>
        <w:tc>
          <w:tcPr>
            <w:tcW w:w="4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F8C1CD"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321</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2FC352"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5,7</w:t>
            </w:r>
          </w:p>
        </w:tc>
      </w:tr>
      <w:tr w:rsidR="00A16DDB" w:rsidRPr="00D95127" w14:paraId="29C142EF" w14:textId="77777777" w:rsidTr="007A627A">
        <w:trPr>
          <w:trHeight w:val="300"/>
        </w:trPr>
        <w:tc>
          <w:tcPr>
            <w:tcW w:w="122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D9733C"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2011 - 2015</w:t>
            </w:r>
          </w:p>
        </w:tc>
        <w:tc>
          <w:tcPr>
            <w:tcW w:w="438" w:type="pct"/>
            <w:tcBorders>
              <w:top w:val="single" w:sz="4" w:space="0" w:color="auto"/>
              <w:left w:val="single" w:sz="4" w:space="0" w:color="auto"/>
              <w:bottom w:val="single" w:sz="4" w:space="0" w:color="auto"/>
              <w:right w:val="single" w:sz="4" w:space="0" w:color="auto"/>
            </w:tcBorders>
          </w:tcPr>
          <w:p w14:paraId="7926A23B"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5-9</w:t>
            </w:r>
          </w:p>
        </w:tc>
        <w:tc>
          <w:tcPr>
            <w:tcW w:w="458" w:type="pct"/>
            <w:tcBorders>
              <w:top w:val="single" w:sz="4" w:space="0" w:color="auto"/>
              <w:left w:val="single" w:sz="4" w:space="0" w:color="auto"/>
              <w:bottom w:val="single" w:sz="4" w:space="0" w:color="auto"/>
              <w:right w:val="single" w:sz="4" w:space="0" w:color="auto"/>
            </w:tcBorders>
            <w:vAlign w:val="center"/>
          </w:tcPr>
          <w:p w14:paraId="5A2A9EAE"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250</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164CC2"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5,7</w:t>
            </w:r>
          </w:p>
        </w:tc>
        <w:tc>
          <w:tcPr>
            <w:tcW w:w="450" w:type="pct"/>
            <w:tcBorders>
              <w:top w:val="single" w:sz="4" w:space="0" w:color="auto"/>
              <w:left w:val="single" w:sz="4" w:space="0" w:color="auto"/>
              <w:bottom w:val="single" w:sz="4" w:space="0" w:color="auto"/>
              <w:right w:val="single" w:sz="4" w:space="0" w:color="auto"/>
            </w:tcBorders>
            <w:vAlign w:val="center"/>
          </w:tcPr>
          <w:p w14:paraId="628B7642"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46</w:t>
            </w:r>
          </w:p>
        </w:tc>
        <w:tc>
          <w:tcPr>
            <w:tcW w:w="329" w:type="pct"/>
            <w:tcBorders>
              <w:top w:val="single" w:sz="4" w:space="0" w:color="auto"/>
              <w:left w:val="single" w:sz="4" w:space="0" w:color="auto"/>
              <w:bottom w:val="single" w:sz="4" w:space="0" w:color="auto"/>
              <w:right w:val="single" w:sz="4" w:space="0" w:color="auto"/>
            </w:tcBorders>
            <w:vAlign w:val="center"/>
          </w:tcPr>
          <w:p w14:paraId="1B449C45"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7,4</w:t>
            </w:r>
          </w:p>
        </w:tc>
        <w:tc>
          <w:tcPr>
            <w:tcW w:w="6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2BB1D3"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55</w:t>
            </w:r>
          </w:p>
        </w:tc>
        <w:tc>
          <w:tcPr>
            <w:tcW w:w="329" w:type="pct"/>
            <w:tcBorders>
              <w:top w:val="single" w:sz="4" w:space="0" w:color="auto"/>
              <w:left w:val="single" w:sz="4" w:space="0" w:color="auto"/>
              <w:bottom w:val="single" w:sz="4" w:space="0" w:color="auto"/>
              <w:right w:val="single" w:sz="4" w:space="0" w:color="auto"/>
            </w:tcBorders>
            <w:vAlign w:val="center"/>
          </w:tcPr>
          <w:p w14:paraId="5151AC51"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8,4</w:t>
            </w:r>
          </w:p>
        </w:tc>
        <w:tc>
          <w:tcPr>
            <w:tcW w:w="4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4C6FE6"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351</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6DA78B"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6,2</w:t>
            </w:r>
          </w:p>
        </w:tc>
      </w:tr>
      <w:tr w:rsidR="00A16DDB" w:rsidRPr="00D95127" w14:paraId="6835D083" w14:textId="77777777" w:rsidTr="007A627A">
        <w:trPr>
          <w:trHeight w:val="300"/>
        </w:trPr>
        <w:tc>
          <w:tcPr>
            <w:tcW w:w="122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319094"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2016 - 2020</w:t>
            </w:r>
          </w:p>
        </w:tc>
        <w:tc>
          <w:tcPr>
            <w:tcW w:w="438" w:type="pct"/>
            <w:tcBorders>
              <w:top w:val="single" w:sz="4" w:space="0" w:color="auto"/>
              <w:left w:val="single" w:sz="4" w:space="0" w:color="auto"/>
              <w:bottom w:val="single" w:sz="4" w:space="0" w:color="auto"/>
              <w:right w:val="single" w:sz="4" w:space="0" w:color="auto"/>
            </w:tcBorders>
          </w:tcPr>
          <w:p w14:paraId="66848216" w14:textId="77777777" w:rsidR="00A16DDB" w:rsidRPr="00D95127" w:rsidRDefault="00A16DDB" w:rsidP="007A627A">
            <w:pPr>
              <w:jc w:val="center"/>
              <w:rPr>
                <w:rFonts w:cs="Times New Roman"/>
                <w:color w:val="000000"/>
                <w:sz w:val="20"/>
                <w:szCs w:val="20"/>
                <w:lang w:val="cs-CZ"/>
              </w:rPr>
            </w:pPr>
            <w:r w:rsidRPr="00D95127">
              <w:rPr>
                <w:rFonts w:cs="Times New Roman"/>
                <w:color w:val="000000"/>
                <w:sz w:val="20"/>
                <w:szCs w:val="20"/>
                <w:lang w:val="cs-CZ"/>
              </w:rPr>
              <w:t>do 5 let</w:t>
            </w:r>
          </w:p>
        </w:tc>
        <w:tc>
          <w:tcPr>
            <w:tcW w:w="458" w:type="pct"/>
            <w:tcBorders>
              <w:top w:val="single" w:sz="4" w:space="0" w:color="auto"/>
              <w:left w:val="single" w:sz="4" w:space="0" w:color="auto"/>
              <w:bottom w:val="single" w:sz="4" w:space="0" w:color="auto"/>
              <w:right w:val="single" w:sz="4" w:space="0" w:color="auto"/>
            </w:tcBorders>
            <w:vAlign w:val="center"/>
          </w:tcPr>
          <w:p w14:paraId="047F7DCE"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396</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0A0C52"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9,1</w:t>
            </w:r>
          </w:p>
        </w:tc>
        <w:tc>
          <w:tcPr>
            <w:tcW w:w="450" w:type="pct"/>
            <w:tcBorders>
              <w:top w:val="single" w:sz="4" w:space="0" w:color="auto"/>
              <w:left w:val="single" w:sz="4" w:space="0" w:color="auto"/>
              <w:bottom w:val="single" w:sz="4" w:space="0" w:color="auto"/>
              <w:right w:val="single" w:sz="4" w:space="0" w:color="auto"/>
            </w:tcBorders>
            <w:vAlign w:val="center"/>
          </w:tcPr>
          <w:p w14:paraId="5E878060"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51</w:t>
            </w:r>
          </w:p>
        </w:tc>
        <w:tc>
          <w:tcPr>
            <w:tcW w:w="329" w:type="pct"/>
            <w:tcBorders>
              <w:top w:val="single" w:sz="4" w:space="0" w:color="auto"/>
              <w:left w:val="single" w:sz="4" w:space="0" w:color="auto"/>
              <w:bottom w:val="single" w:sz="4" w:space="0" w:color="auto"/>
              <w:right w:val="single" w:sz="4" w:space="0" w:color="auto"/>
            </w:tcBorders>
            <w:vAlign w:val="center"/>
          </w:tcPr>
          <w:p w14:paraId="0F54D3DF"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8,0</w:t>
            </w:r>
          </w:p>
        </w:tc>
        <w:tc>
          <w:tcPr>
            <w:tcW w:w="6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50C231"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90</w:t>
            </w:r>
          </w:p>
        </w:tc>
        <w:tc>
          <w:tcPr>
            <w:tcW w:w="329" w:type="pct"/>
            <w:tcBorders>
              <w:top w:val="single" w:sz="4" w:space="0" w:color="auto"/>
              <w:left w:val="single" w:sz="4" w:space="0" w:color="auto"/>
              <w:bottom w:val="single" w:sz="4" w:space="0" w:color="auto"/>
              <w:right w:val="single" w:sz="4" w:space="0" w:color="auto"/>
            </w:tcBorders>
            <w:vAlign w:val="center"/>
          </w:tcPr>
          <w:p w14:paraId="6936A3C5"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13,8</w:t>
            </w:r>
          </w:p>
        </w:tc>
        <w:tc>
          <w:tcPr>
            <w:tcW w:w="4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35B1D4" w14:textId="77777777" w:rsidR="00A16DDB" w:rsidRPr="00D95127" w:rsidRDefault="00A16DDB" w:rsidP="007A627A">
            <w:pPr>
              <w:tabs>
                <w:tab w:val="decimal" w:pos="425"/>
              </w:tabs>
              <w:rPr>
                <w:rFonts w:cs="Times New Roman"/>
                <w:sz w:val="20"/>
                <w:szCs w:val="20"/>
                <w:lang w:val="cs-CZ"/>
              </w:rPr>
            </w:pPr>
            <w:r w:rsidRPr="00D95127">
              <w:rPr>
                <w:rFonts w:cs="Times New Roman"/>
                <w:sz w:val="20"/>
                <w:szCs w:val="20"/>
                <w:lang w:val="cs-CZ"/>
              </w:rPr>
              <w:t xml:space="preserve">    538</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F3F61E"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9,6</w:t>
            </w:r>
          </w:p>
        </w:tc>
      </w:tr>
      <w:tr w:rsidR="00A16DDB" w:rsidRPr="00D95127" w14:paraId="74E8BB05" w14:textId="77777777" w:rsidTr="007A627A">
        <w:trPr>
          <w:trHeight w:val="300"/>
        </w:trPr>
        <w:tc>
          <w:tcPr>
            <w:tcW w:w="122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8D15D7" w14:textId="77777777" w:rsidR="00A16DDB" w:rsidRPr="00D95127" w:rsidRDefault="00A16DDB" w:rsidP="007A627A">
            <w:pPr>
              <w:rPr>
                <w:rFonts w:cs="Times New Roman"/>
                <w:b/>
                <w:color w:val="000000"/>
                <w:sz w:val="20"/>
                <w:szCs w:val="20"/>
                <w:lang w:val="cs-CZ"/>
              </w:rPr>
            </w:pPr>
            <w:r w:rsidRPr="00D95127">
              <w:rPr>
                <w:rFonts w:cs="Times New Roman"/>
                <w:b/>
                <w:color w:val="000000"/>
                <w:sz w:val="20"/>
                <w:szCs w:val="20"/>
                <w:lang w:val="cs-CZ"/>
              </w:rPr>
              <w:t>Celkem</w:t>
            </w:r>
          </w:p>
        </w:tc>
        <w:tc>
          <w:tcPr>
            <w:tcW w:w="438" w:type="pct"/>
            <w:tcBorders>
              <w:top w:val="single" w:sz="4" w:space="0" w:color="auto"/>
              <w:left w:val="single" w:sz="4" w:space="0" w:color="auto"/>
              <w:bottom w:val="single" w:sz="4" w:space="0" w:color="auto"/>
              <w:right w:val="single" w:sz="4" w:space="0" w:color="auto"/>
            </w:tcBorders>
          </w:tcPr>
          <w:p w14:paraId="068BDAA9" w14:textId="77777777" w:rsidR="00A16DDB" w:rsidRPr="00D95127" w:rsidRDefault="00A16DDB" w:rsidP="007A627A">
            <w:pPr>
              <w:jc w:val="center"/>
              <w:rPr>
                <w:rFonts w:cs="Times New Roman"/>
                <w:color w:val="000000"/>
                <w:sz w:val="20"/>
                <w:szCs w:val="20"/>
                <w:lang w:val="cs-CZ"/>
              </w:rPr>
            </w:pPr>
          </w:p>
        </w:tc>
        <w:tc>
          <w:tcPr>
            <w:tcW w:w="458" w:type="pct"/>
            <w:tcBorders>
              <w:top w:val="single" w:sz="4" w:space="0" w:color="auto"/>
              <w:left w:val="single" w:sz="4" w:space="0" w:color="auto"/>
              <w:bottom w:val="single" w:sz="4" w:space="0" w:color="auto"/>
              <w:right w:val="single" w:sz="4" w:space="0" w:color="auto"/>
            </w:tcBorders>
            <w:vAlign w:val="center"/>
          </w:tcPr>
          <w:p w14:paraId="3E503B1E"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4 354</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F8D0CE"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100,0</w:t>
            </w:r>
          </w:p>
        </w:tc>
        <w:tc>
          <w:tcPr>
            <w:tcW w:w="450" w:type="pct"/>
            <w:tcBorders>
              <w:top w:val="single" w:sz="4" w:space="0" w:color="auto"/>
              <w:left w:val="single" w:sz="4" w:space="0" w:color="auto"/>
              <w:bottom w:val="single" w:sz="4" w:space="0" w:color="auto"/>
              <w:right w:val="single" w:sz="4" w:space="0" w:color="auto"/>
            </w:tcBorders>
            <w:vAlign w:val="center"/>
          </w:tcPr>
          <w:p w14:paraId="326F3FAF"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630</w:t>
            </w:r>
          </w:p>
        </w:tc>
        <w:tc>
          <w:tcPr>
            <w:tcW w:w="329" w:type="pct"/>
            <w:tcBorders>
              <w:top w:val="single" w:sz="4" w:space="0" w:color="auto"/>
              <w:left w:val="single" w:sz="4" w:space="0" w:color="auto"/>
              <w:bottom w:val="single" w:sz="4" w:space="0" w:color="auto"/>
              <w:right w:val="single" w:sz="4" w:space="0" w:color="auto"/>
            </w:tcBorders>
            <w:vAlign w:val="center"/>
          </w:tcPr>
          <w:p w14:paraId="70EAF609"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100,0</w:t>
            </w:r>
          </w:p>
        </w:tc>
        <w:tc>
          <w:tcPr>
            <w:tcW w:w="6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EDB2D5"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651</w:t>
            </w:r>
          </w:p>
        </w:tc>
        <w:tc>
          <w:tcPr>
            <w:tcW w:w="329" w:type="pct"/>
            <w:tcBorders>
              <w:top w:val="single" w:sz="4" w:space="0" w:color="auto"/>
              <w:left w:val="single" w:sz="4" w:space="0" w:color="auto"/>
              <w:bottom w:val="single" w:sz="4" w:space="0" w:color="auto"/>
              <w:right w:val="single" w:sz="4" w:space="0" w:color="auto"/>
            </w:tcBorders>
            <w:vAlign w:val="center"/>
          </w:tcPr>
          <w:p w14:paraId="39F236B9"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100,0</w:t>
            </w:r>
          </w:p>
        </w:tc>
        <w:tc>
          <w:tcPr>
            <w:tcW w:w="4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2A2A88"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5 635</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AE61C0" w14:textId="77777777" w:rsidR="00A16DDB" w:rsidRPr="00D95127" w:rsidRDefault="00A16DDB" w:rsidP="007A627A">
            <w:pPr>
              <w:jc w:val="center"/>
              <w:rPr>
                <w:rFonts w:cs="Times New Roman"/>
                <w:sz w:val="20"/>
                <w:szCs w:val="20"/>
                <w:lang w:val="cs-CZ"/>
              </w:rPr>
            </w:pPr>
            <w:r w:rsidRPr="00D95127">
              <w:rPr>
                <w:rFonts w:cs="Times New Roman"/>
                <w:sz w:val="20"/>
                <w:szCs w:val="20"/>
                <w:lang w:val="cs-CZ"/>
              </w:rPr>
              <w:t>100,0</w:t>
            </w:r>
          </w:p>
        </w:tc>
      </w:tr>
    </w:tbl>
    <w:p w14:paraId="1F5B9878" w14:textId="77777777" w:rsidR="00A16DDB" w:rsidRPr="00D95127" w:rsidRDefault="00A16DDB" w:rsidP="001E771B">
      <w:pPr>
        <w:pStyle w:val="UZEIZdroj"/>
      </w:pPr>
      <w:r w:rsidRPr="00D95127">
        <w:t>Pramen: ÚKZÚZ</w:t>
      </w:r>
    </w:p>
    <w:p w14:paraId="17F4EB91" w14:textId="77777777" w:rsidR="00A16DDB" w:rsidRPr="00D95127" w:rsidRDefault="00A16DDB" w:rsidP="001E771B">
      <w:pPr>
        <w:pStyle w:val="UZEINormaln"/>
        <w:rPr>
          <w:rFonts w:cs="Times New Roman"/>
        </w:rPr>
      </w:pPr>
      <w:r w:rsidRPr="00D95127">
        <w:t>Výstavba chmelnic se ubírá cestou užívání lanových konstrukcí (náhrada za silné dráty) a náhradou dřevěných sloupů betonovými. Zkoumané pěstování chmele na nízkých konstrukcích je zatím brzděno nevyšlechtěním vhodné odrůdy pro tento způsob pěstování, i když její přednost v úspoře pracovních sil při jarních pracích je silným důvodem pro pokračování výzkumu. Úsporu nákladů s ohledem na nutnost investiční výstavby nových konstrukcí chmelnic pro novou odrůdu je v této chvíli obtížné vyčíslit.</w:t>
      </w:r>
    </w:p>
    <w:p w14:paraId="29FDE774" w14:textId="77777777" w:rsidR="00A16DDB" w:rsidRPr="00D95127" w:rsidRDefault="00A16DDB" w:rsidP="001E771B">
      <w:pPr>
        <w:pStyle w:val="UZEINormaln"/>
        <w:rPr>
          <w:rFonts w:cs="Times New Roman"/>
        </w:rPr>
      </w:pPr>
      <w:r w:rsidRPr="00D95127">
        <w:t>V současnosti je stáří technologií a techniky vysoké. V provozu jsou kolny, česačky a sušárny ze 70. – 80. let 20. stol. Pěstitelé v rámci svých možností investovali alespoň do jejich rekonstrukce a modernizace. Do budoucnosti jsou nutné rozsáhlejší investice zejména v oblasti sušárenství. Agrotechnika chmele je historickým vývojem daná, ale občas se objevují nové kultivační stroje s částečně zlepšenými parametry (průchodnost terénem, spotřeba PHM, pro určité druhy půd apod.). Velká pozornost je věnována rosičům (postřikovačům), jejichž dokonalé a dostatečně intenzivní rozprostření aplikovaného média po chmelové révě je zárukou udržení zdravého růstu při nízkém zatížení prostředí účinnou látkou a tím i vynaložení nižších nákladů na pořízení chemických ochranných prostředků. Dosud se nepodařilo zmechanizovat zavěšování chmelovodičů a zavádění chmelových výhonů na ně. Toto je stále ruční práce s vysokými nároky na počet pracovních sil disponibilních v daném krátkém časovém období. Výrobou techniky (sklízecí techniky, sušáren, seřezávačích strojů, kultivačního nářadí) se zabývá CHMELAŘSTVÍ, družstvo Žatec nebo nastupuje možnost dovozu ze zahraničí, zejména sousedního Německa. Podobné je to s výstavbou chmelnic, kde se však objevuje více subjektů schopných konstrukci postavit.</w:t>
      </w:r>
    </w:p>
    <w:p w14:paraId="0CA51573" w14:textId="77777777" w:rsidR="00A16DDB" w:rsidRPr="00D95127" w:rsidRDefault="00A16DDB" w:rsidP="001E771B">
      <w:pPr>
        <w:pStyle w:val="UZEINormaln"/>
        <w:rPr>
          <w:rFonts w:cs="Times New Roman"/>
        </w:rPr>
      </w:pPr>
      <w:r w:rsidRPr="00D95127">
        <w:t>Sklizeň chmele je mechanizovaná, (strhávání révy a její odvoz na česací stroje, sušení). Mechanizace pro pěstování a sklizeň chmele má velmi krátké využití v roce (2–4 týdny), protože se jedná o ryze speciální stroje, jejichž pořízení je relativně nákladné. Proto pěstitelé mají snahu co nejvíce využívat i starší techniku, i když se na ní projevuje morální opotřebení. Toto se zejména týká používání modernizovaných starých česacích strojů a komorových sušáren chmele, byť se technologie ubírá cestou pásových sušáren napojených v lince od česání až po lisování chmele a jeho umístění v klimatizovaných skladech. Pěstování chmele je minoritní záležitostí, výrobců těchto speciálních strojů není mnoho. Chmel patří mezi vůbec pracovně nejnáročnější plodiny u nás pěstované, na 1 hektar jeho výměry je potřeba více než dvacetinásobek celkového pracovního vstupu na 1 hektar pšenice (a více než šestinásobek ostatních přímých nákladů, což se návazně promítá do zaměstnanosti v odvětvích dodávajících tyto vstupy). Vysoká potřeba ruční práce, vyžadující zvýšené zaměstnávání sezonních pracovníků, je spojena především s jarními pěstebními pracemi, naproti tomu náročné sklizňové práce jsou prováděny s využitím moderní výkonné zemědělské techniky, již přímo obsluhují především kmenoví pracovníci zemědělských podniků. Přetrvávající nedostatečná nabídka pracovní síly v ČR v těchto sektorech zvyšuje významně nároky na zahraniční, vízem podmíněnou a současně sezónně orientovanou pracovní sílu. Transakční náklady na zahraniční sezónní pracovní sílu jsou obecně vysoké a současně zvyšují riziko pro tyto podniky (zdlouhavost a komplikovanost procesu). To se v některých případech projevuje nedostatečnou kvalitou odváděné práce, tak nemožností získat potřebný počet poptávaných pracovníků. Modernizace strojů je tedy určitým východiskem z této situace.</w:t>
      </w:r>
    </w:p>
    <w:p w14:paraId="34349B1E" w14:textId="77777777" w:rsidR="00A16DDB" w:rsidRPr="00D95127" w:rsidRDefault="00A16DDB" w:rsidP="001E771B">
      <w:pPr>
        <w:pStyle w:val="UZEINormaln"/>
        <w:rPr>
          <w:rFonts w:cs="Times New Roman"/>
        </w:rPr>
      </w:pPr>
      <w:r w:rsidRPr="00D95127">
        <w:t xml:space="preserve">Pěstitelé chmele na území České republiky se sdružují ve Svazu pěstitelů chmele České republiky. Nejvýznamnějším sdružením je CHMELAŘSTVÍ, družstvo Žatec, které je organizací sdružující v současné době 99 českých a moravských pěstitelů chmele hospodařících na 4 534 ha chmelnic, což je cca 96 % ploch chmelnic České republiky. Chmel je obchodován od pěstitele k několika obchodním partnerům na základě dlouhodobých smluv, které zajišťují jistou míru stability pěstitele při výkyvu produkce a ceny v jednotlivých letech. V případě nadúrody se na trh dostává tzv. volný chmel, kde cena odpovídá dané situaci na trhu. Teprve obchodník si zadává způsob zpracování a balení chmele ve vztahu k svým jednotlivým partnerům – spotřebitelům. Záleží na kvalitě obchodované produkce a šikovnosti pěstitele, jaké si dokáže dojednat smluvní podmínky. Vycházejme z toho, že pěstitelů chmele je v republice 116 a větších obchodních firem zhruba 6. </w:t>
      </w:r>
    </w:p>
    <w:p w14:paraId="612FAC88" w14:textId="77777777" w:rsidR="00A16DDB" w:rsidRPr="00D95127" w:rsidRDefault="00A16DDB" w:rsidP="001E771B">
      <w:pPr>
        <w:pStyle w:val="UZEINormaln"/>
        <w:rPr>
          <w:rFonts w:cs="Times New Roman"/>
        </w:rPr>
      </w:pPr>
      <w:r w:rsidRPr="00D95127">
        <w:t xml:space="preserve">Posledním faktorem je inovativnost produkce, resp. výrobních postupů. Na základě dotazníkového šetření směřovaného na zástupce profesních svazů vyplynulo, že informační potřeby speciální výroby chmele zajišťují Svaz pěstitelů chmele, Chmelařství, družstvo Žatec a Chmelařský institut s.r.o. Oblast poradenství s ohledem na specifikum oboru zajištují: Svaz pěstitelů chmele, Chmelařství družstvo a Chmelařský institut s.r.o., dále i privátní společnosti. Poradenství je obecně kvalitní, nicméně kvalifikovaných osob by mělo být zcela určitě více. S ohledem na úzce specializované zaměření (pěstování chmele) a minoritní rozsah komodity, je kvalitních odborníků/praktiků nedostatek. Nejčastěji mají pěstitelé zájem o poradenství v oblastech výběru odrůd, agrotechniky, ochrany a výživy chmele a také v oblasti dotační politiky. Členové svazu nejvíce postrádají možnosti dalšího vzdělávání v oborech péče o půdu a ochrany půdy, ochrany vod a prevence znečištění, přizpůsobení se změnám klimatu a modernizace a inovace v rostlinné výrobě. Z důvodu zajištění komplexního poradenství a podpory bylo založení Chmelařského institutu s.r.o. jako vědecko-výzkumné základny. Pěstitelé chmele si v minulosti uvědomovali důležitost vlastního ústavu pro tak specifický obor rostlinné výroby. Závislost na veřejných, soukromých, ale i mezinárodních organizacích tím velmi poklesla. Jen je potřeba takto zaběhlou praxi podporovat. V konečném důsledku je to nejefektivnější způsob zajištění transferu nejen pro zemědělské podnikatele, ale i nároků na veřejné financování. </w:t>
      </w:r>
    </w:p>
    <w:p w14:paraId="7CFAC70D" w14:textId="77777777" w:rsidR="00A16DDB" w:rsidRPr="00D95127" w:rsidRDefault="00A16DDB" w:rsidP="001E771B">
      <w:pPr>
        <w:pStyle w:val="UZEINormaln"/>
        <w:rPr>
          <w:rFonts w:cs="Times New Roman"/>
        </w:rPr>
      </w:pPr>
      <w:r w:rsidRPr="00D95127">
        <w:t>Přes tuto organizaci výzkumu považují za základní bariéry na straně výzkumu jeho zaměření na základní výzkum a malou orientaci výzkumu na praxi a také nedostatek expertů na danou oblast. Na straně zemědělské praxe jsou omezení pro účast z důvodu nedostatek kvalifikovaných pracovníků, kteří by dokázali využít tyto poznatky v zemědělské praxi a také ekonomické situace podniků.</w:t>
      </w:r>
    </w:p>
    <w:p w14:paraId="3BB34245" w14:textId="77777777" w:rsidR="00A16DDB" w:rsidRPr="00D95127" w:rsidRDefault="00A16DDB" w:rsidP="001E771B">
      <w:pPr>
        <w:pStyle w:val="UZEINormaln"/>
        <w:rPr>
          <w:rFonts w:cs="Times New Roman"/>
        </w:rPr>
      </w:pPr>
      <w:r w:rsidRPr="00D95127">
        <w:t>Uvedené strukturální slabiny v sektoru chmele výrazně ovlivňují rentabilitu této komodity a ekonomiku jednotlivých podniků. Podle nákladového šetření ÚZEI dosahovala souhrnná rentabilita i při započítání všech provozních podpor v převažujícím počtu let záporných hodnot. Náklady na tunu výrobku úzce souvisejí s úrovní výnosu. Při nízkých hektarových výnosech tak jsou náklady na tunu výrazně vyšší, což je u chmele případ let 2012 a 2015, třebaže úroveň nákladů na hektar se nemusí od ostatních let výrazně lišit. Naopak v případě vysokého výnosu, což je případ let 2010 a 2016, jsou náklady na tunu významně nižší.</w:t>
      </w:r>
    </w:p>
    <w:p w14:paraId="0C958EF7" w14:textId="77777777" w:rsidR="001E771B" w:rsidRDefault="001E771B">
      <w:pPr>
        <w:spacing w:after="160" w:line="259" w:lineRule="auto"/>
        <w:jc w:val="left"/>
        <w:rPr>
          <w:rFonts w:eastAsia="Times New Roman" w:cs="Arial"/>
          <w:b/>
          <w:color w:val="000000" w:themeColor="text1"/>
          <w:sz w:val="20"/>
          <w:szCs w:val="20"/>
          <w:lang w:val="cs-CZ" w:eastAsia="cs-CZ"/>
        </w:rPr>
      </w:pPr>
      <w:r>
        <w:br w:type="page"/>
      </w:r>
    </w:p>
    <w:p w14:paraId="67023757" w14:textId="6AE27453" w:rsidR="00A16DDB" w:rsidRPr="00D95127" w:rsidRDefault="00A16DDB" w:rsidP="001E771B">
      <w:pPr>
        <w:pStyle w:val="UZEITaB"/>
      </w:pPr>
      <w:bookmarkStart w:id="559" w:name="_Toc81738481"/>
      <w:r w:rsidRPr="00D95127">
        <w:t>Ekonomika pěstování chmele v letech 2011 až 2020</w:t>
      </w:r>
      <w:bookmarkEnd w:id="559"/>
    </w:p>
    <w:p w14:paraId="5B12027C" w14:textId="77777777" w:rsidR="00A16DDB" w:rsidRPr="00D95127" w:rsidRDefault="00A16DDB" w:rsidP="00A16DDB">
      <w:pPr>
        <w:rPr>
          <w:rFonts w:cs="Times New Roman"/>
          <w:lang w:val="cs-CZ" w:eastAsia="cs-CZ"/>
        </w:rPr>
      </w:pPr>
      <w:r w:rsidRPr="00D95127">
        <w:rPr>
          <w:rFonts w:cs="Times New Roman"/>
          <w:noProof/>
          <w:lang w:val="cs-CZ"/>
        </w:rPr>
        <w:drawing>
          <wp:inline distT="0" distB="0" distL="0" distR="0" wp14:anchorId="2E847A51" wp14:editId="2B554513">
            <wp:extent cx="5759450" cy="1713865"/>
            <wp:effectExtent l="0" t="0" r="0" b="635"/>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59450" cy="1713865"/>
                    </a:xfrm>
                    <a:prstGeom prst="rect">
                      <a:avLst/>
                    </a:prstGeom>
                    <a:noFill/>
                    <a:ln>
                      <a:noFill/>
                    </a:ln>
                  </pic:spPr>
                </pic:pic>
              </a:graphicData>
            </a:graphic>
          </wp:inline>
        </w:drawing>
      </w:r>
    </w:p>
    <w:p w14:paraId="6B7153CA" w14:textId="77777777" w:rsidR="00A16DDB" w:rsidRPr="00D95127" w:rsidRDefault="00A16DDB" w:rsidP="00355718">
      <w:pPr>
        <w:pStyle w:val="UZEINormaln"/>
        <w:rPr>
          <w:rFonts w:cs="Times New Roman"/>
        </w:rPr>
      </w:pPr>
      <w:r w:rsidRPr="00D95127">
        <w:t xml:space="preserve">Z hodnot nákladové rentability je patrné, že v letech 2009-2015 nepostačovala realizační cena k pokrytí vlastních nákladů výrobku a nákladová rentabilita se tak pohybovala v záporných číslech. Nejnižších hodnot bylo dosaženo v roce 2012, kdy nákladová rentabilita dosahovala výše -42,2 %, a to zejména vlivem výrazného zvýšení vlastních nákladů. Ani zohlednění poskytovaných podpor nepostačuje v některých letech sledovaného období k dosažení kladné míry celkové rentability. Od roku 2016, s výjimkou roku 2018 a 2020, dosahují rentability (nákladová rentabilita a souhrnná rentabilita (s dotacemi)) kladných hodnot. V roce 2020 bylo dosaženo kladné souhrnné rentability jen díky podporám CIS.   </w:t>
      </w:r>
    </w:p>
    <w:p w14:paraId="75A8555B" w14:textId="77777777" w:rsidR="00A16DDB" w:rsidRPr="00D95127" w:rsidRDefault="00A16DDB" w:rsidP="00355718">
      <w:pPr>
        <w:pStyle w:val="UZEINormaln"/>
        <w:rPr>
          <w:rFonts w:cs="Times New Roman"/>
        </w:rPr>
      </w:pPr>
      <w:r w:rsidRPr="00D95127">
        <w:t>K růstu a stabilitě ceny také přispěl zápis</w:t>
      </w:r>
      <w:r w:rsidRPr="00D95127">
        <w:rPr>
          <w:rFonts w:cs="Times New Roman"/>
          <w:vertAlign w:val="superscript"/>
        </w:rPr>
        <w:footnoteReference w:id="24"/>
      </w:r>
      <w:r w:rsidRPr="00D95127">
        <w:rPr>
          <w:rFonts w:cs="Times New Roman"/>
        </w:rPr>
        <w:t xml:space="preserve"> označení Žateckého chmele do Rejstříku chráněných označení původu a chráněných zeměpisných označení (PDO) a také větší poptávka po jemně aromatickém chmelu v souvislosti s rozvojem minipivovarů. Pěstitelský rok 2020 byl ovlivněn průběhem počasí a je hodnocen jako průměrný . Na cenu jemně aromatického chmele také působí úroveň produkce a vysoká konkurence v pěstování vysokoobsažných odrůd chmele.</w:t>
      </w:r>
    </w:p>
    <w:p w14:paraId="535EDDD8" w14:textId="77777777" w:rsidR="00C624B3" w:rsidRDefault="00C624B3">
      <w:pPr>
        <w:spacing w:after="160" w:line="259" w:lineRule="auto"/>
        <w:jc w:val="left"/>
        <w:rPr>
          <w:rFonts w:eastAsiaTheme="majorEastAsia" w:cs="Times New Roman"/>
          <w:b/>
          <w:bCs/>
          <w:sz w:val="28"/>
          <w:szCs w:val="32"/>
          <w:lang w:val="cs-CZ"/>
        </w:rPr>
      </w:pPr>
      <w:bookmarkStart w:id="560" w:name="_Toc15304072"/>
      <w:bookmarkStart w:id="561" w:name="_Toc23509889"/>
      <w:bookmarkStart w:id="562" w:name="_Toc76137395"/>
      <w:bookmarkStart w:id="563" w:name="_Toc76637594"/>
      <w:bookmarkStart w:id="564" w:name="_Toc80953273"/>
      <w:r>
        <w:br w:type="page"/>
      </w:r>
    </w:p>
    <w:p w14:paraId="55DF7054" w14:textId="0086EDD6" w:rsidR="00A16DDB" w:rsidRPr="00D95127" w:rsidRDefault="00A16DDB" w:rsidP="00355718">
      <w:pPr>
        <w:pStyle w:val="Nadpis1"/>
      </w:pPr>
      <w:bookmarkStart w:id="565" w:name="_Toc81739226"/>
      <w:r w:rsidRPr="00D95127">
        <w:t>Jak závažný je tento problém?</w:t>
      </w:r>
      <w:bookmarkEnd w:id="560"/>
      <w:bookmarkEnd w:id="561"/>
      <w:bookmarkEnd w:id="562"/>
      <w:bookmarkEnd w:id="563"/>
      <w:bookmarkEnd w:id="564"/>
      <w:bookmarkEnd w:id="565"/>
    </w:p>
    <w:p w14:paraId="77E5327C" w14:textId="77777777" w:rsidR="00A16DDB" w:rsidRPr="00D95127" w:rsidRDefault="00A16DDB" w:rsidP="00355718">
      <w:pPr>
        <w:pStyle w:val="UZEINormaln"/>
        <w:rPr>
          <w:rFonts w:cs="Times New Roman"/>
        </w:rPr>
      </w:pPr>
      <w:r w:rsidRPr="00D95127">
        <w:t xml:space="preserve">ČR má významnou konkurenční výhodu v pěstování chmele danou nejen specifickou odrůdou jemně aromatického chmele, ale také dlouhodobým pěstováním této plodiny, která se přenesla do kulturního rázu krajiny. </w:t>
      </w:r>
    </w:p>
    <w:p w14:paraId="2ECEB56F" w14:textId="77777777" w:rsidR="00A16DDB" w:rsidRPr="00D95127" w:rsidRDefault="00A16DDB" w:rsidP="00355718">
      <w:pPr>
        <w:pStyle w:val="UZEINormaln"/>
        <w:rPr>
          <w:rFonts w:cs="Times New Roman"/>
        </w:rPr>
      </w:pPr>
      <w:r w:rsidRPr="00D95127">
        <w:t xml:space="preserve">Udržení ploch chmelnic je velmi důležité pro zachování diverzity pěstování rostlinných komodit a rázu kulturní krajiny typické pro chmelařské oblasti. Sektor </w:t>
      </w:r>
      <w:r w:rsidRPr="00D95127">
        <w:rPr>
          <w:rFonts w:cs="Times New Roman"/>
        </w:rPr>
        <w:t>produkce chmele váže přibližně 1 450 zemědělských pracovníků, tj. 1,6 %</w:t>
      </w:r>
      <w:r w:rsidRPr="00D95127">
        <w:rPr>
          <w:rStyle w:val="Znakapoznpodarou"/>
        </w:rPr>
        <w:footnoteReference w:id="25"/>
      </w:r>
      <w:r w:rsidRPr="00D95127">
        <w:rPr>
          <w:rFonts w:cs="Times New Roman"/>
        </w:rPr>
        <w:t xml:space="preserve">. Na úrovni ČR další snížení produkce těchto sektorů nevyvolá sociální důsledky, ovšem lokálně může zvýšit nezaměstnanost v obcích a mikroregionech, především v Ústeckém kraji. Ztráta konkurenční pozice v případě chmele by znamenala prohloubení celkového salda agrárního zahraničního obchodu, přičemž aktuálně přispívá v rozsahu téměř 900 mil. Kč. </w:t>
      </w:r>
    </w:p>
    <w:p w14:paraId="4B133CDD" w14:textId="77777777" w:rsidR="00A16DDB" w:rsidRPr="00D95127" w:rsidRDefault="00A16DDB" w:rsidP="00355718">
      <w:pPr>
        <w:pStyle w:val="UZEINormaln"/>
        <w:rPr>
          <w:rFonts w:cs="Times New Roman"/>
        </w:rPr>
      </w:pPr>
      <w:r w:rsidRPr="00D95127">
        <w:t>Na produkci chmele je vázaná významná výzkumně-poradenská infrastruktura, která by při dalším poklesu rozsahu pěstování chmele v ČR byla omezena, což by zpětně reálně ohrozilo inovace v tomto sektoru.</w:t>
      </w:r>
    </w:p>
    <w:p w14:paraId="3C12C673" w14:textId="77777777" w:rsidR="00A16DDB" w:rsidRPr="00D95127" w:rsidRDefault="00A16DDB" w:rsidP="00355718">
      <w:pPr>
        <w:pStyle w:val="UZEINormaln"/>
        <w:rPr>
          <w:color w:val="000000"/>
        </w:rPr>
      </w:pPr>
      <w:r w:rsidRPr="00D95127">
        <w:rPr>
          <w:color w:val="000000"/>
        </w:rPr>
        <w:t xml:space="preserve">Podle vyjádření Svazu pěstitelů chmele, čeští pěstitelé chmele nemohou ovlivnit kvalitu finálního výrobků – piva, jehož kvalita je závislá na pivovaru. Posílení informovanosti veřejnosti a zlepšení míry propagace by pomohlo posílit pozici zemědělců a zvýšit povědomí spotřebitelů o kvalitě českého chmele. </w:t>
      </w:r>
    </w:p>
    <w:p w14:paraId="11C858DB" w14:textId="77777777" w:rsidR="00C624B3" w:rsidRDefault="00C624B3">
      <w:pPr>
        <w:spacing w:after="160" w:line="259" w:lineRule="auto"/>
        <w:jc w:val="left"/>
        <w:rPr>
          <w:rFonts w:eastAsiaTheme="majorEastAsia" w:cs="Times New Roman"/>
          <w:b/>
          <w:bCs/>
          <w:sz w:val="28"/>
          <w:szCs w:val="32"/>
          <w:lang w:val="cs-CZ"/>
        </w:rPr>
      </w:pPr>
      <w:bookmarkStart w:id="566" w:name="_Toc23509890"/>
      <w:bookmarkStart w:id="567" w:name="_Toc76137396"/>
      <w:bookmarkStart w:id="568" w:name="_Toc76637595"/>
      <w:bookmarkStart w:id="569" w:name="_Toc80953274"/>
      <w:r>
        <w:br w:type="page"/>
      </w:r>
    </w:p>
    <w:p w14:paraId="3753ED4A" w14:textId="79717CA9" w:rsidR="00A16DDB" w:rsidRPr="00D95127" w:rsidRDefault="00A16DDB" w:rsidP="00355718">
      <w:pPr>
        <w:pStyle w:val="Nadpis1"/>
      </w:pPr>
      <w:bookmarkStart w:id="570" w:name="_Toc81739227"/>
      <w:r w:rsidRPr="00D95127">
        <w:t>Míra stávajícího řešení problému</w:t>
      </w:r>
      <w:bookmarkEnd w:id="566"/>
      <w:bookmarkEnd w:id="567"/>
      <w:bookmarkEnd w:id="568"/>
      <w:bookmarkEnd w:id="569"/>
      <w:bookmarkEnd w:id="570"/>
    </w:p>
    <w:p w14:paraId="29C2FC9C" w14:textId="77777777" w:rsidR="00A16DDB" w:rsidRPr="00C624B3" w:rsidRDefault="00A16DDB" w:rsidP="00C624B3">
      <w:pPr>
        <w:pStyle w:val="Nadpis2"/>
      </w:pPr>
      <w:bookmarkStart w:id="571" w:name="_Toc15304074"/>
      <w:bookmarkStart w:id="572" w:name="_Toc23509891"/>
      <w:bookmarkStart w:id="573" w:name="_Toc76137397"/>
      <w:bookmarkStart w:id="574" w:name="_Toc76637596"/>
      <w:bookmarkStart w:id="575" w:name="_Toc80953275"/>
      <w:bookmarkStart w:id="576" w:name="_Toc81739228"/>
      <w:r w:rsidRPr="00C624B3">
        <w:t>Míra řešení ve stávající SZP (úspěšnost/neúspěšnost)</w:t>
      </w:r>
      <w:bookmarkEnd w:id="571"/>
      <w:bookmarkEnd w:id="572"/>
      <w:bookmarkEnd w:id="573"/>
      <w:bookmarkEnd w:id="574"/>
      <w:bookmarkEnd w:id="575"/>
      <w:bookmarkEnd w:id="576"/>
      <w:r w:rsidRPr="00C624B3">
        <w:t xml:space="preserve"> </w:t>
      </w:r>
    </w:p>
    <w:p w14:paraId="3861C683" w14:textId="77777777" w:rsidR="00A16DDB" w:rsidRPr="00D95127" w:rsidRDefault="00A16DDB" w:rsidP="00355718">
      <w:pPr>
        <w:pStyle w:val="UZEINormaln"/>
        <w:rPr>
          <w:rFonts w:cs="Times New Roman"/>
        </w:rPr>
      </w:pPr>
      <w:r w:rsidRPr="00D95127">
        <w:t>Komodita chmel je zařazena do citlivých komodit vzhledem k příjmové nestabilitě a současně podporována dalšími příjmovými i strukturálními podporami, a to jak z evropských, tak i doplňovaných národních zdrojů stále v rámci SZP.</w:t>
      </w:r>
    </w:p>
    <w:p w14:paraId="1A096144" w14:textId="01BD238B" w:rsidR="00A16DDB" w:rsidRPr="00D95127" w:rsidRDefault="00A16DDB" w:rsidP="00355718">
      <w:pPr>
        <w:pStyle w:val="UZEIGraf"/>
      </w:pPr>
      <w:bookmarkStart w:id="577" w:name="_Toc81738794"/>
      <w:r w:rsidRPr="00D95127">
        <w:t>Vývoj struktury provozních podpor u komodity chmel</w:t>
      </w:r>
      <w:bookmarkEnd w:id="577"/>
    </w:p>
    <w:p w14:paraId="74E520BA" w14:textId="77777777" w:rsidR="00A16DDB" w:rsidRPr="00D95127" w:rsidRDefault="00A16DDB" w:rsidP="00A16DDB">
      <w:pPr>
        <w:pStyle w:val="Odstavecseseznamem"/>
        <w:keepNext/>
        <w:ind w:left="0"/>
        <w:contextualSpacing w:val="0"/>
        <w:rPr>
          <w:u w:val="single"/>
        </w:rPr>
      </w:pPr>
      <w:r w:rsidRPr="00D95127">
        <w:rPr>
          <w:noProof/>
        </w:rPr>
        <w:drawing>
          <wp:inline distT="0" distB="0" distL="0" distR="0" wp14:anchorId="0147C6F8" wp14:editId="39A8BC23">
            <wp:extent cx="5759450" cy="3757295"/>
            <wp:effectExtent l="0" t="0" r="0"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59450" cy="3757295"/>
                    </a:xfrm>
                    <a:prstGeom prst="rect">
                      <a:avLst/>
                    </a:prstGeom>
                    <a:noFill/>
                    <a:ln>
                      <a:noFill/>
                    </a:ln>
                  </pic:spPr>
                </pic:pic>
              </a:graphicData>
            </a:graphic>
          </wp:inline>
        </w:drawing>
      </w:r>
    </w:p>
    <w:p w14:paraId="15257429" w14:textId="77777777" w:rsidR="00A16DDB" w:rsidRPr="00D95127" w:rsidRDefault="00A16DDB" w:rsidP="00355718">
      <w:pPr>
        <w:pStyle w:val="UZEIZdroj"/>
        <w:rPr>
          <w:i w:val="0"/>
        </w:rPr>
      </w:pPr>
      <w:r w:rsidRPr="00D95127">
        <w:t>Pramen: ÚZEI, vlastní výpočty</w:t>
      </w:r>
    </w:p>
    <w:p w14:paraId="58E614A5" w14:textId="77777777" w:rsidR="00A16DDB" w:rsidRPr="00D95127" w:rsidRDefault="00A16DDB" w:rsidP="00355718">
      <w:pPr>
        <w:pStyle w:val="UZEINormaln"/>
        <w:rPr>
          <w:rFonts w:cs="Times New Roman"/>
        </w:rPr>
      </w:pPr>
      <w:r w:rsidRPr="00D95127">
        <w:t xml:space="preserve">Z hlediska příjmových podpor v rámci SZP byla od roku 2009 do roku 2012 nejvýznamnější provozní podporou Top-up na chmel, která byla v období let 2012 až 2014 doplněna přímou platbou na chmel v rámci článku 68, jejíž sazba se do roku 2014 zvyšovala. Od roku 2015 je co do objemu nejvýznamnější vázaná podpora na chmel (VCS). Její hodnota v Kč/ha však od roku 2015 klesá. Mezi další významné provozní podpory za období 2009-2014 patří SAPS, která je od roku 2014 doplněná greeningovou složkou. Významnou provozní podporou je od roku 2013 PVP, která ve své podstatě nahradila Top-up platby. Výše PVP však meziročně klesá. Téměř zanedbatelnou položkou je platba PVP na zemědělskou půdu a LFA platby.  </w:t>
      </w:r>
    </w:p>
    <w:p w14:paraId="0DB2F049" w14:textId="77777777" w:rsidR="00A16DDB" w:rsidRPr="00D95127" w:rsidRDefault="00A16DDB" w:rsidP="00355718">
      <w:pPr>
        <w:pStyle w:val="UZEINormaln"/>
        <w:rPr>
          <w:rFonts w:cs="Times New Roman"/>
        </w:rPr>
      </w:pPr>
      <w:r w:rsidRPr="00D95127">
        <w:t>In</w:t>
      </w:r>
      <w:r w:rsidRPr="00D95127">
        <w:rPr>
          <w:rFonts w:cs="Times New Roman"/>
        </w:rPr>
        <w:t>vestiční deficit byl částečně řešen projekty z opatření M121 – Modernizace zemědělských podniků v rámci PRV 2007-13 a z opatření 4.1.1 – Investice do zemědělských podniků 2014–2020 (dále jen PRV).  V programovém období 2007-13 pěstitelé chmele čerpali dotace na investice do výstavby i rekonstrukce zemědělských staveb, pořízení potřebných technologií i pořízení mobilních strojů. Projekty zaměřené do rostlinné výroby přispěly k obnově nebo nové výstavbě nosných konstrukcí pro přibližně 299 hektarů chmelnic, které představují 5,9 % výměru chmelnic evidovaných v ČR v LPIS v roce 2016. Pořízena nebo rekonstruována byla uskladňovací kapacita pro téměř 17 tis. m</w:t>
      </w:r>
      <w:r w:rsidRPr="00D95127">
        <w:rPr>
          <w:rFonts w:cs="Times New Roman"/>
          <w:vertAlign w:val="superscript"/>
        </w:rPr>
        <w:t>3</w:t>
      </w:r>
      <w:r w:rsidRPr="00D95127">
        <w:rPr>
          <w:rFonts w:cs="Times New Roman"/>
        </w:rPr>
        <w:t xml:space="preserve"> chmele a také bylo podpořeno pořízení speciálních strojů. </w:t>
      </w:r>
    </w:p>
    <w:p w14:paraId="24B8DB0A" w14:textId="77777777" w:rsidR="00A16DDB" w:rsidRPr="00D95127" w:rsidRDefault="00A16DDB" w:rsidP="00355718">
      <w:pPr>
        <w:pStyle w:val="UZEINormaln"/>
        <w:rPr>
          <w:rFonts w:cs="Times New Roman"/>
        </w:rPr>
      </w:pPr>
      <w:r w:rsidRPr="00D95127">
        <w:t xml:space="preserve">V programovém období 2014-20 </w:t>
      </w:r>
      <w:r w:rsidRPr="00D95127">
        <w:rPr>
          <w:rFonts w:cs="Times New Roman"/>
          <w:u w:val="single"/>
        </w:rPr>
        <w:t>byly podpořeny projekty zaměřené do rostlinné výroby, které přispěly k obnově nebo nové výstavbě nosných konstrukcí pro 111 ha chmelnic.  Dále byla pořízena nebo rekonstruována uskladňovací kapacita v celkovém objemu 15,5 tis. m</w:t>
      </w:r>
      <w:r w:rsidRPr="00D95127">
        <w:rPr>
          <w:rFonts w:cs="Times New Roman"/>
          <w:u w:val="single"/>
          <w:vertAlign w:val="superscript"/>
        </w:rPr>
        <w:t>3</w:t>
      </w:r>
      <w:r w:rsidRPr="00D95127">
        <w:rPr>
          <w:rFonts w:cs="Times New Roman"/>
          <w:u w:val="single"/>
        </w:rPr>
        <w:t xml:space="preserve">. </w:t>
      </w:r>
      <w:r w:rsidRPr="00D95127">
        <w:rPr>
          <w:rFonts w:cs="Times New Roman"/>
        </w:rPr>
        <w:t>Přičemž</w:t>
      </w:r>
      <w:r w:rsidRPr="00D95127">
        <w:rPr>
          <w:rFonts w:cs="Times New Roman"/>
          <w:u w:val="single"/>
        </w:rPr>
        <w:t xml:space="preserve"> </w:t>
      </w:r>
      <w:r w:rsidRPr="00D95127">
        <w:rPr>
          <w:rFonts w:cs="Times New Roman"/>
        </w:rPr>
        <w:t xml:space="preserve">v rámci 3. kola </w:t>
      </w:r>
      <w:r w:rsidRPr="00D95127">
        <w:rPr>
          <w:rFonts w:cs="Times New Roman"/>
          <w:color w:val="000000"/>
        </w:rPr>
        <w:t>bylo celkem podáno 58 žádostí o dotaci na projekty zaměřené na chmel s požadavkem na dotaci celkem 142 mil. Kč. Z toho 30 projektů s požadavkem na dotaci 45 mil. Kč bylo doporučeno k podpoře a nyní probíhá jejich realizace. V rámci 5. kola příjmu žádostí bylo na chmel zaměřeno 44 projektů s požadavkem na 68,7 mil. Kč a z toho bylo pouze 9 projektů v částce 3,8 mil. Kč doporučeno k podpoře, nebo zařazeno mezi náhradníky. Počty podaných a schválených žádostí vypovídají o určité míře nepokryté absorpční kapacity sektoru, která tak zůstane do dalších let.</w:t>
      </w:r>
      <w:r w:rsidRPr="00D95127">
        <w:rPr>
          <w:rFonts w:cs="Times New Roman"/>
        </w:rPr>
        <w:t xml:space="preserve">  </w:t>
      </w:r>
    </w:p>
    <w:p w14:paraId="62B7E326" w14:textId="77777777" w:rsidR="00A16DDB" w:rsidRPr="00C624B3" w:rsidRDefault="00A16DDB" w:rsidP="00C624B3">
      <w:pPr>
        <w:pStyle w:val="Nadpis2"/>
      </w:pPr>
      <w:bookmarkStart w:id="578" w:name="_Toc15304075"/>
      <w:bookmarkStart w:id="579" w:name="_Toc23509892"/>
      <w:bookmarkStart w:id="580" w:name="_Toc76137398"/>
      <w:bookmarkStart w:id="581" w:name="_Toc76637597"/>
      <w:bookmarkStart w:id="582" w:name="_Toc80953276"/>
      <w:bookmarkStart w:id="583" w:name="_Toc81739229"/>
      <w:r w:rsidRPr="00C624B3">
        <w:t>Míra současného řešení problému jinými politikami</w:t>
      </w:r>
      <w:bookmarkEnd w:id="578"/>
      <w:bookmarkEnd w:id="579"/>
      <w:bookmarkEnd w:id="580"/>
      <w:bookmarkEnd w:id="581"/>
      <w:bookmarkEnd w:id="582"/>
      <w:bookmarkEnd w:id="583"/>
    </w:p>
    <w:p w14:paraId="439224D0" w14:textId="77777777" w:rsidR="00A16DDB" w:rsidRPr="00D95127" w:rsidRDefault="00A16DDB" w:rsidP="00355718">
      <w:pPr>
        <w:pStyle w:val="UZEINormaln"/>
      </w:pPr>
      <w:r w:rsidRPr="00D95127">
        <w:t>Příjmové podpory v rámci SZP jsou doplněny podporami provozního nebo investičních charakteru z národních zdrojů, a to v podobně dlouhodobých programů nebo mimořádných plateb. Vzhledem k výkyvům klimatu byla v roce 2018 vyplacená mimořádná podpora na zmírnění škod způsobených suchem. Mezi další pravidelně vyplácené provozní podpory, které jsou méně významné z hlediska jejich výše, patří podpory na pojištění na ha z. p. a vratka zelené nafty.</w:t>
      </w:r>
    </w:p>
    <w:p w14:paraId="589B0AA4" w14:textId="77777777" w:rsidR="00A16DDB" w:rsidRPr="00D95127" w:rsidRDefault="00A16DDB" w:rsidP="00355718">
      <w:pPr>
        <w:pStyle w:val="UZEINormaln"/>
      </w:pPr>
      <w:r w:rsidRPr="00D95127">
        <w:t xml:space="preserve">Z hlediska strukturálních podpor mohou pěstitelé pro komoditu chmel využít následujících Národních dotačních programů: </w:t>
      </w:r>
    </w:p>
    <w:p w14:paraId="4EF40F91" w14:textId="67567C54" w:rsidR="00A16DDB" w:rsidRPr="00D95127" w:rsidRDefault="00A16DDB" w:rsidP="00DE7D57">
      <w:pPr>
        <w:pStyle w:val="UZEIOdrky"/>
        <w:numPr>
          <w:ilvl w:val="0"/>
          <w:numId w:val="16"/>
        </w:numPr>
      </w:pPr>
      <w:r w:rsidRPr="00D95127">
        <w:t xml:space="preserve">I Podpora vybudování kapkové závlahy v ovocných sadech, chmelnicích, vinicích a školkách. Od roku 2017 došlo k navýšení sazby dotace z 60 00 Kč/ha na 72 000 Kč/ha. V roce 2018 v rámci dotačního programu 1. I byla ve chmelnicích vybudována kapková závlaha u 10 žadatelů na ploše 66,02 ha při sazbě 72 000 Kč/ha s celkovou podporou státu ve výši 4,8 mil. Kč. Oproti roku 2017 se dotovaná plocha kapkové závlahy zvýšila o 3,56 ha. Kapková závlaha byla vybudována v Úštěcké a Žatecké chmelařské oblasti. </w:t>
      </w:r>
    </w:p>
    <w:p w14:paraId="04060D4A" w14:textId="40840754" w:rsidR="00A16DDB" w:rsidRPr="00C624B3" w:rsidRDefault="00A16DDB" w:rsidP="00C624B3">
      <w:pPr>
        <w:pStyle w:val="UZEITaB"/>
      </w:pPr>
      <w:bookmarkStart w:id="584" w:name="_Toc81738482"/>
      <w:r w:rsidRPr="00C624B3">
        <w:t>Přehled čerpání dotace 1.I (Podpora vybudování kapkové závlahy v ovocných sadech, chmelnicích, vinicích a ve školkách) v letech 2011-2020</w:t>
      </w:r>
      <w:bookmarkEnd w:id="584"/>
    </w:p>
    <w:tbl>
      <w:tblPr>
        <w:tblW w:w="5156" w:type="pct"/>
        <w:tblLayout w:type="fixed"/>
        <w:tblCellMar>
          <w:left w:w="70" w:type="dxa"/>
          <w:right w:w="70" w:type="dxa"/>
        </w:tblCellMar>
        <w:tblLook w:val="04A0" w:firstRow="1" w:lastRow="0" w:firstColumn="1" w:lastColumn="0" w:noHBand="0" w:noVBand="1"/>
      </w:tblPr>
      <w:tblGrid>
        <w:gridCol w:w="2115"/>
        <w:gridCol w:w="769"/>
        <w:gridCol w:w="644"/>
        <w:gridCol w:w="646"/>
        <w:gridCol w:w="646"/>
        <w:gridCol w:w="646"/>
        <w:gridCol w:w="646"/>
        <w:gridCol w:w="646"/>
        <w:gridCol w:w="646"/>
        <w:gridCol w:w="646"/>
        <w:gridCol w:w="646"/>
        <w:gridCol w:w="638"/>
      </w:tblGrid>
      <w:tr w:rsidR="00A16DDB" w:rsidRPr="00D95127" w14:paraId="274A3E62" w14:textId="77777777" w:rsidTr="007A627A">
        <w:trPr>
          <w:trHeight w:val="300"/>
        </w:trPr>
        <w:tc>
          <w:tcPr>
            <w:tcW w:w="1133" w:type="pct"/>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77387AAA" w14:textId="77777777" w:rsidR="00A16DDB" w:rsidRPr="00D95127" w:rsidRDefault="00A16DDB" w:rsidP="007A627A">
            <w:pPr>
              <w:ind w:right="-76"/>
              <w:rPr>
                <w:rFonts w:cs="Times New Roman"/>
                <w:color w:val="000000"/>
                <w:lang w:val="cs-CZ"/>
              </w:rPr>
            </w:pPr>
          </w:p>
        </w:tc>
        <w:tc>
          <w:tcPr>
            <w:tcW w:w="412" w:type="pct"/>
            <w:tcBorders>
              <w:top w:val="single" w:sz="8" w:space="0" w:color="auto"/>
              <w:left w:val="nil"/>
              <w:bottom w:val="single" w:sz="4" w:space="0" w:color="auto"/>
              <w:right w:val="single" w:sz="4" w:space="0" w:color="auto"/>
            </w:tcBorders>
            <w:shd w:val="clear" w:color="auto" w:fill="auto"/>
            <w:noWrap/>
            <w:vAlign w:val="bottom"/>
            <w:hideMark/>
          </w:tcPr>
          <w:p w14:paraId="4CC6C118" w14:textId="77777777" w:rsidR="00A16DDB" w:rsidRPr="00D95127" w:rsidRDefault="00A16DDB" w:rsidP="007A627A">
            <w:pPr>
              <w:jc w:val="center"/>
              <w:rPr>
                <w:rFonts w:cs="Times New Roman"/>
                <w:b/>
                <w:color w:val="000000"/>
                <w:lang w:val="cs-CZ"/>
              </w:rPr>
            </w:pPr>
            <w:r w:rsidRPr="00D95127">
              <w:rPr>
                <w:rFonts w:cs="Times New Roman"/>
                <w:b/>
                <w:color w:val="000000"/>
                <w:lang w:val="cs-CZ"/>
              </w:rPr>
              <w:t>mj.</w:t>
            </w:r>
          </w:p>
        </w:tc>
        <w:tc>
          <w:tcPr>
            <w:tcW w:w="345" w:type="pct"/>
            <w:tcBorders>
              <w:top w:val="single" w:sz="8" w:space="0" w:color="auto"/>
              <w:left w:val="nil"/>
              <w:bottom w:val="single" w:sz="4" w:space="0" w:color="auto"/>
              <w:right w:val="single" w:sz="4" w:space="0" w:color="auto"/>
            </w:tcBorders>
            <w:shd w:val="clear" w:color="auto" w:fill="auto"/>
            <w:noWrap/>
            <w:vAlign w:val="bottom"/>
            <w:hideMark/>
          </w:tcPr>
          <w:p w14:paraId="7FEAA0F0" w14:textId="77777777" w:rsidR="00A16DDB" w:rsidRPr="00D95127" w:rsidRDefault="00A16DDB" w:rsidP="007A627A">
            <w:pPr>
              <w:jc w:val="center"/>
              <w:rPr>
                <w:rFonts w:cs="Times New Roman"/>
                <w:b/>
                <w:color w:val="000000"/>
                <w:lang w:val="cs-CZ"/>
              </w:rPr>
            </w:pPr>
            <w:r w:rsidRPr="00D95127">
              <w:rPr>
                <w:rFonts w:cs="Times New Roman"/>
                <w:b/>
                <w:color w:val="000000"/>
                <w:lang w:val="cs-CZ"/>
              </w:rPr>
              <w:t>2011</w:t>
            </w:r>
          </w:p>
        </w:tc>
        <w:tc>
          <w:tcPr>
            <w:tcW w:w="346" w:type="pct"/>
            <w:tcBorders>
              <w:top w:val="single" w:sz="8" w:space="0" w:color="auto"/>
              <w:left w:val="nil"/>
              <w:bottom w:val="single" w:sz="4" w:space="0" w:color="auto"/>
              <w:right w:val="single" w:sz="4" w:space="0" w:color="auto"/>
            </w:tcBorders>
            <w:shd w:val="clear" w:color="auto" w:fill="auto"/>
            <w:noWrap/>
            <w:vAlign w:val="bottom"/>
            <w:hideMark/>
          </w:tcPr>
          <w:p w14:paraId="672D149E" w14:textId="77777777" w:rsidR="00A16DDB" w:rsidRPr="00D95127" w:rsidRDefault="00A16DDB" w:rsidP="007A627A">
            <w:pPr>
              <w:jc w:val="center"/>
              <w:rPr>
                <w:rFonts w:cs="Times New Roman"/>
                <w:b/>
                <w:color w:val="000000"/>
                <w:lang w:val="cs-CZ"/>
              </w:rPr>
            </w:pPr>
            <w:r w:rsidRPr="00D95127">
              <w:rPr>
                <w:rFonts w:cs="Times New Roman"/>
                <w:b/>
                <w:color w:val="000000"/>
                <w:lang w:val="cs-CZ"/>
              </w:rPr>
              <w:t>2012</w:t>
            </w:r>
          </w:p>
        </w:tc>
        <w:tc>
          <w:tcPr>
            <w:tcW w:w="346" w:type="pct"/>
            <w:tcBorders>
              <w:top w:val="single" w:sz="8" w:space="0" w:color="auto"/>
              <w:left w:val="nil"/>
              <w:bottom w:val="single" w:sz="4" w:space="0" w:color="auto"/>
              <w:right w:val="single" w:sz="4" w:space="0" w:color="auto"/>
            </w:tcBorders>
            <w:shd w:val="clear" w:color="auto" w:fill="auto"/>
            <w:noWrap/>
            <w:vAlign w:val="bottom"/>
            <w:hideMark/>
          </w:tcPr>
          <w:p w14:paraId="477CCDEF" w14:textId="77777777" w:rsidR="00A16DDB" w:rsidRPr="00D95127" w:rsidRDefault="00A16DDB" w:rsidP="007A627A">
            <w:pPr>
              <w:jc w:val="center"/>
              <w:rPr>
                <w:rFonts w:cs="Times New Roman"/>
                <w:b/>
                <w:color w:val="000000"/>
                <w:lang w:val="cs-CZ"/>
              </w:rPr>
            </w:pPr>
            <w:r w:rsidRPr="00D95127">
              <w:rPr>
                <w:rFonts w:cs="Times New Roman"/>
                <w:b/>
                <w:color w:val="000000"/>
                <w:lang w:val="cs-CZ"/>
              </w:rPr>
              <w:t>2013</w:t>
            </w:r>
          </w:p>
        </w:tc>
        <w:tc>
          <w:tcPr>
            <w:tcW w:w="346" w:type="pct"/>
            <w:tcBorders>
              <w:top w:val="single" w:sz="8" w:space="0" w:color="auto"/>
              <w:left w:val="nil"/>
              <w:bottom w:val="single" w:sz="4" w:space="0" w:color="auto"/>
              <w:right w:val="single" w:sz="4" w:space="0" w:color="auto"/>
            </w:tcBorders>
            <w:shd w:val="clear" w:color="auto" w:fill="auto"/>
            <w:noWrap/>
            <w:vAlign w:val="bottom"/>
            <w:hideMark/>
          </w:tcPr>
          <w:p w14:paraId="19F5302E" w14:textId="77777777" w:rsidR="00A16DDB" w:rsidRPr="00D95127" w:rsidRDefault="00A16DDB" w:rsidP="007A627A">
            <w:pPr>
              <w:jc w:val="center"/>
              <w:rPr>
                <w:rFonts w:cs="Times New Roman"/>
                <w:b/>
                <w:color w:val="000000"/>
                <w:lang w:val="cs-CZ"/>
              </w:rPr>
            </w:pPr>
            <w:r w:rsidRPr="00D95127">
              <w:rPr>
                <w:rFonts w:cs="Times New Roman"/>
                <w:b/>
                <w:color w:val="000000"/>
                <w:lang w:val="cs-CZ"/>
              </w:rPr>
              <w:t>2014</w:t>
            </w:r>
          </w:p>
        </w:tc>
        <w:tc>
          <w:tcPr>
            <w:tcW w:w="346" w:type="pct"/>
            <w:tcBorders>
              <w:top w:val="single" w:sz="8" w:space="0" w:color="auto"/>
              <w:left w:val="nil"/>
              <w:bottom w:val="single" w:sz="4" w:space="0" w:color="auto"/>
              <w:right w:val="single" w:sz="4" w:space="0" w:color="auto"/>
            </w:tcBorders>
            <w:shd w:val="clear" w:color="auto" w:fill="auto"/>
            <w:noWrap/>
            <w:vAlign w:val="bottom"/>
            <w:hideMark/>
          </w:tcPr>
          <w:p w14:paraId="6E460CD4" w14:textId="77777777" w:rsidR="00A16DDB" w:rsidRPr="00D95127" w:rsidRDefault="00A16DDB" w:rsidP="007A627A">
            <w:pPr>
              <w:jc w:val="center"/>
              <w:rPr>
                <w:rFonts w:cs="Times New Roman"/>
                <w:b/>
                <w:color w:val="000000"/>
                <w:lang w:val="cs-CZ"/>
              </w:rPr>
            </w:pPr>
            <w:r w:rsidRPr="00D95127">
              <w:rPr>
                <w:rFonts w:cs="Times New Roman"/>
                <w:b/>
                <w:color w:val="000000"/>
                <w:lang w:val="cs-CZ"/>
              </w:rPr>
              <w:t>2015</w:t>
            </w:r>
          </w:p>
        </w:tc>
        <w:tc>
          <w:tcPr>
            <w:tcW w:w="346" w:type="pct"/>
            <w:tcBorders>
              <w:top w:val="single" w:sz="8" w:space="0" w:color="auto"/>
              <w:left w:val="nil"/>
              <w:bottom w:val="single" w:sz="4" w:space="0" w:color="auto"/>
              <w:right w:val="single" w:sz="4" w:space="0" w:color="auto"/>
            </w:tcBorders>
            <w:shd w:val="clear" w:color="auto" w:fill="auto"/>
            <w:noWrap/>
            <w:vAlign w:val="bottom"/>
            <w:hideMark/>
          </w:tcPr>
          <w:p w14:paraId="10672318" w14:textId="77777777" w:rsidR="00A16DDB" w:rsidRPr="00D95127" w:rsidRDefault="00A16DDB" w:rsidP="007A627A">
            <w:pPr>
              <w:jc w:val="center"/>
              <w:rPr>
                <w:rFonts w:cs="Times New Roman"/>
                <w:b/>
                <w:color w:val="000000"/>
                <w:lang w:val="cs-CZ"/>
              </w:rPr>
            </w:pPr>
            <w:r w:rsidRPr="00D95127">
              <w:rPr>
                <w:rFonts w:cs="Times New Roman"/>
                <w:b/>
                <w:color w:val="000000"/>
                <w:lang w:val="cs-CZ"/>
              </w:rPr>
              <w:t>2016</w:t>
            </w:r>
          </w:p>
        </w:tc>
        <w:tc>
          <w:tcPr>
            <w:tcW w:w="346" w:type="pct"/>
            <w:tcBorders>
              <w:top w:val="single" w:sz="8" w:space="0" w:color="auto"/>
              <w:left w:val="nil"/>
              <w:bottom w:val="single" w:sz="4" w:space="0" w:color="auto"/>
              <w:right w:val="single" w:sz="4" w:space="0" w:color="auto"/>
            </w:tcBorders>
            <w:shd w:val="clear" w:color="auto" w:fill="auto"/>
            <w:noWrap/>
            <w:vAlign w:val="bottom"/>
            <w:hideMark/>
          </w:tcPr>
          <w:p w14:paraId="5FBA0FC8" w14:textId="77777777" w:rsidR="00A16DDB" w:rsidRPr="00D95127" w:rsidRDefault="00A16DDB" w:rsidP="007A627A">
            <w:pPr>
              <w:jc w:val="center"/>
              <w:rPr>
                <w:rFonts w:cs="Times New Roman"/>
                <w:b/>
                <w:color w:val="000000"/>
                <w:lang w:val="cs-CZ"/>
              </w:rPr>
            </w:pPr>
            <w:r w:rsidRPr="00D95127">
              <w:rPr>
                <w:rFonts w:cs="Times New Roman"/>
                <w:b/>
                <w:color w:val="000000"/>
                <w:lang w:val="cs-CZ"/>
              </w:rPr>
              <w:t>2017</w:t>
            </w:r>
          </w:p>
        </w:tc>
        <w:tc>
          <w:tcPr>
            <w:tcW w:w="346" w:type="pct"/>
            <w:tcBorders>
              <w:top w:val="single" w:sz="8" w:space="0" w:color="auto"/>
              <w:left w:val="nil"/>
              <w:bottom w:val="single" w:sz="4" w:space="0" w:color="auto"/>
              <w:right w:val="single" w:sz="8" w:space="0" w:color="auto"/>
            </w:tcBorders>
            <w:shd w:val="clear" w:color="auto" w:fill="auto"/>
            <w:noWrap/>
            <w:vAlign w:val="bottom"/>
            <w:hideMark/>
          </w:tcPr>
          <w:p w14:paraId="7FFC511B" w14:textId="77777777" w:rsidR="00A16DDB" w:rsidRPr="00D95127" w:rsidRDefault="00A16DDB" w:rsidP="007A627A">
            <w:pPr>
              <w:jc w:val="center"/>
              <w:rPr>
                <w:rFonts w:cs="Times New Roman"/>
                <w:b/>
                <w:color w:val="000000"/>
                <w:lang w:val="cs-CZ"/>
              </w:rPr>
            </w:pPr>
            <w:r w:rsidRPr="00D95127">
              <w:rPr>
                <w:rFonts w:cs="Times New Roman"/>
                <w:b/>
                <w:color w:val="000000"/>
                <w:lang w:val="cs-CZ"/>
              </w:rPr>
              <w:t>2018</w:t>
            </w:r>
          </w:p>
        </w:tc>
        <w:tc>
          <w:tcPr>
            <w:tcW w:w="346" w:type="pct"/>
            <w:tcBorders>
              <w:top w:val="single" w:sz="8" w:space="0" w:color="auto"/>
              <w:left w:val="nil"/>
              <w:bottom w:val="single" w:sz="4" w:space="0" w:color="auto"/>
              <w:right w:val="single" w:sz="8" w:space="0" w:color="auto"/>
            </w:tcBorders>
            <w:vAlign w:val="bottom"/>
          </w:tcPr>
          <w:p w14:paraId="0DC076C4" w14:textId="77777777" w:rsidR="00A16DDB" w:rsidRPr="00D95127" w:rsidRDefault="00A16DDB" w:rsidP="007A627A">
            <w:pPr>
              <w:jc w:val="center"/>
              <w:rPr>
                <w:rFonts w:cs="Times New Roman"/>
                <w:b/>
                <w:color w:val="000000"/>
                <w:lang w:val="cs-CZ"/>
              </w:rPr>
            </w:pPr>
            <w:r w:rsidRPr="00D95127">
              <w:rPr>
                <w:rFonts w:cs="Times New Roman"/>
                <w:b/>
                <w:color w:val="000000"/>
                <w:lang w:val="cs-CZ"/>
              </w:rPr>
              <w:t>2019</w:t>
            </w:r>
          </w:p>
        </w:tc>
        <w:tc>
          <w:tcPr>
            <w:tcW w:w="346" w:type="pct"/>
            <w:tcBorders>
              <w:top w:val="single" w:sz="8" w:space="0" w:color="auto"/>
              <w:left w:val="nil"/>
              <w:bottom w:val="single" w:sz="4" w:space="0" w:color="auto"/>
              <w:right w:val="single" w:sz="8" w:space="0" w:color="auto"/>
            </w:tcBorders>
            <w:vAlign w:val="bottom"/>
          </w:tcPr>
          <w:p w14:paraId="2B98FDB8" w14:textId="77777777" w:rsidR="00A16DDB" w:rsidRPr="00D95127" w:rsidRDefault="00A16DDB" w:rsidP="007A627A">
            <w:pPr>
              <w:jc w:val="center"/>
              <w:rPr>
                <w:rFonts w:cs="Times New Roman"/>
                <w:b/>
                <w:color w:val="000000"/>
                <w:lang w:val="cs-CZ"/>
              </w:rPr>
            </w:pPr>
            <w:r w:rsidRPr="00D95127">
              <w:rPr>
                <w:rFonts w:cs="Times New Roman"/>
                <w:b/>
                <w:color w:val="000000"/>
                <w:lang w:val="cs-CZ"/>
              </w:rPr>
              <w:t>2020</w:t>
            </w:r>
          </w:p>
        </w:tc>
      </w:tr>
      <w:tr w:rsidR="00A16DDB" w:rsidRPr="00D95127" w14:paraId="2390F8A2" w14:textId="77777777" w:rsidTr="007A627A">
        <w:trPr>
          <w:trHeight w:val="300"/>
        </w:trPr>
        <w:tc>
          <w:tcPr>
            <w:tcW w:w="1133"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6647F477" w14:textId="77777777" w:rsidR="00A16DDB" w:rsidRPr="00D95127" w:rsidRDefault="00A16DDB" w:rsidP="007A627A">
            <w:pPr>
              <w:rPr>
                <w:rFonts w:cs="Times New Roman"/>
                <w:color w:val="000000"/>
                <w:lang w:val="cs-CZ"/>
              </w:rPr>
            </w:pPr>
            <w:r w:rsidRPr="00D95127">
              <w:rPr>
                <w:rFonts w:cs="Times New Roman"/>
                <w:color w:val="000000"/>
                <w:lang w:val="cs-CZ"/>
              </w:rPr>
              <w:t>výměra chmelnic</w:t>
            </w:r>
          </w:p>
        </w:tc>
        <w:tc>
          <w:tcPr>
            <w:tcW w:w="412" w:type="pct"/>
            <w:tcBorders>
              <w:top w:val="single" w:sz="4" w:space="0" w:color="auto"/>
              <w:left w:val="nil"/>
              <w:bottom w:val="single" w:sz="4" w:space="0" w:color="auto"/>
              <w:right w:val="single" w:sz="4" w:space="0" w:color="auto"/>
            </w:tcBorders>
            <w:shd w:val="clear" w:color="auto" w:fill="auto"/>
            <w:noWrap/>
            <w:vAlign w:val="bottom"/>
            <w:hideMark/>
          </w:tcPr>
          <w:p w14:paraId="717A6247" w14:textId="77777777" w:rsidR="00A16DDB" w:rsidRPr="00D95127" w:rsidRDefault="00A16DDB" w:rsidP="007A627A">
            <w:pPr>
              <w:jc w:val="center"/>
              <w:rPr>
                <w:rFonts w:cs="Times New Roman"/>
                <w:color w:val="000000"/>
                <w:lang w:val="cs-CZ"/>
              </w:rPr>
            </w:pPr>
            <w:r w:rsidRPr="00D95127">
              <w:rPr>
                <w:rFonts w:cs="Times New Roman"/>
                <w:color w:val="000000"/>
                <w:lang w:val="cs-CZ"/>
              </w:rPr>
              <w:t>ha</w:t>
            </w:r>
          </w:p>
        </w:tc>
        <w:tc>
          <w:tcPr>
            <w:tcW w:w="345" w:type="pct"/>
            <w:tcBorders>
              <w:top w:val="single" w:sz="4" w:space="0" w:color="auto"/>
              <w:left w:val="nil"/>
              <w:bottom w:val="single" w:sz="4" w:space="0" w:color="auto"/>
              <w:right w:val="single" w:sz="4" w:space="0" w:color="auto"/>
            </w:tcBorders>
            <w:shd w:val="clear" w:color="auto" w:fill="auto"/>
            <w:noWrap/>
            <w:vAlign w:val="bottom"/>
            <w:hideMark/>
          </w:tcPr>
          <w:p w14:paraId="7F1930F4" w14:textId="77777777" w:rsidR="00A16DDB" w:rsidRPr="00D95127" w:rsidRDefault="00A16DDB" w:rsidP="007A627A">
            <w:pPr>
              <w:jc w:val="center"/>
              <w:rPr>
                <w:rFonts w:cs="Times New Roman"/>
                <w:color w:val="000000"/>
                <w:lang w:val="cs-CZ"/>
              </w:rPr>
            </w:pPr>
            <w:r w:rsidRPr="00D95127">
              <w:rPr>
                <w:rFonts w:cs="Times New Roman"/>
                <w:color w:val="000000"/>
                <w:lang w:val="cs-CZ"/>
              </w:rPr>
              <w:t>25</w:t>
            </w:r>
            <w:r w:rsidRPr="00D95127">
              <w:rPr>
                <w:rFonts w:eastAsia="Times New Roman" w:cs="Times New Roman"/>
                <w:color w:val="000000"/>
                <w:lang w:val="cs-CZ" w:eastAsia="cs-CZ"/>
              </w:rPr>
              <w:t>,0</w:t>
            </w:r>
          </w:p>
        </w:tc>
        <w:tc>
          <w:tcPr>
            <w:tcW w:w="346" w:type="pct"/>
            <w:tcBorders>
              <w:top w:val="single" w:sz="4" w:space="0" w:color="auto"/>
              <w:left w:val="nil"/>
              <w:bottom w:val="single" w:sz="4" w:space="0" w:color="auto"/>
              <w:right w:val="single" w:sz="4" w:space="0" w:color="auto"/>
            </w:tcBorders>
            <w:shd w:val="clear" w:color="auto" w:fill="auto"/>
            <w:noWrap/>
            <w:vAlign w:val="bottom"/>
            <w:hideMark/>
          </w:tcPr>
          <w:p w14:paraId="047807E4" w14:textId="77777777" w:rsidR="00A16DDB" w:rsidRPr="00D95127" w:rsidRDefault="00A16DDB" w:rsidP="007A627A">
            <w:pPr>
              <w:jc w:val="center"/>
              <w:rPr>
                <w:rFonts w:cs="Times New Roman"/>
                <w:color w:val="000000"/>
                <w:lang w:val="cs-CZ"/>
              </w:rPr>
            </w:pPr>
            <w:r w:rsidRPr="00D95127">
              <w:rPr>
                <w:rFonts w:cs="Times New Roman"/>
                <w:color w:val="000000"/>
                <w:lang w:val="cs-CZ"/>
              </w:rPr>
              <w:t>14,5</w:t>
            </w:r>
          </w:p>
        </w:tc>
        <w:tc>
          <w:tcPr>
            <w:tcW w:w="346" w:type="pct"/>
            <w:tcBorders>
              <w:top w:val="single" w:sz="4" w:space="0" w:color="auto"/>
              <w:left w:val="nil"/>
              <w:bottom w:val="single" w:sz="4" w:space="0" w:color="auto"/>
              <w:right w:val="single" w:sz="4" w:space="0" w:color="auto"/>
            </w:tcBorders>
            <w:shd w:val="clear" w:color="auto" w:fill="auto"/>
            <w:noWrap/>
            <w:vAlign w:val="bottom"/>
            <w:hideMark/>
          </w:tcPr>
          <w:p w14:paraId="0BD36410" w14:textId="77777777" w:rsidR="00A16DDB" w:rsidRPr="00D95127" w:rsidRDefault="00A16DDB" w:rsidP="007A627A">
            <w:pPr>
              <w:jc w:val="center"/>
              <w:rPr>
                <w:rFonts w:cs="Times New Roman"/>
                <w:color w:val="000000"/>
                <w:lang w:val="cs-CZ"/>
              </w:rPr>
            </w:pPr>
            <w:r w:rsidRPr="00D95127">
              <w:rPr>
                <w:rFonts w:cs="Times New Roman"/>
                <w:color w:val="000000"/>
                <w:lang w:val="cs-CZ"/>
              </w:rPr>
              <w:t>6,8</w:t>
            </w:r>
          </w:p>
        </w:tc>
        <w:tc>
          <w:tcPr>
            <w:tcW w:w="346" w:type="pct"/>
            <w:tcBorders>
              <w:top w:val="single" w:sz="4" w:space="0" w:color="auto"/>
              <w:left w:val="nil"/>
              <w:bottom w:val="single" w:sz="4" w:space="0" w:color="auto"/>
              <w:right w:val="single" w:sz="4" w:space="0" w:color="auto"/>
            </w:tcBorders>
            <w:shd w:val="clear" w:color="auto" w:fill="auto"/>
            <w:noWrap/>
            <w:vAlign w:val="bottom"/>
            <w:hideMark/>
          </w:tcPr>
          <w:p w14:paraId="47B2700F" w14:textId="77777777" w:rsidR="00A16DDB" w:rsidRPr="00D95127" w:rsidRDefault="00A16DDB" w:rsidP="007A627A">
            <w:pPr>
              <w:jc w:val="center"/>
              <w:rPr>
                <w:rFonts w:cs="Times New Roman"/>
                <w:color w:val="000000"/>
                <w:lang w:val="cs-CZ"/>
              </w:rPr>
            </w:pPr>
            <w:r w:rsidRPr="00D95127">
              <w:rPr>
                <w:rFonts w:cs="Times New Roman"/>
                <w:color w:val="000000"/>
                <w:lang w:val="cs-CZ"/>
              </w:rPr>
              <w:t>27,5</w:t>
            </w:r>
          </w:p>
        </w:tc>
        <w:tc>
          <w:tcPr>
            <w:tcW w:w="346" w:type="pct"/>
            <w:tcBorders>
              <w:top w:val="single" w:sz="4" w:space="0" w:color="auto"/>
              <w:left w:val="nil"/>
              <w:bottom w:val="single" w:sz="4" w:space="0" w:color="auto"/>
              <w:right w:val="single" w:sz="4" w:space="0" w:color="auto"/>
            </w:tcBorders>
            <w:shd w:val="clear" w:color="auto" w:fill="auto"/>
            <w:noWrap/>
            <w:vAlign w:val="bottom"/>
            <w:hideMark/>
          </w:tcPr>
          <w:p w14:paraId="2381DCC6" w14:textId="77777777" w:rsidR="00A16DDB" w:rsidRPr="00D95127" w:rsidRDefault="00A16DDB" w:rsidP="007A627A">
            <w:pPr>
              <w:jc w:val="center"/>
              <w:rPr>
                <w:rFonts w:cs="Times New Roman"/>
                <w:color w:val="000000"/>
                <w:lang w:val="cs-CZ"/>
              </w:rPr>
            </w:pPr>
            <w:r w:rsidRPr="00D95127">
              <w:rPr>
                <w:rFonts w:cs="Times New Roman"/>
                <w:color w:val="000000"/>
                <w:lang w:val="cs-CZ"/>
              </w:rPr>
              <w:t>27,9</w:t>
            </w:r>
          </w:p>
        </w:tc>
        <w:tc>
          <w:tcPr>
            <w:tcW w:w="346" w:type="pct"/>
            <w:tcBorders>
              <w:top w:val="single" w:sz="4" w:space="0" w:color="auto"/>
              <w:left w:val="nil"/>
              <w:bottom w:val="single" w:sz="4" w:space="0" w:color="auto"/>
              <w:right w:val="single" w:sz="4" w:space="0" w:color="auto"/>
            </w:tcBorders>
            <w:shd w:val="clear" w:color="auto" w:fill="auto"/>
            <w:noWrap/>
            <w:vAlign w:val="bottom"/>
            <w:hideMark/>
          </w:tcPr>
          <w:p w14:paraId="47FF4BEE" w14:textId="77777777" w:rsidR="00A16DDB" w:rsidRPr="00D95127" w:rsidRDefault="00A16DDB" w:rsidP="007A627A">
            <w:pPr>
              <w:jc w:val="center"/>
              <w:rPr>
                <w:rFonts w:cs="Times New Roman"/>
                <w:color w:val="000000"/>
                <w:lang w:val="cs-CZ"/>
              </w:rPr>
            </w:pPr>
            <w:r w:rsidRPr="00D95127">
              <w:rPr>
                <w:rFonts w:cs="Times New Roman"/>
                <w:color w:val="000000"/>
                <w:lang w:val="cs-CZ"/>
              </w:rPr>
              <w:t>24</w:t>
            </w:r>
            <w:r w:rsidRPr="00D95127">
              <w:rPr>
                <w:rFonts w:eastAsia="Times New Roman" w:cs="Times New Roman"/>
                <w:color w:val="000000"/>
                <w:lang w:val="cs-CZ" w:eastAsia="cs-CZ"/>
              </w:rPr>
              <w:t>,0</w:t>
            </w:r>
          </w:p>
        </w:tc>
        <w:tc>
          <w:tcPr>
            <w:tcW w:w="346" w:type="pct"/>
            <w:tcBorders>
              <w:top w:val="single" w:sz="4" w:space="0" w:color="auto"/>
              <w:left w:val="nil"/>
              <w:bottom w:val="single" w:sz="4" w:space="0" w:color="auto"/>
              <w:right w:val="single" w:sz="4" w:space="0" w:color="auto"/>
            </w:tcBorders>
            <w:shd w:val="clear" w:color="auto" w:fill="auto"/>
            <w:noWrap/>
            <w:vAlign w:val="bottom"/>
            <w:hideMark/>
          </w:tcPr>
          <w:p w14:paraId="2810C58D" w14:textId="77777777" w:rsidR="00A16DDB" w:rsidRPr="00D95127" w:rsidRDefault="00A16DDB" w:rsidP="007A627A">
            <w:pPr>
              <w:jc w:val="center"/>
              <w:rPr>
                <w:rFonts w:cs="Times New Roman"/>
                <w:color w:val="000000"/>
                <w:lang w:val="cs-CZ"/>
              </w:rPr>
            </w:pPr>
            <w:r w:rsidRPr="00D95127">
              <w:rPr>
                <w:rFonts w:cs="Times New Roman"/>
                <w:color w:val="000000"/>
                <w:lang w:val="cs-CZ"/>
              </w:rPr>
              <w:t>62,</w:t>
            </w:r>
            <w:r w:rsidRPr="00D95127">
              <w:rPr>
                <w:rFonts w:eastAsia="Times New Roman" w:cs="Times New Roman"/>
                <w:color w:val="000000"/>
                <w:lang w:val="cs-CZ" w:eastAsia="cs-CZ"/>
              </w:rPr>
              <w:t>5</w:t>
            </w:r>
          </w:p>
        </w:tc>
        <w:tc>
          <w:tcPr>
            <w:tcW w:w="346" w:type="pct"/>
            <w:tcBorders>
              <w:top w:val="single" w:sz="4" w:space="0" w:color="auto"/>
              <w:left w:val="nil"/>
              <w:bottom w:val="single" w:sz="4" w:space="0" w:color="auto"/>
              <w:right w:val="single" w:sz="8" w:space="0" w:color="auto"/>
            </w:tcBorders>
            <w:shd w:val="clear" w:color="auto" w:fill="auto"/>
            <w:noWrap/>
            <w:vAlign w:val="bottom"/>
            <w:hideMark/>
          </w:tcPr>
          <w:p w14:paraId="26776EC4" w14:textId="77777777" w:rsidR="00A16DDB" w:rsidRPr="00D95127" w:rsidRDefault="00A16DDB" w:rsidP="007A627A">
            <w:pPr>
              <w:jc w:val="center"/>
              <w:rPr>
                <w:rFonts w:cs="Times New Roman"/>
                <w:color w:val="000000"/>
                <w:lang w:val="cs-CZ"/>
              </w:rPr>
            </w:pPr>
            <w:r w:rsidRPr="00D95127">
              <w:rPr>
                <w:rFonts w:cs="Times New Roman"/>
                <w:color w:val="000000"/>
                <w:lang w:val="cs-CZ"/>
              </w:rPr>
              <w:t>66,0</w:t>
            </w:r>
          </w:p>
        </w:tc>
        <w:tc>
          <w:tcPr>
            <w:tcW w:w="346" w:type="pct"/>
            <w:tcBorders>
              <w:top w:val="single" w:sz="4" w:space="0" w:color="auto"/>
              <w:left w:val="nil"/>
              <w:bottom w:val="single" w:sz="4" w:space="0" w:color="auto"/>
              <w:right w:val="single" w:sz="8" w:space="0" w:color="auto"/>
            </w:tcBorders>
            <w:vAlign w:val="bottom"/>
          </w:tcPr>
          <w:p w14:paraId="4EE1260D" w14:textId="77777777" w:rsidR="00A16DDB" w:rsidRPr="00D95127" w:rsidRDefault="00A16DDB" w:rsidP="007A627A">
            <w:pPr>
              <w:jc w:val="center"/>
              <w:rPr>
                <w:rFonts w:cs="Times New Roman"/>
                <w:color w:val="000000"/>
                <w:lang w:val="cs-CZ"/>
              </w:rPr>
            </w:pPr>
            <w:r w:rsidRPr="00D95127">
              <w:rPr>
                <w:rFonts w:cs="Times New Roman"/>
                <w:color w:val="000000"/>
                <w:lang w:val="cs-CZ"/>
              </w:rPr>
              <w:t>94,3</w:t>
            </w:r>
          </w:p>
        </w:tc>
        <w:tc>
          <w:tcPr>
            <w:tcW w:w="346" w:type="pct"/>
            <w:tcBorders>
              <w:top w:val="single" w:sz="4" w:space="0" w:color="auto"/>
              <w:left w:val="nil"/>
              <w:bottom w:val="single" w:sz="4" w:space="0" w:color="auto"/>
              <w:right w:val="single" w:sz="8" w:space="0" w:color="auto"/>
            </w:tcBorders>
            <w:vAlign w:val="bottom"/>
          </w:tcPr>
          <w:p w14:paraId="2E7D9A30" w14:textId="77777777" w:rsidR="00A16DDB" w:rsidRPr="00D95127" w:rsidRDefault="00A16DDB" w:rsidP="007A627A">
            <w:pPr>
              <w:jc w:val="center"/>
              <w:rPr>
                <w:rFonts w:cs="Times New Roman"/>
                <w:color w:val="000000"/>
                <w:lang w:val="cs-CZ"/>
              </w:rPr>
            </w:pPr>
            <w:r w:rsidRPr="00D95127">
              <w:rPr>
                <w:rFonts w:cs="Times New Roman"/>
                <w:color w:val="000000"/>
                <w:lang w:val="cs-CZ"/>
              </w:rPr>
              <w:t>78,8</w:t>
            </w:r>
          </w:p>
        </w:tc>
      </w:tr>
      <w:tr w:rsidR="00A16DDB" w:rsidRPr="00D95127" w14:paraId="3AFA5568" w14:textId="77777777" w:rsidTr="007A627A">
        <w:trPr>
          <w:trHeight w:val="300"/>
        </w:trPr>
        <w:tc>
          <w:tcPr>
            <w:tcW w:w="1133" w:type="pct"/>
            <w:tcBorders>
              <w:top w:val="single" w:sz="4" w:space="0" w:color="auto"/>
              <w:left w:val="single" w:sz="8" w:space="0" w:color="auto"/>
              <w:bottom w:val="single" w:sz="4" w:space="0" w:color="auto"/>
              <w:right w:val="single" w:sz="4" w:space="0" w:color="auto"/>
            </w:tcBorders>
            <w:shd w:val="clear" w:color="auto" w:fill="auto"/>
            <w:noWrap/>
            <w:vAlign w:val="bottom"/>
          </w:tcPr>
          <w:p w14:paraId="0B9F267D" w14:textId="77777777" w:rsidR="00A16DDB" w:rsidRPr="00D95127" w:rsidRDefault="00A16DDB" w:rsidP="007A627A">
            <w:pPr>
              <w:rPr>
                <w:rFonts w:cs="Times New Roman"/>
                <w:color w:val="000000"/>
                <w:lang w:val="cs-CZ"/>
              </w:rPr>
            </w:pPr>
            <w:r w:rsidRPr="00D95127">
              <w:rPr>
                <w:rFonts w:cs="Times New Roman"/>
                <w:color w:val="000000"/>
                <w:lang w:val="cs-CZ"/>
              </w:rPr>
              <w:t>dotace pro chmelnice</w:t>
            </w:r>
          </w:p>
        </w:tc>
        <w:tc>
          <w:tcPr>
            <w:tcW w:w="412" w:type="pct"/>
            <w:tcBorders>
              <w:top w:val="single" w:sz="4" w:space="0" w:color="auto"/>
              <w:left w:val="nil"/>
              <w:bottom w:val="single" w:sz="4" w:space="0" w:color="auto"/>
              <w:right w:val="single" w:sz="4" w:space="0" w:color="auto"/>
            </w:tcBorders>
            <w:shd w:val="clear" w:color="auto" w:fill="auto"/>
            <w:noWrap/>
            <w:vAlign w:val="bottom"/>
          </w:tcPr>
          <w:p w14:paraId="73942F65" w14:textId="77777777" w:rsidR="00A16DDB" w:rsidRPr="00D95127" w:rsidRDefault="00A16DDB" w:rsidP="007A627A">
            <w:pPr>
              <w:jc w:val="center"/>
              <w:rPr>
                <w:rFonts w:cs="Times New Roman"/>
                <w:color w:val="000000"/>
                <w:lang w:val="cs-CZ"/>
              </w:rPr>
            </w:pPr>
            <w:r w:rsidRPr="00D95127">
              <w:rPr>
                <w:rFonts w:cs="Times New Roman"/>
                <w:color w:val="000000"/>
                <w:lang w:val="cs-CZ"/>
              </w:rPr>
              <w:t>tis. Kč</w:t>
            </w:r>
          </w:p>
        </w:tc>
        <w:tc>
          <w:tcPr>
            <w:tcW w:w="345" w:type="pct"/>
            <w:tcBorders>
              <w:top w:val="single" w:sz="4" w:space="0" w:color="auto"/>
              <w:left w:val="nil"/>
              <w:bottom w:val="single" w:sz="4" w:space="0" w:color="auto"/>
              <w:right w:val="single" w:sz="4" w:space="0" w:color="auto"/>
            </w:tcBorders>
            <w:shd w:val="clear" w:color="auto" w:fill="auto"/>
            <w:noWrap/>
            <w:vAlign w:val="center"/>
          </w:tcPr>
          <w:p w14:paraId="16EB396B" w14:textId="77777777" w:rsidR="00A16DDB" w:rsidRPr="00D95127" w:rsidRDefault="00A16DDB" w:rsidP="007A627A">
            <w:pPr>
              <w:jc w:val="center"/>
              <w:rPr>
                <w:rFonts w:cs="Times New Roman"/>
                <w:color w:val="000000"/>
                <w:lang w:val="cs-CZ"/>
              </w:rPr>
            </w:pPr>
            <w:r w:rsidRPr="00D95127">
              <w:rPr>
                <w:rFonts w:cs="Times New Roman"/>
                <w:color w:val="000000"/>
                <w:lang w:val="cs-CZ"/>
              </w:rPr>
              <w:t>1500</w:t>
            </w:r>
          </w:p>
        </w:tc>
        <w:tc>
          <w:tcPr>
            <w:tcW w:w="346" w:type="pct"/>
            <w:tcBorders>
              <w:top w:val="single" w:sz="4" w:space="0" w:color="auto"/>
              <w:left w:val="nil"/>
              <w:bottom w:val="single" w:sz="4" w:space="0" w:color="auto"/>
              <w:right w:val="single" w:sz="4" w:space="0" w:color="auto"/>
            </w:tcBorders>
            <w:shd w:val="clear" w:color="auto" w:fill="auto"/>
            <w:noWrap/>
            <w:vAlign w:val="center"/>
          </w:tcPr>
          <w:p w14:paraId="59067DEF" w14:textId="77777777" w:rsidR="00A16DDB" w:rsidRPr="00D95127" w:rsidRDefault="00A16DDB" w:rsidP="007A627A">
            <w:pPr>
              <w:jc w:val="center"/>
              <w:rPr>
                <w:rFonts w:cs="Times New Roman"/>
                <w:color w:val="000000"/>
                <w:lang w:val="cs-CZ"/>
              </w:rPr>
            </w:pPr>
            <w:r w:rsidRPr="00D95127">
              <w:rPr>
                <w:rFonts w:cs="Times New Roman"/>
                <w:color w:val="000000"/>
                <w:lang w:val="cs-CZ"/>
              </w:rPr>
              <w:t>870</w:t>
            </w:r>
          </w:p>
        </w:tc>
        <w:tc>
          <w:tcPr>
            <w:tcW w:w="346" w:type="pct"/>
            <w:tcBorders>
              <w:top w:val="single" w:sz="4" w:space="0" w:color="auto"/>
              <w:left w:val="nil"/>
              <w:bottom w:val="single" w:sz="4" w:space="0" w:color="auto"/>
              <w:right w:val="single" w:sz="4" w:space="0" w:color="auto"/>
            </w:tcBorders>
            <w:shd w:val="clear" w:color="auto" w:fill="auto"/>
            <w:noWrap/>
            <w:vAlign w:val="center"/>
          </w:tcPr>
          <w:p w14:paraId="691A1F46" w14:textId="77777777" w:rsidR="00A16DDB" w:rsidRPr="00D95127" w:rsidRDefault="00A16DDB" w:rsidP="007A627A">
            <w:pPr>
              <w:jc w:val="center"/>
              <w:rPr>
                <w:rFonts w:cs="Times New Roman"/>
                <w:color w:val="000000"/>
                <w:lang w:val="cs-CZ"/>
              </w:rPr>
            </w:pPr>
            <w:r w:rsidRPr="00D95127">
              <w:rPr>
                <w:rFonts w:cs="Times New Roman"/>
                <w:color w:val="000000"/>
                <w:lang w:val="cs-CZ"/>
              </w:rPr>
              <w:t>408</w:t>
            </w:r>
          </w:p>
        </w:tc>
        <w:tc>
          <w:tcPr>
            <w:tcW w:w="346" w:type="pct"/>
            <w:tcBorders>
              <w:top w:val="single" w:sz="4" w:space="0" w:color="auto"/>
              <w:left w:val="nil"/>
              <w:bottom w:val="single" w:sz="4" w:space="0" w:color="auto"/>
              <w:right w:val="single" w:sz="4" w:space="0" w:color="auto"/>
            </w:tcBorders>
            <w:shd w:val="clear" w:color="auto" w:fill="auto"/>
            <w:noWrap/>
            <w:vAlign w:val="center"/>
          </w:tcPr>
          <w:p w14:paraId="2A2EBE63" w14:textId="77777777" w:rsidR="00A16DDB" w:rsidRPr="00D95127" w:rsidRDefault="00A16DDB" w:rsidP="007A627A">
            <w:pPr>
              <w:jc w:val="center"/>
              <w:rPr>
                <w:rFonts w:cs="Times New Roman"/>
                <w:color w:val="000000"/>
                <w:lang w:val="cs-CZ"/>
              </w:rPr>
            </w:pPr>
            <w:r w:rsidRPr="00D95127">
              <w:rPr>
                <w:rFonts w:cs="Times New Roman"/>
                <w:color w:val="000000"/>
                <w:lang w:val="cs-CZ"/>
              </w:rPr>
              <w:t>1650</w:t>
            </w:r>
          </w:p>
        </w:tc>
        <w:tc>
          <w:tcPr>
            <w:tcW w:w="346" w:type="pct"/>
            <w:tcBorders>
              <w:top w:val="single" w:sz="4" w:space="0" w:color="auto"/>
              <w:left w:val="nil"/>
              <w:bottom w:val="single" w:sz="4" w:space="0" w:color="auto"/>
              <w:right w:val="single" w:sz="4" w:space="0" w:color="auto"/>
            </w:tcBorders>
            <w:shd w:val="clear" w:color="auto" w:fill="auto"/>
            <w:noWrap/>
            <w:vAlign w:val="center"/>
          </w:tcPr>
          <w:p w14:paraId="5E4A9C67" w14:textId="77777777" w:rsidR="00A16DDB" w:rsidRPr="00D95127" w:rsidRDefault="00A16DDB" w:rsidP="007A627A">
            <w:pPr>
              <w:jc w:val="center"/>
              <w:rPr>
                <w:rFonts w:cs="Times New Roman"/>
                <w:color w:val="000000"/>
                <w:lang w:val="cs-CZ"/>
              </w:rPr>
            </w:pPr>
            <w:r w:rsidRPr="00D95127">
              <w:rPr>
                <w:rFonts w:cs="Times New Roman"/>
                <w:color w:val="000000"/>
                <w:lang w:val="cs-CZ"/>
              </w:rPr>
              <w:t>1674</w:t>
            </w:r>
          </w:p>
        </w:tc>
        <w:tc>
          <w:tcPr>
            <w:tcW w:w="346" w:type="pct"/>
            <w:tcBorders>
              <w:top w:val="single" w:sz="4" w:space="0" w:color="auto"/>
              <w:left w:val="nil"/>
              <w:bottom w:val="single" w:sz="4" w:space="0" w:color="auto"/>
              <w:right w:val="single" w:sz="4" w:space="0" w:color="auto"/>
            </w:tcBorders>
            <w:shd w:val="clear" w:color="auto" w:fill="auto"/>
            <w:noWrap/>
            <w:vAlign w:val="center"/>
          </w:tcPr>
          <w:p w14:paraId="6F5EFD59" w14:textId="77777777" w:rsidR="00A16DDB" w:rsidRPr="00D95127" w:rsidRDefault="00A16DDB" w:rsidP="007A627A">
            <w:pPr>
              <w:jc w:val="center"/>
              <w:rPr>
                <w:rFonts w:cs="Times New Roman"/>
                <w:color w:val="000000"/>
                <w:lang w:val="cs-CZ"/>
              </w:rPr>
            </w:pPr>
            <w:r w:rsidRPr="00D95127">
              <w:rPr>
                <w:rFonts w:cs="Times New Roman"/>
                <w:color w:val="000000"/>
                <w:lang w:val="cs-CZ"/>
              </w:rPr>
              <w:t>1440</w:t>
            </w:r>
          </w:p>
        </w:tc>
        <w:tc>
          <w:tcPr>
            <w:tcW w:w="346" w:type="pct"/>
            <w:tcBorders>
              <w:top w:val="single" w:sz="4" w:space="0" w:color="auto"/>
              <w:left w:val="nil"/>
              <w:bottom w:val="single" w:sz="4" w:space="0" w:color="auto"/>
              <w:right w:val="single" w:sz="4" w:space="0" w:color="auto"/>
            </w:tcBorders>
            <w:shd w:val="clear" w:color="auto" w:fill="auto"/>
            <w:noWrap/>
            <w:vAlign w:val="center"/>
          </w:tcPr>
          <w:p w14:paraId="2A2A28AF" w14:textId="77777777" w:rsidR="00A16DDB" w:rsidRPr="00D95127" w:rsidRDefault="00A16DDB" w:rsidP="007A627A">
            <w:pPr>
              <w:jc w:val="center"/>
              <w:rPr>
                <w:rFonts w:cs="Times New Roman"/>
                <w:color w:val="000000"/>
                <w:lang w:val="cs-CZ"/>
              </w:rPr>
            </w:pPr>
            <w:r w:rsidRPr="00D95127">
              <w:rPr>
                <w:rFonts w:cs="Times New Roman"/>
                <w:color w:val="000000"/>
                <w:lang w:val="cs-CZ"/>
              </w:rPr>
              <w:t>4497</w:t>
            </w:r>
          </w:p>
        </w:tc>
        <w:tc>
          <w:tcPr>
            <w:tcW w:w="346" w:type="pct"/>
            <w:tcBorders>
              <w:top w:val="single" w:sz="4" w:space="0" w:color="auto"/>
              <w:left w:val="nil"/>
              <w:bottom w:val="single" w:sz="4" w:space="0" w:color="auto"/>
              <w:right w:val="single" w:sz="8" w:space="0" w:color="auto"/>
            </w:tcBorders>
            <w:shd w:val="clear" w:color="auto" w:fill="auto"/>
            <w:noWrap/>
            <w:vAlign w:val="center"/>
          </w:tcPr>
          <w:p w14:paraId="2E678409" w14:textId="77777777" w:rsidR="00A16DDB" w:rsidRPr="00D95127" w:rsidRDefault="00A16DDB" w:rsidP="007A627A">
            <w:pPr>
              <w:jc w:val="center"/>
              <w:rPr>
                <w:rFonts w:cs="Times New Roman"/>
                <w:color w:val="000000"/>
                <w:lang w:val="cs-CZ"/>
              </w:rPr>
            </w:pPr>
            <w:r w:rsidRPr="00D95127">
              <w:rPr>
                <w:rFonts w:cs="Times New Roman"/>
                <w:color w:val="000000"/>
                <w:lang w:val="cs-CZ"/>
              </w:rPr>
              <w:t>4753</w:t>
            </w:r>
          </w:p>
        </w:tc>
        <w:tc>
          <w:tcPr>
            <w:tcW w:w="346" w:type="pct"/>
            <w:tcBorders>
              <w:top w:val="single" w:sz="4" w:space="0" w:color="auto"/>
              <w:left w:val="nil"/>
              <w:bottom w:val="single" w:sz="4" w:space="0" w:color="auto"/>
              <w:right w:val="single" w:sz="8" w:space="0" w:color="auto"/>
            </w:tcBorders>
          </w:tcPr>
          <w:p w14:paraId="54412B87" w14:textId="77777777" w:rsidR="00A16DDB" w:rsidRPr="00D95127" w:rsidRDefault="00A16DDB" w:rsidP="007A627A">
            <w:pPr>
              <w:jc w:val="center"/>
              <w:rPr>
                <w:rFonts w:cs="Times New Roman"/>
                <w:color w:val="000000"/>
                <w:lang w:val="cs-CZ"/>
              </w:rPr>
            </w:pPr>
            <w:r w:rsidRPr="00D95127">
              <w:rPr>
                <w:rFonts w:cs="Times New Roman"/>
                <w:color w:val="000000"/>
                <w:lang w:val="cs-CZ"/>
              </w:rPr>
              <w:t>6790</w:t>
            </w:r>
          </w:p>
        </w:tc>
        <w:tc>
          <w:tcPr>
            <w:tcW w:w="346" w:type="pct"/>
            <w:tcBorders>
              <w:top w:val="single" w:sz="4" w:space="0" w:color="auto"/>
              <w:left w:val="nil"/>
              <w:bottom w:val="single" w:sz="4" w:space="0" w:color="auto"/>
              <w:right w:val="single" w:sz="8" w:space="0" w:color="auto"/>
            </w:tcBorders>
          </w:tcPr>
          <w:p w14:paraId="632FC736" w14:textId="77777777" w:rsidR="00A16DDB" w:rsidRPr="00D95127" w:rsidRDefault="00A16DDB" w:rsidP="007A627A">
            <w:pPr>
              <w:jc w:val="center"/>
              <w:rPr>
                <w:rFonts w:cs="Times New Roman"/>
                <w:color w:val="000000"/>
                <w:lang w:val="cs-CZ"/>
              </w:rPr>
            </w:pPr>
            <w:r w:rsidRPr="00D95127">
              <w:rPr>
                <w:rFonts w:cs="Times New Roman"/>
                <w:color w:val="000000"/>
                <w:lang w:val="cs-CZ"/>
              </w:rPr>
              <w:t>5674</w:t>
            </w:r>
          </w:p>
        </w:tc>
      </w:tr>
    </w:tbl>
    <w:p w14:paraId="30AB5B1D" w14:textId="77777777" w:rsidR="00A16DDB" w:rsidRPr="00D95127" w:rsidRDefault="00A16DDB" w:rsidP="00355718">
      <w:pPr>
        <w:pStyle w:val="UZEIZdroj"/>
        <w:rPr>
          <w:i w:val="0"/>
        </w:rPr>
      </w:pPr>
      <w:r w:rsidRPr="00D95127">
        <w:t>Pramen: MZe – Analýza národních dotací do zemědělství za roky 2011-2019, SZIF 2020.</w:t>
      </w:r>
    </w:p>
    <w:p w14:paraId="16FF2569" w14:textId="406295DB" w:rsidR="00A16DDB" w:rsidRPr="00D95127" w:rsidRDefault="00A16DDB" w:rsidP="00DE7D57">
      <w:pPr>
        <w:pStyle w:val="UZEIOdrky"/>
        <w:numPr>
          <w:ilvl w:val="0"/>
          <w:numId w:val="16"/>
        </w:numPr>
      </w:pPr>
      <w:r w:rsidRPr="00D95127">
        <w:t xml:space="preserve">Podpora ozdravování polních a speciálních plodin za účelem zvýšení kvality rostlinné produkce cestou náhrady chemického ošetření a prevence proti šíření hospodářsky závažných virových a bakteriálních chorob a chorob přenosných osivem a sadbou. V roce 2018 bylo vyplaceno na:  </w:t>
      </w:r>
    </w:p>
    <w:p w14:paraId="554AE318" w14:textId="77777777" w:rsidR="00A16DDB" w:rsidRPr="00D95127" w:rsidRDefault="00A16DDB" w:rsidP="006A7C56">
      <w:pPr>
        <w:pStyle w:val="UZEIOdrky"/>
      </w:pPr>
      <w:r w:rsidRPr="00D95127">
        <w:t xml:space="preserve">3.b.) podporu některých činností souvisejících s plněním „Národního ozdravovacího programu pro ozdravení rozmnožovacího materiálu ovocných rostlin, révy a chmele v České republice od hospodářsky významných škodlivých organismů rostlin“ (dále jen „NOPRM“) celkem 46 984 Kč. </w:t>
      </w:r>
    </w:p>
    <w:p w14:paraId="34F6E12B" w14:textId="77777777" w:rsidR="00A16DDB" w:rsidRPr="00D95127" w:rsidRDefault="00A16DDB" w:rsidP="006A7C56">
      <w:pPr>
        <w:pStyle w:val="UZEIOdrky"/>
      </w:pPr>
      <w:r w:rsidRPr="00D95127">
        <w:t xml:space="preserve">3.d.) podporu tvorby rostlinných genotypů s vysokou rezistencí k biotickým i abiotickým faktorům a diferencovanou kvalitou obilovin včetně kukuřice, malých zrnin, olejnin, luskovin, brambor, pícnin, zelenin, léčivých, aromatických a kořeninových rostlin, chmele, révy a ovocných dřevin a ozdravování genotypů révy, chmele a ovocných plodin celkem 3,85 mil. Kč. </w:t>
      </w:r>
    </w:p>
    <w:p w14:paraId="7E28F31A" w14:textId="77777777" w:rsidR="00A16DDB" w:rsidRPr="00D95127" w:rsidRDefault="00A16DDB" w:rsidP="006A7C56">
      <w:pPr>
        <w:pStyle w:val="UZEIOdrky"/>
      </w:pPr>
      <w:r w:rsidRPr="00D95127">
        <w:t xml:space="preserve">3.h.) podporu prevence šíření virových a bakteriálních chorob chmele schváleno v celkovém objemu 9,651 mil Kč. V porovnání s rokem 2017 je to o 2,941 mil Kč méně. Obnoveno v rámci dotačního programu bylo celkem 216,29 ha chmelnic, což je o 59,48 ha méně než v roce 2017 a vysázeno tak s podporou Ministerstva zemědělství 643 404 ks certifikované sadby. Nejvíce zastoupenou odrůdou je ŽPČ všech klonů. </w:t>
      </w:r>
    </w:p>
    <w:p w14:paraId="04032D67" w14:textId="77777777" w:rsidR="00A16DDB" w:rsidRPr="00D95127" w:rsidRDefault="00A16DDB" w:rsidP="006A7C56">
      <w:pPr>
        <w:pStyle w:val="UZEIOdrky"/>
      </w:pPr>
      <w:r w:rsidRPr="00D95127">
        <w:t xml:space="preserve">Na speciální poradenství pro rostlinnou výrobu, program 9. A.b. v roce 2018 bylo vyplaceno 147 300 Kč, v roce 2017 bylo vyplaceno 164 160 Kč. </w:t>
      </w:r>
    </w:p>
    <w:p w14:paraId="30E62BFD" w14:textId="77777777" w:rsidR="00A16DDB" w:rsidRPr="00D95127" w:rsidRDefault="00A16DDB" w:rsidP="006A7C56">
      <w:pPr>
        <w:pStyle w:val="UZEINormaln"/>
        <w:rPr>
          <w:rFonts w:cs="Times New Roman"/>
        </w:rPr>
      </w:pPr>
      <w:r w:rsidRPr="00D95127">
        <w:t>Působení komplexu opatření stávající SZP a národní zemědělské politiky z hlediska relativně příznivé příjmové stability a kapitálové vybavenosti dává dobré předpoklady pro budoucí relativně stabilní vývoj a uplatnění komodity chmele. Vzhledem k tomu, že podle údajů ČSÚ se za poslední tři roky výměra chmelnic v ČR neustále zvyšuje a v roce 2018 dosáhla 5 020 ha, podařilo se naplnit strategický cíl roku 2020 nastavený tímto ukazatelem v rámci Strategie 2030 již v roce 2018. Obdobně míra krytí spotřeby chmele již nyní dosahuje plánovaného cíle roku 2020.</w:t>
      </w:r>
    </w:p>
    <w:p w14:paraId="462436B7" w14:textId="77777777" w:rsidR="00C624B3" w:rsidRDefault="00C624B3">
      <w:pPr>
        <w:spacing w:after="160" w:line="259" w:lineRule="auto"/>
        <w:jc w:val="left"/>
        <w:rPr>
          <w:rFonts w:eastAsiaTheme="majorEastAsia" w:cs="Times New Roman"/>
          <w:b/>
          <w:bCs/>
          <w:sz w:val="28"/>
          <w:szCs w:val="32"/>
          <w:lang w:val="cs-CZ"/>
        </w:rPr>
      </w:pPr>
      <w:bookmarkStart w:id="585" w:name="_Toc76137399"/>
      <w:bookmarkStart w:id="586" w:name="_Toc76637598"/>
      <w:bookmarkStart w:id="587" w:name="_Toc80953277"/>
      <w:r>
        <w:br w:type="page"/>
      </w:r>
    </w:p>
    <w:p w14:paraId="093256C4" w14:textId="4E058DF8" w:rsidR="00A16DDB" w:rsidRPr="00D95127" w:rsidRDefault="00A16DDB" w:rsidP="006A7C56">
      <w:pPr>
        <w:pStyle w:val="Nadpis1"/>
      </w:pPr>
      <w:bookmarkStart w:id="588" w:name="_Toc81739230"/>
      <w:r w:rsidRPr="00D95127">
        <w:t>Existence/neexistence možnosti efektivního řešení v rámci nástrojů SZP, které lze uvažovat v nových návrzích SZP</w:t>
      </w:r>
      <w:bookmarkEnd w:id="585"/>
      <w:bookmarkEnd w:id="586"/>
      <w:bookmarkEnd w:id="587"/>
      <w:bookmarkEnd w:id="588"/>
    </w:p>
    <w:p w14:paraId="6B37461D" w14:textId="77777777" w:rsidR="00A16DDB" w:rsidRPr="00D95127" w:rsidRDefault="00A16DDB" w:rsidP="006A7C56">
      <w:pPr>
        <w:pStyle w:val="UZEINormaln"/>
        <w:rPr>
          <w:rFonts w:cs="Times New Roman"/>
        </w:rPr>
      </w:pPr>
      <w:r w:rsidRPr="00D95127">
        <w:t>Níže uvedené potřeby lze řešit financováním, a to jak v rámci SZP (podpora citlivých komodit, investice do zemědělských podniků, podpora mladých zemědělců), odvětvové intervence), tak i v rámci Národních podpor (podpora budování kapkových závlah, obnovy chmelnic).</w:t>
      </w:r>
    </w:p>
    <w:p w14:paraId="4289A71E" w14:textId="3292412B" w:rsidR="00A16DDB" w:rsidRPr="00D95127" w:rsidRDefault="00A16DDB" w:rsidP="006A7C56">
      <w:pPr>
        <w:pStyle w:val="UZEITaB"/>
      </w:pPr>
      <w:bookmarkStart w:id="589" w:name="_Toc81738483"/>
      <w:r w:rsidRPr="00D95127">
        <w:t>Ekonomika pěstování chmele v 2018 až 2020 s výhledem do 2030</w:t>
      </w:r>
      <w:bookmarkEnd w:id="589"/>
    </w:p>
    <w:p w14:paraId="35DD08FC" w14:textId="77777777" w:rsidR="00A16DDB" w:rsidRPr="00D95127" w:rsidRDefault="00A16DDB" w:rsidP="00A16DDB">
      <w:pPr>
        <w:keepNext/>
        <w:rPr>
          <w:rFonts w:cs="Times New Roman"/>
          <w:lang w:val="cs-CZ" w:eastAsia="cs-CZ"/>
        </w:rPr>
      </w:pPr>
      <w:r w:rsidRPr="00D95127">
        <w:rPr>
          <w:rFonts w:cs="Times New Roman"/>
          <w:noProof/>
          <w:lang w:val="cs-CZ"/>
        </w:rPr>
        <w:drawing>
          <wp:inline distT="0" distB="0" distL="0" distR="0" wp14:anchorId="19464C5B" wp14:editId="38EC027F">
            <wp:extent cx="5759450" cy="1181735"/>
            <wp:effectExtent l="0" t="0" r="0" b="0"/>
            <wp:docPr id="119"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59450" cy="1181735"/>
                    </a:xfrm>
                    <a:prstGeom prst="rect">
                      <a:avLst/>
                    </a:prstGeom>
                    <a:noFill/>
                    <a:ln>
                      <a:noFill/>
                    </a:ln>
                  </pic:spPr>
                </pic:pic>
              </a:graphicData>
            </a:graphic>
          </wp:inline>
        </w:drawing>
      </w:r>
    </w:p>
    <w:p w14:paraId="7BAE7247" w14:textId="77777777" w:rsidR="00A16DDB" w:rsidRPr="00D95127" w:rsidRDefault="00A16DDB" w:rsidP="006A7C56">
      <w:pPr>
        <w:pStyle w:val="UZEIZdroj"/>
        <w:rPr>
          <w:i w:val="0"/>
        </w:rPr>
      </w:pPr>
      <w:r w:rsidRPr="00D95127">
        <w:t>Zdroj: Výběrové šetření nákladů a výnosů vybraných zemědělských komodit ÚZEI, vlastní výpočty</w:t>
      </w:r>
    </w:p>
    <w:p w14:paraId="6E62F99D" w14:textId="77777777" w:rsidR="00A16DDB" w:rsidRPr="00D95127" w:rsidRDefault="00A16DDB" w:rsidP="006A7C56">
      <w:pPr>
        <w:pStyle w:val="UZEIZdroj"/>
        <w:rPr>
          <w:i w:val="0"/>
          <w:szCs w:val="20"/>
        </w:rPr>
      </w:pPr>
      <w:r w:rsidRPr="00D95127">
        <w:rPr>
          <w:szCs w:val="20"/>
        </w:rPr>
        <w:t>Pozn.: Způsob provedení predikce je uveden v příloze I.</w:t>
      </w:r>
    </w:p>
    <w:p w14:paraId="64632AC6" w14:textId="77777777" w:rsidR="00A16DDB" w:rsidRPr="00D95127" w:rsidRDefault="00A16DDB" w:rsidP="006A7C56">
      <w:pPr>
        <w:pStyle w:val="UZEINormaln"/>
        <w:rPr>
          <w:rFonts w:cs="Times New Roman"/>
        </w:rPr>
      </w:pPr>
      <w:r w:rsidRPr="00D95127">
        <w:t xml:space="preserve">V předchozí tabulce je znázorněn vývoj ekonomiky a rentability plodiny od roku 2011. Z naznačených trendů budoucího vývoje je poté predikován vývoj ve sledovaných ukazatelích do roku 2030. V případě naplnění naznačených trendů je zřejmé, že objem a rozsah celkové výše podpory, by měl být zachován minimálně v současném rozsahu celkové podpory této plodiny. V případě snížení objemu podpor by se díky výrazné volatilitě příjmů a zhoršenému výhledu klimatických epizod relativně zdravý rozvoj pěstování chmele v ČR, mohl snadno propadnout do záporných hodnot. Pozitivní výhled současného stavu ovlivněný vhodným nastavením jak provozních, tak i strukturálních (investičních podpor) naznačuje velice mírný nárůst až stagnaci rozsahu pěstebních ploch. </w:t>
      </w:r>
    </w:p>
    <w:p w14:paraId="4B6CCC30" w14:textId="77777777" w:rsidR="00A16DDB" w:rsidRPr="00D95127" w:rsidRDefault="00A16DDB" w:rsidP="006A7C56">
      <w:pPr>
        <w:pStyle w:val="UZEINormaln"/>
        <w:rPr>
          <w:rFonts w:cs="Times New Roman"/>
        </w:rPr>
      </w:pPr>
      <w:r w:rsidRPr="00D95127">
        <w:t>Budoucí zhoršení ekonomiky podniků, lze vysledovat z trendu nárůstu nákladů, skoro až z poloviny tvořenému osobními náklady. Podobně nejistě působí i předpoklad výše realizačních cen, které nemusí nutně reflektovat exkluzivitu českého chmele na světových trzích. V případě skokového propadu rentability této plodiny, by mohlo dojít k podobně šokové reakci v podobě výrazného snížení rozsahu pěstování této plodiny.</w:t>
      </w:r>
    </w:p>
    <w:p w14:paraId="27E23A9C" w14:textId="77777777" w:rsidR="00A16DDB" w:rsidRPr="00D95127" w:rsidRDefault="00A16DDB" w:rsidP="006A7C56">
      <w:pPr>
        <w:pStyle w:val="UZEINormaln"/>
        <w:rPr>
          <w:rFonts w:cs="Times New Roman"/>
        </w:rPr>
      </w:pPr>
      <w:r w:rsidRPr="00D95127">
        <w:t>Z analýzy na základě dat FADN CZ za roky 2015-2017 vyplývá, že ukazatele příjmové situace u podniků se zastoupením tržeb z chmelu v rozsahu vyšším jak 20 % vykazují střední míru citlivosti na absolutní redukci VCS podpory v případě předmětné citlivé komodity ve srovnání s ostatními typy podniků zaměřených na ostatní citlivé komodity. V případě eliminace VCS podpory na všechny citlivé komodity podniky s podílem tržeb z chmelu nad 20 % vykazují vyšší citlivost ve srovnání s ostatními typy podniků. Zachování VCS podpory u komodity chmel je tedy důležitý předpokladem pro dosažení stability příjmů.</w:t>
      </w:r>
    </w:p>
    <w:p w14:paraId="2CEF3F1A" w14:textId="49C4A82F" w:rsidR="00A16DDB" w:rsidRPr="00D95127" w:rsidRDefault="00A16DDB" w:rsidP="006A7C56">
      <w:pPr>
        <w:pStyle w:val="UZEITaB"/>
        <w:ind w:left="0" w:firstLine="0"/>
      </w:pPr>
      <w:bookmarkStart w:id="590" w:name="_Toc81738484"/>
      <w:r w:rsidRPr="00D95127">
        <w:t>Strukturální charakteristiky podniků s citlivými komoditami a vyhodnocení citlivosti příjmových indikátorů na eliminaci CIS podpory</w:t>
      </w:r>
      <w:bookmarkEnd w:id="590"/>
    </w:p>
    <w:p w14:paraId="71548669" w14:textId="77777777" w:rsidR="00A16DDB" w:rsidRPr="00D95127" w:rsidRDefault="00A16DDB" w:rsidP="00A16DDB">
      <w:pPr>
        <w:rPr>
          <w:rFonts w:cs="Times New Roman"/>
          <w:szCs w:val="24"/>
          <w:lang w:val="cs-CZ"/>
        </w:rPr>
      </w:pPr>
      <w:r w:rsidRPr="00D95127">
        <w:rPr>
          <w:rFonts w:cs="Times New Roman"/>
          <w:noProof/>
          <w:szCs w:val="24"/>
          <w:lang w:val="cs-CZ"/>
        </w:rPr>
        <w:drawing>
          <wp:inline distT="0" distB="0" distL="0" distR="0" wp14:anchorId="512887E5" wp14:editId="1AF23A27">
            <wp:extent cx="5760720" cy="2131695"/>
            <wp:effectExtent l="0" t="0" r="0" b="1905"/>
            <wp:docPr id="140" name="Obrázek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60720" cy="2131695"/>
                    </a:xfrm>
                    <a:prstGeom prst="rect">
                      <a:avLst/>
                    </a:prstGeom>
                    <a:noFill/>
                    <a:ln>
                      <a:noFill/>
                    </a:ln>
                  </pic:spPr>
                </pic:pic>
              </a:graphicData>
            </a:graphic>
          </wp:inline>
        </w:drawing>
      </w:r>
    </w:p>
    <w:p w14:paraId="52B54C4D" w14:textId="77777777" w:rsidR="00A16DDB" w:rsidRPr="00D95127" w:rsidRDefault="00A16DDB" w:rsidP="006A7C56">
      <w:pPr>
        <w:pStyle w:val="UZEIZdroj"/>
        <w:rPr>
          <w:i w:val="0"/>
        </w:rPr>
      </w:pPr>
      <w:r w:rsidRPr="00D95127">
        <w:t>Zdroj: FADN CZ, ÚZEI, vlastní výpočty</w:t>
      </w:r>
    </w:p>
    <w:p w14:paraId="103CFE04" w14:textId="77777777" w:rsidR="00A16DDB" w:rsidRPr="00D95127" w:rsidRDefault="00A16DDB" w:rsidP="006A7C56">
      <w:pPr>
        <w:pStyle w:val="UZEINormaln"/>
        <w:rPr>
          <w:rFonts w:cs="Times New Roman"/>
        </w:rPr>
      </w:pPr>
      <w:r w:rsidRPr="00D95127">
        <w:t xml:space="preserve">Konkrétní nastavení výše </w:t>
      </w:r>
      <w:r w:rsidRPr="00D95127">
        <w:rPr>
          <w:rFonts w:cs="Times New Roman"/>
        </w:rPr>
        <w:t>podpory CIS bude předmětem dalších analýz zohledňující scénáře vývoje ostatních politik v rámci celého komplexu podpor SZP.</w:t>
      </w:r>
    </w:p>
    <w:p w14:paraId="0EE9A357" w14:textId="727EAB75" w:rsidR="00A16DDB" w:rsidRPr="00D95127" w:rsidRDefault="00A16DDB" w:rsidP="006A7C56">
      <w:pPr>
        <w:pStyle w:val="UZEINormaln"/>
        <w:rPr>
          <w:rFonts w:cs="Times New Roman"/>
        </w:rPr>
      </w:pPr>
      <w:r w:rsidRPr="00D95127">
        <w:t xml:space="preserve">Návrh řešení problémů a jejich příčin v celé škále provozních a strukturálních podpor je uveden v rámci teorie změny v tabulce </w:t>
      </w:r>
      <w:r>
        <w:t>(</w:t>
      </w:r>
      <w:r w:rsidR="001B4DB9">
        <w:fldChar w:fldCharType="begin"/>
      </w:r>
      <w:r w:rsidR="001B4DB9">
        <w:instrText xml:space="preserve"> REF _Ref81671920 \r \h </w:instrText>
      </w:r>
      <w:r w:rsidR="001B4DB9">
        <w:fldChar w:fldCharType="separate"/>
      </w:r>
      <w:r w:rsidR="001B4DB9">
        <w:t>Tabulka 56</w:t>
      </w:r>
      <w:r w:rsidR="001B4DB9">
        <w:fldChar w:fldCharType="end"/>
      </w:r>
      <w:r w:rsidRPr="00D95127">
        <w:t>).</w:t>
      </w:r>
    </w:p>
    <w:p w14:paraId="342C09D0" w14:textId="77777777" w:rsidR="00A16DDB" w:rsidRPr="00D95127" w:rsidRDefault="00A16DDB" w:rsidP="006A7C56">
      <w:pPr>
        <w:pStyle w:val="UZEINormaln"/>
        <w:rPr>
          <w:rFonts w:cs="Times New Roman"/>
        </w:rPr>
      </w:pPr>
      <w:r w:rsidRPr="00D95127">
        <w:t>V odvětví v minulých letech došlo k poměrně rozsáhlé koordinaci společných činností a aktivit v podobě sdružování podniků v odvětvovém Svazu pěstitelů chmele. Ti jej z části využívají k umisťování své produkce na domácích a světových trzích. S ohledem na dlouhodobost smluv jednotlivých členů svazu s odběrateli, je jejich zájem o účast na případných sektorových dotacích obtížně předvídatelná. Vyhodnocení potenciálu pro účast jednotlivých odvětví v rámci odvětvových intervencí je uvedeno v analytické části dokumentu pro specifický cíl C.</w:t>
      </w:r>
    </w:p>
    <w:p w14:paraId="188135CD" w14:textId="77777777" w:rsidR="00A16DDB" w:rsidRPr="00D95127" w:rsidRDefault="00A16DDB" w:rsidP="00A16DDB">
      <w:pPr>
        <w:pStyle w:val="Styl5"/>
        <w:spacing w:line="259" w:lineRule="auto"/>
        <w:ind w:firstLine="709"/>
        <w:rPr>
          <w:rFonts w:ascii="Times New Roman" w:hAnsi="Times New Roman"/>
          <w:lang w:val="cs-CZ"/>
        </w:rPr>
        <w:sectPr w:rsidR="00A16DDB" w:rsidRPr="00D95127" w:rsidSect="00C82CBD">
          <w:headerReference w:type="default" r:id="rId87"/>
          <w:footerReference w:type="default" r:id="rId88"/>
          <w:pgSz w:w="11906" w:h="16838"/>
          <w:pgMar w:top="1417" w:right="1417" w:bottom="1417" w:left="1417" w:header="708" w:footer="708" w:gutter="0"/>
          <w:cols w:space="708"/>
          <w:docGrid w:linePitch="360"/>
        </w:sectPr>
      </w:pPr>
    </w:p>
    <w:p w14:paraId="64E5CF5E" w14:textId="1953EF8C" w:rsidR="000625A1" w:rsidRDefault="00A16DDB" w:rsidP="000625A1">
      <w:pPr>
        <w:pStyle w:val="UZEITaB"/>
      </w:pPr>
      <w:bookmarkStart w:id="591" w:name="_Ref81671920"/>
      <w:bookmarkStart w:id="592" w:name="_Toc81738485"/>
      <w:r w:rsidRPr="000625A1">
        <w:t xml:space="preserve">Teorie změny </w:t>
      </w:r>
      <w:r w:rsidR="00B50ECB" w:rsidRPr="000625A1">
        <w:t xml:space="preserve">– </w:t>
      </w:r>
      <w:r w:rsidRPr="000625A1">
        <w:t>chmel</w:t>
      </w:r>
      <w:bookmarkEnd w:id="591"/>
      <w:bookmarkEnd w:id="592"/>
      <w:r w:rsidRPr="000625A1">
        <w:t xml:space="preserve"> </w:t>
      </w:r>
    </w:p>
    <w:p w14:paraId="35CF19B6" w14:textId="07C6B6D1" w:rsidR="000625A1" w:rsidRDefault="000625A1" w:rsidP="000625A1">
      <w:pPr>
        <w:pStyle w:val="UZEITaB"/>
        <w:numPr>
          <w:ilvl w:val="0"/>
          <w:numId w:val="0"/>
        </w:numPr>
      </w:pPr>
    </w:p>
    <w:p w14:paraId="177B42D1" w14:textId="6D603169" w:rsidR="00A16DDB" w:rsidRPr="00D95127" w:rsidRDefault="000625A1" w:rsidP="000625A1">
      <w:pPr>
        <w:pStyle w:val="UZEINormaln"/>
      </w:pPr>
      <w:r w:rsidRPr="00D95127">
        <w:rPr>
          <w:noProof/>
        </w:rPr>
        <w:drawing>
          <wp:anchor distT="0" distB="0" distL="114300" distR="114300" simplePos="0" relativeHeight="251660296" behindDoc="1" locked="0" layoutInCell="1" allowOverlap="1" wp14:anchorId="59ADBB77" wp14:editId="7F02415D">
            <wp:simplePos x="0" y="0"/>
            <wp:positionH relativeFrom="column">
              <wp:posOffset>3810</wp:posOffset>
            </wp:positionH>
            <wp:positionV relativeFrom="paragraph">
              <wp:posOffset>-186717</wp:posOffset>
            </wp:positionV>
            <wp:extent cx="8164800" cy="5482800"/>
            <wp:effectExtent l="0" t="0" r="1905" b="3810"/>
            <wp:wrapTight wrapText="bothSides">
              <wp:wrapPolygon edited="0">
                <wp:start x="0" y="0"/>
                <wp:lineTo x="0" y="21565"/>
                <wp:lineTo x="21571" y="21565"/>
                <wp:lineTo x="21571" y="0"/>
                <wp:lineTo x="0" y="0"/>
              </wp:wrapPolygon>
            </wp:wrapTight>
            <wp:docPr id="320" name="Obrázek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8164800" cy="5482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16DDB" w:rsidRPr="00D95127" w:rsidDel="008F2F7A">
        <w:t xml:space="preserve"> </w:t>
      </w:r>
      <w:r w:rsidR="00A16DDB" w:rsidRPr="00D95127">
        <w:t xml:space="preserve"> </w:t>
      </w:r>
    </w:p>
    <w:p w14:paraId="6EBEFFD9" w14:textId="77777777" w:rsidR="00A16DDB" w:rsidRPr="00D95127" w:rsidRDefault="00A16DDB" w:rsidP="00A16DDB">
      <w:pPr>
        <w:keepNext/>
        <w:rPr>
          <w:rFonts w:cs="Times New Roman"/>
          <w:szCs w:val="24"/>
          <w:lang w:val="cs-CZ"/>
        </w:rPr>
      </w:pPr>
    </w:p>
    <w:p w14:paraId="72D99B16" w14:textId="77777777" w:rsidR="00A16DDB" w:rsidRPr="00D95127" w:rsidRDefault="00A16DDB" w:rsidP="00A16DDB">
      <w:pPr>
        <w:spacing w:after="60"/>
        <w:rPr>
          <w:rFonts w:cs="Times New Roman"/>
          <w:szCs w:val="24"/>
          <w:lang w:val="cs-CZ"/>
        </w:rPr>
      </w:pPr>
      <w:r w:rsidRPr="00D95127">
        <w:rPr>
          <w:rFonts w:cs="Times New Roman"/>
          <w:noProof/>
          <w:lang w:val="cs-CZ"/>
        </w:rPr>
        <w:drawing>
          <wp:inline distT="0" distB="0" distL="0" distR="0" wp14:anchorId="351BC4E9" wp14:editId="055DE89A">
            <wp:extent cx="8891270" cy="3265805"/>
            <wp:effectExtent l="0" t="0" r="5080" b="0"/>
            <wp:docPr id="321" name="Obrázek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8891270" cy="3265805"/>
                    </a:xfrm>
                    <a:prstGeom prst="rect">
                      <a:avLst/>
                    </a:prstGeom>
                    <a:noFill/>
                    <a:ln>
                      <a:noFill/>
                    </a:ln>
                  </pic:spPr>
                </pic:pic>
              </a:graphicData>
            </a:graphic>
          </wp:inline>
        </w:drawing>
      </w:r>
    </w:p>
    <w:p w14:paraId="211F91D5" w14:textId="77777777" w:rsidR="00A16DDB" w:rsidRPr="00D95127" w:rsidRDefault="00A16DDB" w:rsidP="00A16DDB">
      <w:pPr>
        <w:autoSpaceDE w:val="0"/>
        <w:autoSpaceDN w:val="0"/>
        <w:adjustRightInd w:val="0"/>
        <w:spacing w:line="240" w:lineRule="atLeast"/>
        <w:contextualSpacing/>
        <w:rPr>
          <w:rFonts w:cs="Times New Roman"/>
          <w:b/>
          <w:szCs w:val="24"/>
          <w:lang w:val="cs-CZ"/>
        </w:rPr>
      </w:pPr>
      <w:bookmarkStart w:id="593" w:name="_Toc15304078"/>
      <w:bookmarkStart w:id="594" w:name="_Toc23509896"/>
    </w:p>
    <w:bookmarkEnd w:id="593"/>
    <w:bookmarkEnd w:id="594"/>
    <w:p w14:paraId="4B2A8657" w14:textId="77777777" w:rsidR="00A16DDB" w:rsidRPr="00D95127" w:rsidRDefault="00A16DDB" w:rsidP="00A16DDB">
      <w:pPr>
        <w:spacing w:after="60"/>
        <w:ind w:left="709"/>
        <w:rPr>
          <w:rFonts w:cs="Times New Roman"/>
          <w:szCs w:val="24"/>
          <w:lang w:val="cs-CZ"/>
        </w:rPr>
        <w:sectPr w:rsidR="00A16DDB" w:rsidRPr="00D95127" w:rsidSect="00C82CBD">
          <w:headerReference w:type="default" r:id="rId91"/>
          <w:footerReference w:type="default" r:id="rId92"/>
          <w:pgSz w:w="16838" w:h="11906" w:orient="landscape"/>
          <w:pgMar w:top="1418" w:right="1418" w:bottom="1418" w:left="1418" w:header="709" w:footer="709" w:gutter="0"/>
          <w:cols w:space="708"/>
          <w:docGrid w:linePitch="360"/>
        </w:sectPr>
      </w:pPr>
    </w:p>
    <w:p w14:paraId="39709604" w14:textId="77777777" w:rsidR="00A16DDB" w:rsidRPr="00D95127" w:rsidRDefault="00A16DDB" w:rsidP="00B50ECB">
      <w:pPr>
        <w:pStyle w:val="Nadpis1"/>
      </w:pPr>
      <w:bookmarkStart w:id="595" w:name="_Toc15304077"/>
      <w:bookmarkStart w:id="596" w:name="_Toc23509895"/>
      <w:bookmarkStart w:id="597" w:name="_Toc76137400"/>
      <w:bookmarkStart w:id="598" w:name="_Toc76637599"/>
      <w:bookmarkStart w:id="599" w:name="_Toc80953278"/>
      <w:bookmarkStart w:id="600" w:name="_Toc81739231"/>
      <w:bookmarkEnd w:id="527"/>
      <w:r w:rsidRPr="00D95127">
        <w:t>SWOT analýza</w:t>
      </w:r>
      <w:bookmarkEnd w:id="595"/>
      <w:bookmarkEnd w:id="596"/>
      <w:bookmarkEnd w:id="597"/>
      <w:bookmarkEnd w:id="598"/>
      <w:bookmarkEnd w:id="599"/>
      <w:bookmarkEnd w:id="600"/>
    </w:p>
    <w:p w14:paraId="2F37EC33" w14:textId="77777777" w:rsidR="00A16DDB" w:rsidRPr="00C624B3" w:rsidRDefault="00A16DDB" w:rsidP="00B50ECB">
      <w:pPr>
        <w:pStyle w:val="UZEINormaln"/>
        <w:rPr>
          <w:rStyle w:val="Odkazintenzivn"/>
          <w:rFonts w:cs="Times New Roman"/>
          <w:caps/>
          <w:smallCaps w:val="0"/>
        </w:rPr>
      </w:pPr>
      <w:r w:rsidRPr="00C624B3">
        <w:rPr>
          <w:rStyle w:val="Odkazintenzivn"/>
          <w:rFonts w:cs="Times New Roman"/>
          <w:caps/>
          <w:smallCaps w:val="0"/>
          <w:color w:val="auto"/>
        </w:rPr>
        <w:t>Chmel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4531"/>
      </w:tblGrid>
      <w:tr w:rsidR="00A16DDB" w:rsidRPr="00D95127" w14:paraId="7B533C46" w14:textId="77777777" w:rsidTr="007A627A">
        <w:tc>
          <w:tcPr>
            <w:tcW w:w="4531" w:type="dxa"/>
            <w:shd w:val="clear" w:color="auto" w:fill="auto"/>
          </w:tcPr>
          <w:p w14:paraId="0F6D24B7" w14:textId="77777777" w:rsidR="00A16DDB" w:rsidRPr="00D95127" w:rsidRDefault="00A16DDB" w:rsidP="00C624B3">
            <w:pPr>
              <w:pStyle w:val="UZEINormaln"/>
              <w:jc w:val="center"/>
              <w:rPr>
                <w:rFonts w:cs="Times New Roman"/>
              </w:rPr>
            </w:pPr>
            <w:r w:rsidRPr="00B50ECB">
              <w:rPr>
                <w:b/>
                <w:sz w:val="22"/>
                <w:szCs w:val="22"/>
              </w:rPr>
              <w:t>Silné stránky</w:t>
            </w:r>
          </w:p>
        </w:tc>
        <w:tc>
          <w:tcPr>
            <w:tcW w:w="4531" w:type="dxa"/>
            <w:shd w:val="clear" w:color="auto" w:fill="auto"/>
          </w:tcPr>
          <w:p w14:paraId="69263F31" w14:textId="77777777" w:rsidR="00A16DDB" w:rsidRPr="00D95127" w:rsidRDefault="00A16DDB" w:rsidP="00C624B3">
            <w:pPr>
              <w:pStyle w:val="UZEINormaln"/>
              <w:jc w:val="center"/>
              <w:rPr>
                <w:rFonts w:cs="Times New Roman"/>
              </w:rPr>
            </w:pPr>
            <w:r w:rsidRPr="00B50ECB">
              <w:rPr>
                <w:b/>
                <w:sz w:val="22"/>
                <w:szCs w:val="22"/>
              </w:rPr>
              <w:t>Slabé stránky</w:t>
            </w:r>
          </w:p>
        </w:tc>
      </w:tr>
      <w:tr w:rsidR="00A16DDB" w:rsidRPr="00D95127" w14:paraId="4D470E79" w14:textId="77777777" w:rsidTr="007A627A">
        <w:tc>
          <w:tcPr>
            <w:tcW w:w="4531" w:type="dxa"/>
            <w:shd w:val="clear" w:color="auto" w:fill="auto"/>
          </w:tcPr>
          <w:p w14:paraId="433C44D6" w14:textId="4FAE22EF" w:rsidR="00A16DDB" w:rsidRPr="00B50ECB" w:rsidRDefault="00C624B3" w:rsidP="00B50ECB">
            <w:pPr>
              <w:pStyle w:val="UZEIOdrky"/>
              <w:ind w:left="342" w:hanging="283"/>
              <w:rPr>
                <w:sz w:val="22"/>
                <w:szCs w:val="22"/>
              </w:rPr>
            </w:pPr>
            <w:r>
              <w:rPr>
                <w:sz w:val="22"/>
                <w:szCs w:val="22"/>
              </w:rPr>
              <w:t xml:space="preserve">S1: </w:t>
            </w:r>
            <w:r w:rsidR="00A16DDB" w:rsidRPr="00B50ECB">
              <w:rPr>
                <w:sz w:val="22"/>
                <w:szCs w:val="22"/>
              </w:rPr>
              <w:t>Kvalitní certifikovaný chmel s garancí státu.</w:t>
            </w:r>
          </w:p>
          <w:p w14:paraId="7A29A5DF" w14:textId="6903C353" w:rsidR="00A16DDB" w:rsidRPr="00B50ECB" w:rsidRDefault="00C624B3" w:rsidP="00B50ECB">
            <w:pPr>
              <w:pStyle w:val="UZEIOdrky"/>
              <w:ind w:left="342" w:hanging="283"/>
              <w:rPr>
                <w:sz w:val="22"/>
                <w:szCs w:val="22"/>
              </w:rPr>
            </w:pPr>
            <w:r>
              <w:rPr>
                <w:sz w:val="22"/>
                <w:szCs w:val="22"/>
              </w:rPr>
              <w:t xml:space="preserve">S2: </w:t>
            </w:r>
            <w:r w:rsidR="00A16DDB" w:rsidRPr="00B50ECB">
              <w:rPr>
                <w:sz w:val="22"/>
                <w:szCs w:val="22"/>
              </w:rPr>
              <w:t>Vysoká úroveň šlechtění chmele a světově uznávané kvalitní české odrůdy.</w:t>
            </w:r>
          </w:p>
          <w:p w14:paraId="2ACD5DF0" w14:textId="19EB5F46" w:rsidR="00A16DDB" w:rsidRPr="00B50ECB" w:rsidRDefault="00C624B3" w:rsidP="00B50ECB">
            <w:pPr>
              <w:pStyle w:val="UZEIOdrky"/>
              <w:ind w:left="342" w:hanging="283"/>
              <w:rPr>
                <w:sz w:val="22"/>
                <w:szCs w:val="22"/>
              </w:rPr>
            </w:pPr>
            <w:r>
              <w:rPr>
                <w:sz w:val="22"/>
                <w:szCs w:val="22"/>
              </w:rPr>
              <w:t xml:space="preserve">S3: </w:t>
            </w:r>
            <w:r w:rsidR="00A16DDB" w:rsidRPr="00B50ECB">
              <w:rPr>
                <w:sz w:val="22"/>
                <w:szCs w:val="22"/>
              </w:rPr>
              <w:t>Vysoká organizovanost pěstitelů chmele.</w:t>
            </w:r>
          </w:p>
          <w:p w14:paraId="239998D4" w14:textId="077757CD" w:rsidR="00A16DDB" w:rsidRPr="00B50ECB" w:rsidRDefault="00C624B3" w:rsidP="00B50ECB">
            <w:pPr>
              <w:pStyle w:val="UZEIOdrky"/>
              <w:ind w:left="342" w:hanging="283"/>
              <w:rPr>
                <w:sz w:val="22"/>
                <w:szCs w:val="22"/>
              </w:rPr>
            </w:pPr>
            <w:r>
              <w:rPr>
                <w:sz w:val="22"/>
                <w:szCs w:val="22"/>
              </w:rPr>
              <w:t xml:space="preserve">S4: </w:t>
            </w:r>
            <w:r w:rsidR="00A16DDB" w:rsidRPr="00B50ECB">
              <w:rPr>
                <w:sz w:val="22"/>
                <w:szCs w:val="22"/>
              </w:rPr>
              <w:t>Vysoká úroveň služeb v oblasti pěstování i zpracování chmele.</w:t>
            </w:r>
          </w:p>
          <w:p w14:paraId="5688D248" w14:textId="4E7F49BD" w:rsidR="00A16DDB" w:rsidRPr="00B50ECB" w:rsidRDefault="00C624B3" w:rsidP="00B50ECB">
            <w:pPr>
              <w:pStyle w:val="UZEIOdrky"/>
              <w:ind w:left="342" w:hanging="283"/>
              <w:rPr>
                <w:sz w:val="22"/>
                <w:szCs w:val="22"/>
              </w:rPr>
            </w:pPr>
            <w:r>
              <w:rPr>
                <w:sz w:val="22"/>
                <w:szCs w:val="22"/>
              </w:rPr>
              <w:t xml:space="preserve">S5: </w:t>
            </w:r>
            <w:r w:rsidR="00A16DDB" w:rsidRPr="00B50ECB">
              <w:rPr>
                <w:sz w:val="22"/>
                <w:szCs w:val="22"/>
              </w:rPr>
              <w:t>Příspěvek k zaměstnanosti venkova a k udržování krajinného rázu regionů.</w:t>
            </w:r>
          </w:p>
        </w:tc>
        <w:tc>
          <w:tcPr>
            <w:tcW w:w="4531" w:type="dxa"/>
            <w:shd w:val="clear" w:color="auto" w:fill="auto"/>
          </w:tcPr>
          <w:p w14:paraId="59F8091E" w14:textId="004D2143" w:rsidR="00A16DDB" w:rsidRPr="00B50ECB" w:rsidRDefault="00C624B3" w:rsidP="00B50ECB">
            <w:pPr>
              <w:pStyle w:val="UZEIOdrky"/>
              <w:ind w:left="342" w:hanging="283"/>
              <w:rPr>
                <w:sz w:val="22"/>
                <w:szCs w:val="22"/>
              </w:rPr>
            </w:pPr>
            <w:r>
              <w:rPr>
                <w:sz w:val="22"/>
                <w:szCs w:val="22"/>
              </w:rPr>
              <w:t xml:space="preserve">S6: </w:t>
            </w:r>
            <w:r w:rsidR="00A16DDB" w:rsidRPr="00B50ECB">
              <w:rPr>
                <w:sz w:val="22"/>
                <w:szCs w:val="22"/>
              </w:rPr>
              <w:t>Zastaralé technologické vybavení pěstitelů.</w:t>
            </w:r>
          </w:p>
          <w:p w14:paraId="1B82B27F" w14:textId="6275B2D7" w:rsidR="00A16DDB" w:rsidRPr="00B50ECB" w:rsidRDefault="00C624B3" w:rsidP="00B50ECB">
            <w:pPr>
              <w:pStyle w:val="UZEIOdrky"/>
              <w:ind w:left="342" w:hanging="283"/>
              <w:rPr>
                <w:sz w:val="22"/>
                <w:szCs w:val="22"/>
              </w:rPr>
            </w:pPr>
            <w:r>
              <w:rPr>
                <w:sz w:val="22"/>
                <w:szCs w:val="22"/>
              </w:rPr>
              <w:t xml:space="preserve">S7: </w:t>
            </w:r>
            <w:r w:rsidR="00A16DDB" w:rsidRPr="00B50ECB">
              <w:rPr>
                <w:sz w:val="22"/>
                <w:szCs w:val="22"/>
              </w:rPr>
              <w:t xml:space="preserve">Špatná věková struktura porostů a konstrukcí. </w:t>
            </w:r>
          </w:p>
          <w:p w14:paraId="00066983" w14:textId="1DDD34F8" w:rsidR="00A16DDB" w:rsidRPr="00B50ECB" w:rsidRDefault="00C624B3" w:rsidP="00B50ECB">
            <w:pPr>
              <w:pStyle w:val="UZEIOdrky"/>
              <w:ind w:left="342" w:hanging="283"/>
              <w:rPr>
                <w:sz w:val="22"/>
                <w:szCs w:val="22"/>
              </w:rPr>
            </w:pPr>
            <w:r>
              <w:rPr>
                <w:sz w:val="22"/>
                <w:szCs w:val="22"/>
              </w:rPr>
              <w:t xml:space="preserve">S8: </w:t>
            </w:r>
            <w:r w:rsidR="00A16DDB" w:rsidRPr="00B50ECB">
              <w:rPr>
                <w:sz w:val="22"/>
                <w:szCs w:val="22"/>
              </w:rPr>
              <w:t>Vysoký podíl více než 20 let starých konstrukcí a výsadeb.</w:t>
            </w:r>
          </w:p>
          <w:p w14:paraId="110A82FC" w14:textId="76FE9EF4" w:rsidR="00A16DDB" w:rsidRPr="00B50ECB" w:rsidRDefault="00C624B3" w:rsidP="00B50ECB">
            <w:pPr>
              <w:pStyle w:val="UZEIOdrky"/>
              <w:ind w:left="342" w:hanging="283"/>
              <w:rPr>
                <w:sz w:val="22"/>
                <w:szCs w:val="22"/>
              </w:rPr>
            </w:pPr>
            <w:r>
              <w:rPr>
                <w:sz w:val="22"/>
                <w:szCs w:val="22"/>
              </w:rPr>
              <w:t xml:space="preserve">S9: </w:t>
            </w:r>
            <w:r w:rsidR="00A16DDB" w:rsidRPr="00B50ECB">
              <w:rPr>
                <w:sz w:val="22"/>
                <w:szCs w:val="22"/>
              </w:rPr>
              <w:t xml:space="preserve">Nutnost specifických podpor k zachování rentability pěstování. </w:t>
            </w:r>
          </w:p>
          <w:p w14:paraId="5B4FC075" w14:textId="2862E0F2" w:rsidR="00A16DDB" w:rsidRPr="00B50ECB" w:rsidRDefault="00C624B3" w:rsidP="00B50ECB">
            <w:pPr>
              <w:pStyle w:val="UZEIOdrky"/>
              <w:ind w:left="342" w:hanging="283"/>
              <w:rPr>
                <w:sz w:val="22"/>
                <w:szCs w:val="22"/>
              </w:rPr>
            </w:pPr>
            <w:r>
              <w:rPr>
                <w:sz w:val="22"/>
                <w:szCs w:val="22"/>
              </w:rPr>
              <w:t xml:space="preserve">S10: </w:t>
            </w:r>
            <w:r w:rsidR="00A16DDB" w:rsidRPr="00B50ECB">
              <w:rPr>
                <w:sz w:val="22"/>
                <w:szCs w:val="22"/>
              </w:rPr>
              <w:t>Nedostatečná časová obnova chmelnic – struktury porostů chmele.</w:t>
            </w:r>
          </w:p>
          <w:p w14:paraId="1D9737DE" w14:textId="77777777" w:rsidR="00A16DDB" w:rsidRPr="00B50ECB" w:rsidRDefault="00A16DDB" w:rsidP="00C624B3">
            <w:pPr>
              <w:pStyle w:val="UZEIOdrky"/>
              <w:numPr>
                <w:ilvl w:val="0"/>
                <w:numId w:val="0"/>
              </w:numPr>
              <w:ind w:left="342"/>
              <w:rPr>
                <w:sz w:val="22"/>
                <w:szCs w:val="22"/>
              </w:rPr>
            </w:pPr>
          </w:p>
        </w:tc>
      </w:tr>
      <w:tr w:rsidR="00A16DDB" w:rsidRPr="00D95127" w14:paraId="5DAF553C" w14:textId="77777777" w:rsidTr="007A627A">
        <w:tc>
          <w:tcPr>
            <w:tcW w:w="4531" w:type="dxa"/>
            <w:shd w:val="clear" w:color="auto" w:fill="auto"/>
          </w:tcPr>
          <w:p w14:paraId="3A031518" w14:textId="77777777" w:rsidR="00A16DDB" w:rsidRPr="00D95127" w:rsidRDefault="00A16DDB" w:rsidP="00C624B3">
            <w:pPr>
              <w:pStyle w:val="UZEINormaln"/>
              <w:jc w:val="center"/>
              <w:rPr>
                <w:rFonts w:cs="Times New Roman"/>
              </w:rPr>
            </w:pPr>
            <w:r w:rsidRPr="00B50ECB">
              <w:rPr>
                <w:b/>
                <w:sz w:val="22"/>
                <w:szCs w:val="22"/>
              </w:rPr>
              <w:t>Příležitosti</w:t>
            </w:r>
          </w:p>
        </w:tc>
        <w:tc>
          <w:tcPr>
            <w:tcW w:w="4531" w:type="dxa"/>
            <w:shd w:val="clear" w:color="auto" w:fill="auto"/>
          </w:tcPr>
          <w:p w14:paraId="234D0B18" w14:textId="77777777" w:rsidR="00A16DDB" w:rsidRPr="00D95127" w:rsidRDefault="00A16DDB" w:rsidP="00C624B3">
            <w:pPr>
              <w:pStyle w:val="UZEINormaln"/>
              <w:jc w:val="center"/>
              <w:rPr>
                <w:rFonts w:cs="Times New Roman"/>
              </w:rPr>
            </w:pPr>
            <w:r w:rsidRPr="00B50ECB">
              <w:rPr>
                <w:b/>
                <w:sz w:val="22"/>
                <w:szCs w:val="22"/>
              </w:rPr>
              <w:t>Hrozby</w:t>
            </w:r>
          </w:p>
        </w:tc>
      </w:tr>
      <w:tr w:rsidR="00A16DDB" w:rsidRPr="00D95127" w14:paraId="33BD87C8" w14:textId="77777777" w:rsidTr="007A627A">
        <w:tc>
          <w:tcPr>
            <w:tcW w:w="4531" w:type="dxa"/>
            <w:shd w:val="clear" w:color="auto" w:fill="auto"/>
          </w:tcPr>
          <w:p w14:paraId="2A65BD82" w14:textId="29A08295" w:rsidR="00A16DDB" w:rsidRPr="00B50ECB" w:rsidRDefault="00C624B3" w:rsidP="00B50ECB">
            <w:pPr>
              <w:pStyle w:val="UZEIOdrky"/>
              <w:ind w:left="342" w:hanging="283"/>
              <w:rPr>
                <w:sz w:val="22"/>
                <w:szCs w:val="22"/>
              </w:rPr>
            </w:pPr>
            <w:r>
              <w:rPr>
                <w:sz w:val="22"/>
                <w:szCs w:val="22"/>
              </w:rPr>
              <w:t xml:space="preserve">O1: </w:t>
            </w:r>
            <w:r w:rsidR="00A16DDB" w:rsidRPr="00B50ECB">
              <w:rPr>
                <w:sz w:val="22"/>
                <w:szCs w:val="22"/>
              </w:rPr>
              <w:t>Závlaha chmele je významným stabilizačním faktorem pro rentabilní pěstování chmele při zachování jeho kvality.</w:t>
            </w:r>
          </w:p>
          <w:p w14:paraId="1C23EE7C" w14:textId="62773F5A" w:rsidR="00A16DDB" w:rsidRPr="00B50ECB" w:rsidRDefault="00C624B3" w:rsidP="00B50ECB">
            <w:pPr>
              <w:pStyle w:val="UZEIOdrky"/>
              <w:ind w:left="342" w:hanging="283"/>
              <w:rPr>
                <w:sz w:val="22"/>
                <w:szCs w:val="22"/>
              </w:rPr>
            </w:pPr>
            <w:r>
              <w:rPr>
                <w:sz w:val="22"/>
                <w:szCs w:val="22"/>
              </w:rPr>
              <w:t xml:space="preserve">O2: </w:t>
            </w:r>
            <w:r w:rsidR="00A16DDB" w:rsidRPr="00B50ECB">
              <w:rPr>
                <w:sz w:val="22"/>
                <w:szCs w:val="22"/>
              </w:rPr>
              <w:t>Zvýšení efektivnosti pěstování.</w:t>
            </w:r>
          </w:p>
          <w:p w14:paraId="2980BEC0" w14:textId="4656A0D8" w:rsidR="00A16DDB" w:rsidRPr="00B50ECB" w:rsidRDefault="00C624B3" w:rsidP="00B50ECB">
            <w:pPr>
              <w:pStyle w:val="UZEIOdrky"/>
              <w:ind w:left="342" w:hanging="283"/>
              <w:rPr>
                <w:sz w:val="22"/>
                <w:szCs w:val="22"/>
              </w:rPr>
            </w:pPr>
            <w:r>
              <w:rPr>
                <w:sz w:val="22"/>
                <w:szCs w:val="22"/>
              </w:rPr>
              <w:t xml:space="preserve">O3: </w:t>
            </w:r>
            <w:r w:rsidR="00A16DDB" w:rsidRPr="00B50ECB">
              <w:rPr>
                <w:sz w:val="22"/>
                <w:szCs w:val="22"/>
              </w:rPr>
              <w:t>Zlepšení systému pěstování ekologické produkce.</w:t>
            </w:r>
          </w:p>
          <w:p w14:paraId="4B228BF7" w14:textId="55B81191" w:rsidR="00A16DDB" w:rsidRPr="00B50ECB" w:rsidRDefault="00C624B3" w:rsidP="00B50ECB">
            <w:pPr>
              <w:pStyle w:val="UZEIOdrky"/>
              <w:ind w:left="342" w:hanging="283"/>
              <w:rPr>
                <w:sz w:val="22"/>
                <w:szCs w:val="22"/>
              </w:rPr>
            </w:pPr>
            <w:r>
              <w:rPr>
                <w:sz w:val="22"/>
                <w:szCs w:val="22"/>
              </w:rPr>
              <w:t xml:space="preserve">O4: </w:t>
            </w:r>
            <w:r w:rsidR="00A16DDB" w:rsidRPr="00B50ECB">
              <w:rPr>
                <w:sz w:val="22"/>
                <w:szCs w:val="22"/>
              </w:rPr>
              <w:t>Posílení image českých odrůd chmele, vytvoření systému propagace českého chmele.</w:t>
            </w:r>
          </w:p>
        </w:tc>
        <w:tc>
          <w:tcPr>
            <w:tcW w:w="4531" w:type="dxa"/>
            <w:shd w:val="clear" w:color="auto" w:fill="auto"/>
          </w:tcPr>
          <w:p w14:paraId="07604FC3" w14:textId="6AACEF6B" w:rsidR="00A16DDB" w:rsidRPr="00B50ECB" w:rsidRDefault="00C624B3" w:rsidP="00B50ECB">
            <w:pPr>
              <w:pStyle w:val="UZEIOdrky"/>
              <w:ind w:left="342" w:hanging="283"/>
              <w:rPr>
                <w:sz w:val="22"/>
                <w:szCs w:val="22"/>
              </w:rPr>
            </w:pPr>
            <w:r>
              <w:rPr>
                <w:sz w:val="22"/>
                <w:szCs w:val="22"/>
              </w:rPr>
              <w:t xml:space="preserve">T1: </w:t>
            </w:r>
            <w:r w:rsidR="00A16DDB" w:rsidRPr="00B50ECB">
              <w:rPr>
                <w:sz w:val="22"/>
                <w:szCs w:val="22"/>
              </w:rPr>
              <w:t>Silná zahraniční konkurence, zejména v sortimentu vysokoobsažných odrůd.</w:t>
            </w:r>
          </w:p>
          <w:p w14:paraId="14E094D4" w14:textId="64032823" w:rsidR="00A16DDB" w:rsidRPr="00B50ECB" w:rsidRDefault="00C624B3" w:rsidP="00B50ECB">
            <w:pPr>
              <w:pStyle w:val="UZEIOdrky"/>
              <w:ind w:left="342" w:hanging="283"/>
              <w:rPr>
                <w:sz w:val="22"/>
                <w:szCs w:val="22"/>
              </w:rPr>
            </w:pPr>
            <w:r>
              <w:rPr>
                <w:sz w:val="22"/>
                <w:szCs w:val="22"/>
              </w:rPr>
              <w:t xml:space="preserve">T2: </w:t>
            </w:r>
            <w:r w:rsidR="00A16DDB" w:rsidRPr="00B50ECB">
              <w:rPr>
                <w:sz w:val="22"/>
                <w:szCs w:val="22"/>
              </w:rPr>
              <w:t>Rostoucí cena vstupů.</w:t>
            </w:r>
          </w:p>
          <w:p w14:paraId="06BA4A35" w14:textId="2EDA4B34" w:rsidR="00A16DDB" w:rsidRPr="00B50ECB" w:rsidRDefault="00C624B3" w:rsidP="00B50ECB">
            <w:pPr>
              <w:pStyle w:val="UZEIOdrky"/>
              <w:ind w:left="342" w:hanging="283"/>
              <w:rPr>
                <w:sz w:val="22"/>
                <w:szCs w:val="22"/>
              </w:rPr>
            </w:pPr>
            <w:r>
              <w:rPr>
                <w:sz w:val="22"/>
                <w:szCs w:val="22"/>
              </w:rPr>
              <w:t xml:space="preserve">T3: </w:t>
            </w:r>
            <w:r w:rsidR="00A16DDB" w:rsidRPr="00B50ECB">
              <w:rPr>
                <w:sz w:val="22"/>
                <w:szCs w:val="22"/>
              </w:rPr>
              <w:t>Zvýšení poptávky po tzv. „low-cost beers“ s menší spotřebou kvalitních odrůd.</w:t>
            </w:r>
          </w:p>
        </w:tc>
      </w:tr>
    </w:tbl>
    <w:p w14:paraId="090EC3CC" w14:textId="77777777" w:rsidR="00A16DDB" w:rsidRPr="00D95127" w:rsidRDefault="00A16DDB" w:rsidP="00A16DDB">
      <w:pPr>
        <w:tabs>
          <w:tab w:val="left" w:pos="2207"/>
        </w:tabs>
        <w:rPr>
          <w:rFonts w:cs="Times New Roman"/>
          <w:szCs w:val="24"/>
          <w:lang w:val="cs-CZ"/>
        </w:rPr>
      </w:pPr>
    </w:p>
    <w:p w14:paraId="167A2F2C" w14:textId="77777777" w:rsidR="00A16DDB" w:rsidRPr="00D95127" w:rsidRDefault="00A16DDB" w:rsidP="00A16DDB">
      <w:pPr>
        <w:tabs>
          <w:tab w:val="left" w:pos="2207"/>
        </w:tabs>
        <w:ind w:firstLine="709"/>
        <w:rPr>
          <w:rFonts w:cs="Times New Roman"/>
          <w:szCs w:val="24"/>
          <w:lang w:val="cs-CZ"/>
        </w:rPr>
      </w:pPr>
    </w:p>
    <w:p w14:paraId="68705817" w14:textId="77777777" w:rsidR="00A16DDB" w:rsidRPr="00D95127" w:rsidRDefault="00A16DDB" w:rsidP="00A16DDB">
      <w:pPr>
        <w:rPr>
          <w:rFonts w:eastAsia="Times New Roman" w:cs="Times New Roman"/>
          <w:b/>
          <w:color w:val="2E74B5"/>
          <w:szCs w:val="24"/>
          <w:lang w:val="cs-CZ"/>
        </w:rPr>
      </w:pPr>
      <w:bookmarkStart w:id="601" w:name="_Toc526113885"/>
      <w:bookmarkEnd w:id="528"/>
      <w:r w:rsidRPr="00D95127">
        <w:rPr>
          <w:rFonts w:cs="Times New Roman"/>
          <w:b/>
          <w:szCs w:val="24"/>
          <w:lang w:val="cs-CZ"/>
        </w:rPr>
        <w:br w:type="page"/>
      </w:r>
    </w:p>
    <w:p w14:paraId="38F05188" w14:textId="77777777" w:rsidR="00A16DDB" w:rsidRPr="00D95127" w:rsidRDefault="00A16DDB" w:rsidP="00F85510">
      <w:pPr>
        <w:pStyle w:val="UZEINadpis1stbezsla"/>
      </w:pPr>
      <w:bookmarkStart w:id="602" w:name="_Toc76137401"/>
      <w:bookmarkStart w:id="603" w:name="_Toc76637600"/>
      <w:bookmarkStart w:id="604" w:name="_Toc80953279"/>
      <w:bookmarkStart w:id="605" w:name="_Toc81739232"/>
      <w:r w:rsidRPr="00D95127">
        <w:t>OBILOVINY</w:t>
      </w:r>
      <w:bookmarkEnd w:id="602"/>
      <w:bookmarkEnd w:id="603"/>
      <w:bookmarkEnd w:id="604"/>
      <w:bookmarkEnd w:id="605"/>
    </w:p>
    <w:p w14:paraId="7674ACD0" w14:textId="77777777" w:rsidR="00A16DDB" w:rsidRPr="00D95127" w:rsidRDefault="00A16DDB" w:rsidP="00F85510">
      <w:pPr>
        <w:pStyle w:val="UZEINormaln"/>
        <w:rPr>
          <w:rFonts w:cs="Times New Roman"/>
        </w:rPr>
      </w:pPr>
      <w:r w:rsidRPr="00F85510">
        <w:rPr>
          <w:rStyle w:val="UZEINormalnChar"/>
        </w:rPr>
        <w:t xml:space="preserve">Sektor obilovin je specializovaný a nezávislý, </w:t>
      </w:r>
      <w:r w:rsidRPr="00D95127">
        <w:rPr>
          <w:rFonts w:cs="Times New Roman"/>
          <w:bCs/>
        </w:rPr>
        <w:t>podporovaný přímými dotacemi. Vyznačuje se dobrými skladovacími kapacitami a posklizňovými linkami přímo v zemědělských podnicích, což má vliv na tržní chování producentů obilovin. Potýká se však s nedostatečně koncentrovaným segmentem obchodníků s obilovinami, nedostatečně vyvinutým sektorem technického užití obilovin a trvalým přebytkem domácí produkce, což zvyšuje jeho závislost na vývozu a její růst.</w:t>
      </w:r>
    </w:p>
    <w:p w14:paraId="7516A2AB" w14:textId="77777777" w:rsidR="00A16DDB" w:rsidRPr="00D95127" w:rsidRDefault="00A16DDB" w:rsidP="00DE7D57">
      <w:pPr>
        <w:pStyle w:val="Nadpis1"/>
        <w:numPr>
          <w:ilvl w:val="0"/>
          <w:numId w:val="17"/>
        </w:numPr>
      </w:pPr>
      <w:bookmarkStart w:id="606" w:name="_Toc76137402"/>
      <w:bookmarkStart w:id="607" w:name="_Toc76637601"/>
      <w:bookmarkStart w:id="608" w:name="_Toc80953280"/>
      <w:bookmarkStart w:id="609" w:name="_Toc81739233"/>
      <w:r w:rsidRPr="00D95127">
        <w:t>Analýza stávajících/navrhovaných právních předpisů EK/ČR a pravděpodobné nastavení směrů a cílů SZP</w:t>
      </w:r>
      <w:bookmarkEnd w:id="606"/>
      <w:bookmarkEnd w:id="607"/>
      <w:bookmarkEnd w:id="608"/>
      <w:bookmarkEnd w:id="609"/>
    </w:p>
    <w:p w14:paraId="006B64C0" w14:textId="3B95C8E3" w:rsidR="00B10832" w:rsidRDefault="00A16DDB" w:rsidP="00F85510">
      <w:pPr>
        <w:pStyle w:val="UZEINormaln"/>
        <w:rPr>
          <w:u w:val="single"/>
        </w:rPr>
      </w:pPr>
      <w:r w:rsidRPr="00D95127">
        <w:rPr>
          <w:u w:val="single"/>
        </w:rPr>
        <w:t>Tato část je zpracována souhrnně v základním analytickém dokumentu za oblast konkurenceschopnost zemědělství.</w:t>
      </w:r>
    </w:p>
    <w:p w14:paraId="34F87B0F" w14:textId="5C7C33EF" w:rsidR="00A16DDB" w:rsidRPr="00B10832" w:rsidRDefault="00B10832" w:rsidP="00B10832">
      <w:pPr>
        <w:spacing w:after="160" w:line="259" w:lineRule="auto"/>
        <w:jc w:val="left"/>
        <w:rPr>
          <w:rFonts w:eastAsia="Times New Roman" w:cstheme="minorHAnsi"/>
          <w:szCs w:val="24"/>
          <w:u w:val="single"/>
          <w:lang w:val="cs-CZ" w:eastAsia="cs-CZ"/>
        </w:rPr>
      </w:pPr>
      <w:r>
        <w:rPr>
          <w:u w:val="single"/>
        </w:rPr>
        <w:br w:type="page"/>
      </w:r>
    </w:p>
    <w:p w14:paraId="3304B925" w14:textId="77777777" w:rsidR="00A16DDB" w:rsidRPr="00D95127" w:rsidRDefault="00A16DDB" w:rsidP="00F85510">
      <w:pPr>
        <w:pStyle w:val="Nadpis1"/>
      </w:pPr>
      <w:bookmarkStart w:id="610" w:name="_Toc76137403"/>
      <w:bookmarkStart w:id="611" w:name="_Toc76637602"/>
      <w:bookmarkStart w:id="612" w:name="_Toc80953281"/>
      <w:bookmarkStart w:id="613" w:name="_Toc81739234"/>
      <w:r w:rsidRPr="00D95127">
        <w:t>Co je skutečným problémem, na který má politika reagovat?</w:t>
      </w:r>
      <w:bookmarkEnd w:id="610"/>
      <w:bookmarkEnd w:id="611"/>
      <w:bookmarkEnd w:id="612"/>
      <w:bookmarkEnd w:id="613"/>
    </w:p>
    <w:p w14:paraId="573F9E67" w14:textId="77777777" w:rsidR="00A16DDB" w:rsidRPr="00D95127" w:rsidRDefault="00A16DDB" w:rsidP="00F85510">
      <w:pPr>
        <w:pStyle w:val="UZEINormaln"/>
        <w:rPr>
          <w:rFonts w:cs="Times New Roman"/>
        </w:rPr>
      </w:pPr>
      <w:r w:rsidRPr="00D95127">
        <w:t xml:space="preserve">Obiloviny v roce 2020 zaujímaly 54 % celkové osevní plochy zemědělských plodin. Základní obilovinou pěstovanou v ČR je i nadále pšenice, která v současné době zaujímá 59 % celkových sklizňových ploch všech obilovin, přičemž 97 % z celkové plochy pšenice je tvořeno pšenicí ozimou. Podíl pšenice ozimé na celkové ploše obilovin je dlouhodobě relativně stabilní. Důvodem je dlouhodobě kladná samotná nákladová rentabilita v podmínkách ČR, která je ještě navyšována započtením podpor vztažených k obhospodařované půdě. Míra soběstačnosti produkce obilovin celkem je dlouhodobě velmi dobrá a značně přesahuje 100 %. Soběstačnost v posledních letech opět mírně narůstá a v roce 2020 dosáhla 156 %. Celková produkce obilovin dlouhodobě převyšuje jejich tuzemskou spotřebu, tudíž velká část produkce je orientována na vývoz. V posledních letech docházelo k růstu objemu produkce obilovin, zároveň mírně rostla i tuzemská spotřeba, přičemž nejvýrazněji k tomu nárůstu přispělo zvýšení spotřeby obilovin pro krmivářské účely. Z dlouhodobého hlediska je patrný pozvolný trend poklesu produkční plochy obilovin. Hektarový výnos v posledních letech vzrostl. Produkční plocha pšenice celkem je dlouhodobě relativně stabilní, i když meziročně došlo k poklesu o necelých 5 % na 798,6 tis. ha. Celková produkce pšenice je dlouhodobě relativně stabilní, po předchozím poklesu opět v posledních letech mírně vzrostla. U ukazatele soběstačnosti lze sledovat dlouhodobý mírně vzestupný trend. Produkční plocha kukuřice z dlouhodobého hlediska mírně klesá, i když v roce 2020 meziročně vzrostla o 16,6 % na 87,2 tis. ha. Celková produkce kukuřice dlouhodobě kolísá, nicméně v posledních letech je patrný mírný nárůst. V dlouhodobém horizontu lze také sledovat nárůst spotřeby kukuřice, a to zejména jeho spotřeby v potravinářství. V případě ječmene je patrný dlouhodobý sestupný trend u produkční plochy, objem produkce v posledních letech mírně narůstá. </w:t>
      </w:r>
    </w:p>
    <w:p w14:paraId="3EACB238" w14:textId="77777777" w:rsidR="00A16DDB" w:rsidRPr="00D95127" w:rsidRDefault="00A16DDB" w:rsidP="00A16DDB">
      <w:pPr>
        <w:pStyle w:val="Standard"/>
        <w:spacing w:line="276" w:lineRule="auto"/>
        <w:ind w:firstLine="709"/>
        <w:jc w:val="both"/>
        <w:rPr>
          <w:rFonts w:ascii="Times New Roman" w:hAnsi="Times New Roman" w:cs="Times New Roman"/>
          <w:highlight w:val="yellow"/>
        </w:rPr>
      </w:pPr>
    </w:p>
    <w:p w14:paraId="1087C35B" w14:textId="77777777" w:rsidR="00F85510" w:rsidRDefault="00F85510">
      <w:pPr>
        <w:spacing w:after="160" w:line="259" w:lineRule="auto"/>
        <w:jc w:val="left"/>
        <w:rPr>
          <w:rFonts w:eastAsia="Times New Roman" w:cs="Arial"/>
          <w:b/>
          <w:sz w:val="20"/>
          <w:szCs w:val="20"/>
          <w:lang w:val="cs-CZ" w:eastAsia="cs-CZ"/>
        </w:rPr>
      </w:pPr>
      <w:r>
        <w:br w:type="page"/>
      </w:r>
    </w:p>
    <w:p w14:paraId="023DD395" w14:textId="040D627B" w:rsidR="00A16DDB" w:rsidRPr="00D95127" w:rsidRDefault="00A16DDB" w:rsidP="00F85510">
      <w:pPr>
        <w:pStyle w:val="UZEIGraf"/>
      </w:pPr>
      <w:bookmarkStart w:id="614" w:name="_Toc81738795"/>
      <w:r w:rsidRPr="00D95127">
        <w:t>Vývoj produkční plochy a hektarového výnosu obilovin (2011 - 2020)</w:t>
      </w:r>
      <w:bookmarkEnd w:id="614"/>
    </w:p>
    <w:p w14:paraId="18EAA850" w14:textId="77777777" w:rsidR="00A16DDB" w:rsidRPr="00D95127" w:rsidRDefault="00A16DDB" w:rsidP="00A16DDB">
      <w:pPr>
        <w:pStyle w:val="Standard"/>
        <w:spacing w:line="276" w:lineRule="auto"/>
        <w:jc w:val="both"/>
        <w:rPr>
          <w:rFonts w:ascii="Times New Roman" w:hAnsi="Times New Roman" w:cs="Times New Roman"/>
        </w:rPr>
      </w:pPr>
      <w:r w:rsidRPr="00D95127">
        <w:rPr>
          <w:rFonts w:ascii="Times New Roman" w:hAnsi="Times New Roman" w:cs="Times New Roman"/>
          <w:noProof/>
        </w:rPr>
        <w:drawing>
          <wp:inline distT="0" distB="0" distL="0" distR="0" wp14:anchorId="3E258B1C" wp14:editId="415695A7">
            <wp:extent cx="4584700" cy="2755900"/>
            <wp:effectExtent l="0" t="0" r="6350" b="635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468A6BC3" w14:textId="5426B03B" w:rsidR="00A16DDB" w:rsidRPr="00B10832" w:rsidRDefault="00A16DDB" w:rsidP="00B10832">
      <w:pPr>
        <w:pStyle w:val="Zdroj"/>
        <w:rPr>
          <w:i w:val="0"/>
        </w:rPr>
      </w:pPr>
      <w:r w:rsidRPr="00D95127">
        <w:t>Zdroj: ČSÚ, MZe</w:t>
      </w:r>
    </w:p>
    <w:p w14:paraId="4754E3E4" w14:textId="7A445461" w:rsidR="00A16DDB" w:rsidRPr="00D95127" w:rsidRDefault="00A16DDB" w:rsidP="00DC1459">
      <w:pPr>
        <w:pStyle w:val="UZEIGraf"/>
      </w:pPr>
      <w:bookmarkStart w:id="615" w:name="_Toc81738796"/>
      <w:r w:rsidRPr="00D95127">
        <w:t>Vývoj produkce, spotřeby, exportu, importu a soběstačnosti obilovin (2011 – 2020)</w:t>
      </w:r>
      <w:bookmarkEnd w:id="615"/>
    </w:p>
    <w:p w14:paraId="1EB789AE" w14:textId="77777777" w:rsidR="00A16DDB" w:rsidRPr="00D95127" w:rsidRDefault="00A16DDB" w:rsidP="00A16DDB">
      <w:pPr>
        <w:pStyle w:val="Standard"/>
        <w:spacing w:line="276" w:lineRule="auto"/>
        <w:jc w:val="both"/>
        <w:rPr>
          <w:rFonts w:ascii="Times New Roman" w:hAnsi="Times New Roman" w:cs="Times New Roman"/>
        </w:rPr>
      </w:pPr>
      <w:r w:rsidRPr="00D95127">
        <w:rPr>
          <w:rFonts w:ascii="Times New Roman" w:hAnsi="Times New Roman" w:cs="Times New Roman"/>
          <w:noProof/>
        </w:rPr>
        <w:drawing>
          <wp:inline distT="0" distB="0" distL="0" distR="0" wp14:anchorId="31B7F166" wp14:editId="78B4A5B3">
            <wp:extent cx="4572000" cy="3875287"/>
            <wp:effectExtent l="0" t="0" r="0" b="0"/>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621247" cy="3917030"/>
                    </a:xfrm>
                    <a:prstGeom prst="rect">
                      <a:avLst/>
                    </a:prstGeom>
                    <a:noFill/>
                  </pic:spPr>
                </pic:pic>
              </a:graphicData>
            </a:graphic>
          </wp:inline>
        </w:drawing>
      </w:r>
    </w:p>
    <w:p w14:paraId="0229A89D" w14:textId="77777777" w:rsidR="00A16DDB" w:rsidRPr="00D95127" w:rsidRDefault="00A16DDB" w:rsidP="00DC1459">
      <w:pPr>
        <w:pStyle w:val="UZEIZdroj"/>
        <w:rPr>
          <w:i w:val="0"/>
        </w:rPr>
      </w:pPr>
      <w:r w:rsidRPr="00D95127">
        <w:t>Zdroj: ČSÚ, MZe</w:t>
      </w:r>
    </w:p>
    <w:p w14:paraId="13363EB1" w14:textId="77777777" w:rsidR="00A16DDB" w:rsidRPr="00D95127" w:rsidRDefault="00A16DDB" w:rsidP="00A16DDB">
      <w:pPr>
        <w:pStyle w:val="Standard"/>
        <w:spacing w:line="276" w:lineRule="auto"/>
        <w:jc w:val="both"/>
        <w:rPr>
          <w:rFonts w:ascii="Times New Roman" w:hAnsi="Times New Roman" w:cs="Times New Roman"/>
          <w:highlight w:val="yellow"/>
          <w:lang w:eastAsia="cs-CZ"/>
        </w:rPr>
      </w:pPr>
    </w:p>
    <w:p w14:paraId="2EBC0106" w14:textId="77777777" w:rsidR="00DC1459" w:rsidRDefault="00DC1459">
      <w:pPr>
        <w:spacing w:after="160" w:line="259" w:lineRule="auto"/>
        <w:jc w:val="left"/>
        <w:rPr>
          <w:rFonts w:eastAsia="Times New Roman" w:cs="Arial"/>
          <w:b/>
          <w:color w:val="000000" w:themeColor="text1"/>
          <w:sz w:val="20"/>
          <w:szCs w:val="20"/>
          <w:lang w:val="cs-CZ" w:eastAsia="cs-CZ"/>
        </w:rPr>
      </w:pPr>
      <w:r>
        <w:br w:type="page"/>
      </w:r>
    </w:p>
    <w:p w14:paraId="230FD3DD" w14:textId="19D15A86" w:rsidR="00A16DDB" w:rsidRPr="00B10832" w:rsidRDefault="00A16DDB" w:rsidP="00B10832">
      <w:pPr>
        <w:pStyle w:val="UZEITaB"/>
      </w:pPr>
      <w:r w:rsidRPr="00B10832">
        <w:t xml:space="preserve"> </w:t>
      </w:r>
      <w:bookmarkStart w:id="616" w:name="_Toc81738486"/>
      <w:r w:rsidRPr="00B10832">
        <w:t>Vybrané ukazatele výroby a spotřeby obilovin (2011 – 2020)</w:t>
      </w:r>
      <w:bookmarkEnd w:id="616"/>
    </w:p>
    <w:p w14:paraId="313F7B4F" w14:textId="77777777" w:rsidR="00A16DDB" w:rsidRPr="00D95127" w:rsidRDefault="00A16DDB" w:rsidP="00A16DDB">
      <w:pPr>
        <w:pStyle w:val="Standard"/>
        <w:spacing w:line="276" w:lineRule="auto"/>
        <w:jc w:val="both"/>
        <w:rPr>
          <w:rFonts w:ascii="Times New Roman" w:hAnsi="Times New Roman" w:cs="Times New Roman"/>
        </w:rPr>
      </w:pPr>
      <w:r w:rsidRPr="00D95127">
        <w:rPr>
          <w:rFonts w:ascii="Times New Roman" w:hAnsi="Times New Roman" w:cs="Times New Roman"/>
          <w:noProof/>
        </w:rPr>
        <w:drawing>
          <wp:inline distT="0" distB="0" distL="0" distR="0" wp14:anchorId="4545C774" wp14:editId="210177B2">
            <wp:extent cx="5760720" cy="1224915"/>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60720" cy="1224915"/>
                    </a:xfrm>
                    <a:prstGeom prst="rect">
                      <a:avLst/>
                    </a:prstGeom>
                    <a:noFill/>
                    <a:ln>
                      <a:noFill/>
                    </a:ln>
                  </pic:spPr>
                </pic:pic>
              </a:graphicData>
            </a:graphic>
          </wp:inline>
        </w:drawing>
      </w:r>
    </w:p>
    <w:p w14:paraId="6B6A5E1D" w14:textId="77777777" w:rsidR="00A16DDB" w:rsidRPr="00D95127" w:rsidRDefault="00A16DDB" w:rsidP="00DC1459">
      <w:pPr>
        <w:pStyle w:val="UZEIZdroj"/>
        <w:rPr>
          <w:i w:val="0"/>
        </w:rPr>
      </w:pPr>
      <w:r w:rsidRPr="00D95127">
        <w:t>Pramen: ČSÚ, MZe</w:t>
      </w:r>
    </w:p>
    <w:p w14:paraId="7F9E9660" w14:textId="6F4DE183" w:rsidR="00A16DDB" w:rsidRPr="00B10832" w:rsidRDefault="00A16DDB" w:rsidP="00B10832">
      <w:pPr>
        <w:pStyle w:val="UZEITaB"/>
      </w:pPr>
      <w:r w:rsidRPr="00B10832">
        <w:t xml:space="preserve"> </w:t>
      </w:r>
      <w:bookmarkStart w:id="617" w:name="_Toc81738487"/>
      <w:r w:rsidRPr="00B10832">
        <w:t>Vybrané ukazatele výroby a spotřeby pšenice (2011 – 2020)</w:t>
      </w:r>
      <w:bookmarkEnd w:id="617"/>
    </w:p>
    <w:p w14:paraId="01FBD551" w14:textId="77777777" w:rsidR="00A16DDB" w:rsidRPr="00D95127" w:rsidRDefault="00A16DDB" w:rsidP="00A16DDB">
      <w:pPr>
        <w:pStyle w:val="Standard"/>
        <w:spacing w:line="276" w:lineRule="auto"/>
        <w:jc w:val="both"/>
        <w:rPr>
          <w:rFonts w:ascii="Times New Roman" w:hAnsi="Times New Roman" w:cs="Times New Roman"/>
        </w:rPr>
      </w:pPr>
      <w:r w:rsidRPr="00D95127">
        <w:rPr>
          <w:rFonts w:ascii="Times New Roman" w:hAnsi="Times New Roman" w:cs="Times New Roman"/>
          <w:noProof/>
        </w:rPr>
        <w:drawing>
          <wp:inline distT="0" distB="0" distL="0" distR="0" wp14:anchorId="5059B73D" wp14:editId="1CD77541">
            <wp:extent cx="5760720" cy="122682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60720" cy="1226820"/>
                    </a:xfrm>
                    <a:prstGeom prst="rect">
                      <a:avLst/>
                    </a:prstGeom>
                    <a:noFill/>
                    <a:ln>
                      <a:noFill/>
                    </a:ln>
                  </pic:spPr>
                </pic:pic>
              </a:graphicData>
            </a:graphic>
          </wp:inline>
        </w:drawing>
      </w:r>
    </w:p>
    <w:p w14:paraId="35334264" w14:textId="77777777" w:rsidR="00A16DDB" w:rsidRPr="00D95127" w:rsidRDefault="00A16DDB" w:rsidP="00DC1459">
      <w:pPr>
        <w:pStyle w:val="UZEIZdroj"/>
        <w:rPr>
          <w:i w:val="0"/>
        </w:rPr>
      </w:pPr>
      <w:r w:rsidRPr="00D95127">
        <w:t>Pramen: ČSÚ, MZe</w:t>
      </w:r>
    </w:p>
    <w:p w14:paraId="722BFBF0" w14:textId="3277D36B" w:rsidR="00A16DDB" w:rsidRPr="00B10832" w:rsidRDefault="00A16DDB" w:rsidP="00B10832">
      <w:pPr>
        <w:pStyle w:val="UZEITaB"/>
      </w:pPr>
      <w:r w:rsidRPr="00B10832">
        <w:t xml:space="preserve"> </w:t>
      </w:r>
      <w:bookmarkStart w:id="618" w:name="_Toc81738488"/>
      <w:r w:rsidRPr="00B10832">
        <w:t>Vybrané ukazatele výroby a spotřeby kukuřice (2011 – 2020)</w:t>
      </w:r>
      <w:bookmarkEnd w:id="618"/>
    </w:p>
    <w:p w14:paraId="1C6D1FCC" w14:textId="77777777" w:rsidR="00A16DDB" w:rsidRPr="00D95127" w:rsidRDefault="00A16DDB" w:rsidP="00A16DDB">
      <w:pPr>
        <w:pStyle w:val="Standard"/>
        <w:spacing w:line="276" w:lineRule="auto"/>
        <w:jc w:val="both"/>
        <w:rPr>
          <w:rFonts w:ascii="Times New Roman" w:hAnsi="Times New Roman" w:cs="Times New Roman"/>
        </w:rPr>
      </w:pPr>
      <w:r w:rsidRPr="00D95127">
        <w:rPr>
          <w:rFonts w:ascii="Times New Roman" w:hAnsi="Times New Roman" w:cs="Times New Roman"/>
          <w:noProof/>
        </w:rPr>
        <w:drawing>
          <wp:inline distT="0" distB="0" distL="0" distR="0" wp14:anchorId="10BA0D24" wp14:editId="4C96DF57">
            <wp:extent cx="5760720" cy="1226820"/>
            <wp:effectExtent l="0" t="0" r="0" b="0"/>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60720" cy="1226820"/>
                    </a:xfrm>
                    <a:prstGeom prst="rect">
                      <a:avLst/>
                    </a:prstGeom>
                    <a:noFill/>
                    <a:ln>
                      <a:noFill/>
                    </a:ln>
                  </pic:spPr>
                </pic:pic>
              </a:graphicData>
            </a:graphic>
          </wp:inline>
        </w:drawing>
      </w:r>
    </w:p>
    <w:p w14:paraId="2169A775" w14:textId="77777777" w:rsidR="00A16DDB" w:rsidRPr="00D95127" w:rsidRDefault="00A16DDB" w:rsidP="00C36606">
      <w:pPr>
        <w:pStyle w:val="UZEIZdroj"/>
        <w:rPr>
          <w:i w:val="0"/>
        </w:rPr>
      </w:pPr>
      <w:r w:rsidRPr="00D95127">
        <w:t>Pramen: ČSÚ, MZe</w:t>
      </w:r>
    </w:p>
    <w:p w14:paraId="4AC3F39A" w14:textId="406EA21C" w:rsidR="00A16DDB" w:rsidRPr="00B10832" w:rsidRDefault="00A16DDB" w:rsidP="00B10832">
      <w:pPr>
        <w:pStyle w:val="UZEITaB"/>
      </w:pPr>
      <w:r w:rsidRPr="00B10832">
        <w:t xml:space="preserve"> </w:t>
      </w:r>
      <w:bookmarkStart w:id="619" w:name="_Toc81738489"/>
      <w:r w:rsidRPr="00B10832">
        <w:t>Vybrané ukazatele výroby a spotřeby ječmene (2011 – 2020)</w:t>
      </w:r>
      <w:bookmarkEnd w:id="619"/>
    </w:p>
    <w:p w14:paraId="5A652A25" w14:textId="77777777" w:rsidR="00A16DDB" w:rsidRPr="00D95127" w:rsidRDefault="00A16DDB" w:rsidP="00A16DDB">
      <w:pPr>
        <w:pStyle w:val="Standard"/>
        <w:spacing w:line="276" w:lineRule="auto"/>
        <w:jc w:val="both"/>
        <w:rPr>
          <w:rFonts w:ascii="Times New Roman" w:hAnsi="Times New Roman" w:cs="Times New Roman"/>
        </w:rPr>
      </w:pPr>
      <w:r w:rsidRPr="00D95127">
        <w:rPr>
          <w:rFonts w:ascii="Times New Roman" w:hAnsi="Times New Roman" w:cs="Times New Roman"/>
          <w:noProof/>
        </w:rPr>
        <w:drawing>
          <wp:inline distT="0" distB="0" distL="0" distR="0" wp14:anchorId="5302EE76" wp14:editId="32830740">
            <wp:extent cx="5760720" cy="1226820"/>
            <wp:effectExtent l="0" t="0" r="0" b="0"/>
            <wp:docPr id="107" name="Obrázek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0720" cy="1226820"/>
                    </a:xfrm>
                    <a:prstGeom prst="rect">
                      <a:avLst/>
                    </a:prstGeom>
                    <a:noFill/>
                    <a:ln>
                      <a:noFill/>
                    </a:ln>
                  </pic:spPr>
                </pic:pic>
              </a:graphicData>
            </a:graphic>
          </wp:inline>
        </w:drawing>
      </w:r>
    </w:p>
    <w:p w14:paraId="760EA70D" w14:textId="77777777" w:rsidR="00A16DDB" w:rsidRPr="00D95127" w:rsidRDefault="00A16DDB" w:rsidP="00C36606">
      <w:pPr>
        <w:pStyle w:val="UZEIZdroj"/>
        <w:rPr>
          <w:i w:val="0"/>
        </w:rPr>
      </w:pPr>
      <w:r w:rsidRPr="00D95127">
        <w:t>Pramen: ČSÚ, MZe</w:t>
      </w:r>
    </w:p>
    <w:p w14:paraId="2B2BA738" w14:textId="77777777" w:rsidR="00A16DDB" w:rsidRPr="00B10832" w:rsidRDefault="00A16DDB" w:rsidP="00B10832">
      <w:pPr>
        <w:pStyle w:val="UZEINormaln"/>
      </w:pPr>
      <w:r w:rsidRPr="00B10832">
        <w:t>Co se týče ekonomiky ozimé pšenice, je z dlouhodobého hlediska patrný nárůst podpor v Kč/t. Realizační cena ozimé pšenice v posledních letech spíše mírně roste. Náklady na tunu v Kč v posledních letech naopak klesají. Nákladová rentabilita ozimé pšenice se po prudkém propadu mezi lety 2014 – 2016 začíná v posledních letech pozvolna navyšovat, i když po celé sledované období zůstávala kladná, přičemž obdobný průběh lze sledovat i u souhrnné rentability. Nákladová rentabilita pšenice jarní je v posledních letech převážně velmi nízká či záporná, kdy jednotkové náklady převyšují či se téměř rovnají realizační ceně. Souhrnná rentabilita však zůstává dlouhodobě kladná. V posledních letech dosahovala záporné míry nákladové rentability i ozimá odrůda ječmene. Naopak dlouhodobě velmi dobré a kladné míry nákladové rentability dosahuje jeho jarní odrůda. V posledních letech naopak klesá nákladová rentabilita ovsa, která je čím dál tím výrazněji záporná. V posledních letech dosahují záporné míry nákladové rentability také komodity kukuřice na zrno a tritikale.</w:t>
      </w:r>
    </w:p>
    <w:p w14:paraId="4D9CAF45" w14:textId="46385B0E" w:rsidR="00A16DDB" w:rsidRPr="00B10832" w:rsidRDefault="00A16DDB" w:rsidP="00B10832">
      <w:pPr>
        <w:pStyle w:val="UZEITaB"/>
      </w:pPr>
      <w:r w:rsidRPr="00B10832">
        <w:t xml:space="preserve"> </w:t>
      </w:r>
      <w:bookmarkStart w:id="620" w:name="_Toc81738490"/>
      <w:r w:rsidRPr="00B10832">
        <w:t>Ekonomika pšenice ozimé (2011 – 2020)</w:t>
      </w:r>
      <w:bookmarkEnd w:id="620"/>
    </w:p>
    <w:p w14:paraId="0EFCBC44" w14:textId="77777777" w:rsidR="00A16DDB" w:rsidRPr="00D95127" w:rsidRDefault="00A16DDB" w:rsidP="00A16DDB">
      <w:pPr>
        <w:pStyle w:val="Standard"/>
        <w:spacing w:line="276" w:lineRule="auto"/>
        <w:jc w:val="both"/>
        <w:rPr>
          <w:rFonts w:ascii="Times New Roman" w:hAnsi="Times New Roman" w:cs="Times New Roman"/>
        </w:rPr>
      </w:pPr>
      <w:r w:rsidRPr="00D95127">
        <w:rPr>
          <w:rFonts w:ascii="Times New Roman" w:hAnsi="Times New Roman" w:cs="Times New Roman"/>
          <w:noProof/>
        </w:rPr>
        <w:drawing>
          <wp:inline distT="0" distB="0" distL="0" distR="0" wp14:anchorId="67B9E8AE" wp14:editId="62205185">
            <wp:extent cx="5760720" cy="848360"/>
            <wp:effectExtent l="0" t="0" r="0" b="8890"/>
            <wp:docPr id="108" name="Obráze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0720" cy="848360"/>
                    </a:xfrm>
                    <a:prstGeom prst="rect">
                      <a:avLst/>
                    </a:prstGeom>
                    <a:noFill/>
                    <a:ln>
                      <a:noFill/>
                    </a:ln>
                  </pic:spPr>
                </pic:pic>
              </a:graphicData>
            </a:graphic>
          </wp:inline>
        </w:drawing>
      </w:r>
    </w:p>
    <w:p w14:paraId="10CF3A26" w14:textId="77777777" w:rsidR="00A16DDB" w:rsidRPr="00D95127" w:rsidRDefault="00A16DDB" w:rsidP="00F8731F">
      <w:pPr>
        <w:pStyle w:val="UZEIZdroj"/>
        <w:rPr>
          <w:i w:val="0"/>
        </w:rPr>
      </w:pPr>
      <w:r w:rsidRPr="00D95127">
        <w:t>Pramen: ČSÚ, MZe</w:t>
      </w:r>
    </w:p>
    <w:p w14:paraId="78F6752E" w14:textId="77777777" w:rsidR="00A16DDB" w:rsidRPr="00D95127" w:rsidRDefault="00A16DDB" w:rsidP="00F8731F">
      <w:pPr>
        <w:pStyle w:val="UZEINormaln"/>
        <w:rPr>
          <w:rFonts w:cs="Times New Roman"/>
        </w:rPr>
      </w:pPr>
      <w:r w:rsidRPr="00D95127">
        <w:t xml:space="preserve">Významnějším problémem může být pro obiloviny v budoucnu dopad probíhajících klimatických změn, které mají vliv na objem i kvalitu jejich produkce. V souvislosti s tím je třeba posílit jejich konkurenceschopnost vzhledem k možným rizikům v dosahování stabilních výnosů. V ČR dochází k výraznému nárůstu teplot a ke změně srážkového režimu. Vzrůstá počet hydrometeorologických extrémů jako jsou povodně či extrémní sucho. V posledních letech dochází také k nárůstu počtu tropických dnů, čímž dochází ke zvýšené evapotranspiraci a rychlejšímu vysušování krajiny. Nejvyšší nárůst byl zaznamenán v oblasti Polabí a moravských nížin, které jsou velmi důležitými zemědělskými oblastmi. Dochází také ke zhoršení kvality půdy v důsledku velkoplošného a „bi-kulturního“ pěstování plodin a vysokým podílem odrůd vyšlechtěných pro odlišné klimatické podmínky. Nerovnoměrně rozložené srážky během celého roku se mohou projevovat nedostatkem vláhy ve vegetačním období jakožto i přívalovými dešti, které způsobují vodní erozi a povodně. Suché zimy a snižující se množství sněhové pokrývky jsou začátkem pro vývoj sucha v dalších měsících. Jako problematická se jeví nahodilost výskytů sucha a které je tedy velmi obtížně předvídatelné. Dochází tedy k posunu začátku i konce vegetačního období. Všechny zmíněné změny mohou mít výrazný dopad na velikost a kvalitu výnosů. Může dojít k poklesu produkčního potenciálu kukuřičné a řepařské výrobní oblasti. Zejména konkurenceschopnost pěstitelů kukuřice je do značné míry závislá na povětrnostních podmínkách daného pěstebního roku, neboť výměra oblastí vhodných pro pěstování kukuřice je omezená. V sektoru obilovin není větší problém se soběstačností či konkurenceschopností pěstovaných plodin. Sektor je podporován přímými dotacemi, čímž vzrostla ekonomická soběstačnost producentů a došlo k realizaci významných investic do skladovacích kapacit a zemědělské techniky, což umožňuje zemědělcům čekat na příhodnější cenu a také lépe třídit produkci dle kvality. Na trhu existuje stabilní poptávka zpracovatelského průmyslu a také poptávka na vnějších trzích. </w:t>
      </w:r>
    </w:p>
    <w:p w14:paraId="21FA5A74" w14:textId="77777777" w:rsidR="00A16DDB" w:rsidRPr="00D95127" w:rsidRDefault="00A16DDB" w:rsidP="00F8731F">
      <w:pPr>
        <w:pStyle w:val="UZEINormaln"/>
        <w:rPr>
          <w:rFonts w:cs="Times New Roman"/>
        </w:rPr>
      </w:pPr>
      <w:r w:rsidRPr="00D95127">
        <w:t xml:space="preserve">Segment obchodníků s obilovinami je stále nedostatečně koncentrovaný, je zde příliš mnoho subjektů, které spolupracují s nadnárodními obchodními organizacemi a zpracovateli. Ke sdružování prvovýrobců za účelem zajištění příznivého odbytu dochází pouze ojediněle. Prvovýrobci se také potýkají se značně omezenou strukturou pěstovaných komodit uplatnitelných na trhu a struktura výroby je závislá zejména na exportu. Významná část pšenice je určena právě pro vývoz (důvodem je také nízká spotřeba obilovin pro krmné účely a nedostatečně rozvinutý sektor technického užití obilovin), a proto o tuzemských cenách rozhoduje cena evropská i světová. Díky dotacím došlo ke snížení závislost prvovýrobců na podnicích zemědělského zásobování a nákupu, která se projevuje tak, že se výrazně omezily úvěry na osiva a hnojiva. Obiloviny jsou nakupovány přímo zpracovateli (mlýny), velkosklady ZZN nebo obchodními společnostmi. Jak již bylo zmíněno, struktura obchodníků s obilovinami je v ČR roztříštěná. Existuje několik velkých podniků zemědělského zásobování a nákupu, u kterých je plně uplatněna vertikální kombinace, na trhu vedle nich působí také velké množství malých obchodních organizací, které mají stále největší vliv na zemědělské podniky. Zemědělské podniky většinou nemají své vlastní obchodníky a jsou tak závislé na síti malých i velkých obchodních organizací. Činnost odbytových organizací je ojedinělá. Vztahy prvovýrobců s obchodními organizacemi jsou jednorázové, založené na osobních vazbách. Obchodní podmínky se tvoří většinou u zákazníků v zahraničí. Prvovýrobcům mohou být uplatňovány cenové srážky za kvalitu, které stanoví a vyžaduje zákazník. Situace u sladovnického ječmene je specifická, působí zde velký zpracovatel, který vykupuje veškerou produkci za vyhlašované ceny. </w:t>
      </w:r>
    </w:p>
    <w:p w14:paraId="1BCE34C5" w14:textId="77777777" w:rsidR="00B10832" w:rsidRDefault="00B10832">
      <w:pPr>
        <w:spacing w:after="160" w:line="259" w:lineRule="auto"/>
        <w:jc w:val="left"/>
        <w:rPr>
          <w:rFonts w:eastAsiaTheme="majorEastAsia" w:cs="Times New Roman"/>
          <w:b/>
          <w:bCs/>
          <w:sz w:val="28"/>
          <w:szCs w:val="32"/>
          <w:lang w:val="cs-CZ"/>
        </w:rPr>
      </w:pPr>
      <w:bookmarkStart w:id="621" w:name="_Toc76137404"/>
      <w:bookmarkStart w:id="622" w:name="_Toc76637603"/>
      <w:bookmarkStart w:id="623" w:name="_Toc80953282"/>
      <w:bookmarkStart w:id="624" w:name="_Hlk75775956"/>
      <w:r>
        <w:br w:type="page"/>
      </w:r>
    </w:p>
    <w:p w14:paraId="1C6CC79E" w14:textId="6B439C40" w:rsidR="00A16DDB" w:rsidRPr="00D95127" w:rsidRDefault="00A16DDB" w:rsidP="00F8731F">
      <w:pPr>
        <w:pStyle w:val="Nadpis1"/>
      </w:pPr>
      <w:bookmarkStart w:id="625" w:name="_Toc81739235"/>
      <w:r w:rsidRPr="00D95127">
        <w:t>Jaký je mechanismus a příčiny tohoto problému?</w:t>
      </w:r>
      <w:bookmarkEnd w:id="621"/>
      <w:bookmarkEnd w:id="622"/>
      <w:bookmarkEnd w:id="623"/>
      <w:bookmarkEnd w:id="625"/>
    </w:p>
    <w:bookmarkEnd w:id="624"/>
    <w:p w14:paraId="1432CA13" w14:textId="77777777" w:rsidR="00A16DDB" w:rsidRPr="00D95127" w:rsidRDefault="00A16DDB" w:rsidP="00F8731F">
      <w:pPr>
        <w:pStyle w:val="UZEINormaln"/>
        <w:rPr>
          <w:rFonts w:cs="Times New Roman"/>
        </w:rPr>
      </w:pPr>
      <w:r w:rsidRPr="00D95127">
        <w:t xml:space="preserve">Nárůst teplot povede ke zkrácení fenologických fází rostlin s negativním vlivem na tvorbu výnosu. Tyto změny již ovlivňují a do budoucna mohou významně ovlivnit i životní cykly škůdců a jejich predátorů a dalších škůdců a vektorů chorob. V zimních měsících lze očekávat úbytek trvání sněhové pokrývky zejména v nižších a středních polohách, což zásadně ovlivní především přezimování polních plodin, které jsou v případě výskytu holomrazů postiženy vymrzáním. V jarním období dřívější aktivitou vegetace a vyšší potřebou vláhy na transpiraci, dochází a bude docházet k častějšímu výskytu jarního sucha. Sucho v období jara bude podpořeno i přímým vzestupem teploty, kdy dochází jednak ke zvýšení neproduktivní evaporace a k zesílení vzestupných konvekčních proudů. Mění se také rozložení srážek, a to ve smyslu ubývání jak srážkových dnů, tak i dnů s nižšími srážkovými úhrny. V letním období jsou negativní dopady spojené zejména s nárůstem teploty, úbytkem srážek, změnami jejich rozložení a výskytem hydrometeorologických extrémů. Zvyšující se počet letních a tropických dnů a s nimi spojených horkých vln ohrožuje na konci jara a v létě veškeré polní plodiny, a to i tehdy, kdy je v půdě relativně dostatek vláhy. Ta se však díky klimatickým podmínkám snižuje a obdobně jako v období jarním je pozorován nárůst agronomického sucha, jehož definice je spojena s půdní vlhkostí. Dopady sucha na plodiny budou stále častěji příčinou vysoké variability výnosů a regionálních výnosových propadů. Jednou z příčin budou i nižší průtoky řek ovlivňující hladinu podzemní vody a nižší stavy vodních nádrží, které by byly potenciálním zdrojem pro závlahy. Extrémní meteorologické jevy se stanou častějšími a budou jimi postiženy všechny oblasti ČR. Intenzivní srážky spolu s vyšší variabilitou podnebí (střídající se sucho s povodněmi) budou na konci jara, ale především v létě příčinou problémů se sklizní, které se mohou vyskytnout prakticky na celém území České republiky. V důsledku déle trvajícího sucha v kombinaci s nevhodným obhospodařováním bude část zemědělské </w:t>
      </w:r>
      <w:r w:rsidRPr="00D95127">
        <w:rPr>
          <w:rFonts w:cs="Times New Roman"/>
          <w:bCs/>
        </w:rPr>
        <w:t>půdy vystavena zvýšené degradaci a projevům eroze,</w:t>
      </w:r>
      <w:r w:rsidRPr="00D95127">
        <w:rPr>
          <w:rFonts w:cs="Times New Roman"/>
        </w:rPr>
        <w:t xml:space="preserve"> a to povede k dalšímu snížení produkčního potenciálu. V důsledku intenzifikace zemědělské výroby v minulosti jsou v ČR největší půdní bloky v Evropě, což průběh vodní eroze jen podporuje. Při scelování pozemků byly také ve velkém rušeny hydrografické a další krajinné prvky (rozorání mezí, zatravněných údolnic, polních cest, likvidace rozptýlené zeleně apod.), které zrychlenou erozi účinně omezovaly. Stavu půdy neprospívá ani současná situace s chybějící živočišnou výrobou a s ní spojená absence kvalitního organického hnojiva. V půdě je tak nízký podíl kvalitní organické hmoty, což vede ke zhoršeným vlastnostem půdy včetně schopnosti poutat živiny a vody a větší náchylnosti na utužení a erozi, zvyšují se tak i náklady na hnojení.</w:t>
      </w:r>
      <w:bookmarkStart w:id="626" w:name="_Hlk521661942"/>
      <w:r w:rsidRPr="00D95127">
        <w:rPr>
          <w:rFonts w:cs="Times New Roman"/>
        </w:rPr>
        <w:t xml:space="preserve"> Projevům eroze často napomáhá nedostatečně efektivní nastavení standardů dobrého zemědělského a environmentálního stavu půdy a monotónnost a jednostranná zaměřenost rostlinné výroby. Současná struktura osevních postupů je tvořena převážně třemi plodinami – obilniny (cca 54 % plochy), řepka (cca 16 %), kukuřice (cca 12 %) a ostatní plodiny (cca 17 %). V České republice jednoznačně převažují ozimé formy, přičemž hlavním důvodem je, že jsou výnosově stabilnější než jarní formy. Množství a struktura pěstovaných plodin je dnes významně ovlivněna dodavatelsko-odběratelskými vztahy, stabilitou výnosu a tržbami pěstované plodiny.</w:t>
      </w:r>
      <w:bookmarkEnd w:id="626"/>
      <w:r w:rsidRPr="00D95127">
        <w:rPr>
          <w:rFonts w:cs="Times New Roman"/>
        </w:rPr>
        <w:t xml:space="preserve"> Zemědělci přednostně pěstují tržně zajímavé a ekonomicky efektivní plodiny navázané na stabilní odbyt, např. kukuřice na zrno (potravinářská výroba, krmivářství) či obiloviny (sladovnictví, potravinářská výroba, krmivářství). Zároveň se omezují plochy pro zajištění krmiva, což souvisí se snižujícími se stavy hospodářských zvířat. Mechanizace a technologie pěstování hlavních tržních plodin jsou přizpůsobeny pro dosažení maximální produktivity. Minoritní plodiny nejsou ekonomicky atraktivní a technologie jejich pěstování má více úskalí než technologie majoritních plodin, a to včetně nabídky odrůd. Také zákaz účinných látek limituje pěstování pestřejší škály plodin. Nemalý vliv na strukturu pěstovaných obilovin mají také dotace pro „zelenější zdroje energie“ (kukuřice pro bioplynové stanice, palivo obohacené o biolíh – 4,5% podíl biolihu v pohonných hmotách, který se vyrábí také z obilnin a kukuřice. Omezená struktura osevních postupů vede k akumulaci škodlivých organismů a nárůstu významu minoritních škodlivých organismů. Absence kvalitních meziplodin a dusík vázajících plodin v osevních postupech má za následek zhoršené vlastnosti půdy. Technologie pěstování obilovin a jsou téměř úplně závislé na používaných přípravcích pro ochranu rostlin. Vliv klimatu v kombinaci s omezeným osevním postupem a novými pěstebními technologiemi představuje ideální podmínky pro namnožení škodlivých organismů, podporu vzniku rezistence vůči používaným přípravkům na ochranu rostlin a riziko vyplývající z používaných minimalizačních technologií. V důsledku eroze dochází ke škodám – je odnášena nejúrodnější svrchní vrstva půdy a tím snižována její úrodnost. Zejména konkurenceschopnost pěstitelů kukuřice je do značné míry závislá na povětrnostních podmínkách konkrétního ročníku, neboť výměra oblastí vhodných pro pěstování kukuřice je omezená. Situaci s měnícím se klimatem také nepřispívají způsoby využívání krajiny, které nezohledňují trvale udržitelné postupy hospodaření. Půda, využívaná pro maximální zisk z primární produkce, bez ohledu na princip trvalé udržitelnosti, je po epizodách sucha nebo povodních ve stavu s nutností mimořádných dotací státu za náhradu škod způsobených těmito jevy. S touto problematikou však úzce souvisí i fakt, že zemědělci v České republice převážně hospodaří na pronajaté půdě.</w:t>
      </w:r>
    </w:p>
    <w:p w14:paraId="1C39F441" w14:textId="77777777" w:rsidR="00B10832" w:rsidRDefault="00B10832">
      <w:pPr>
        <w:spacing w:after="160" w:line="259" w:lineRule="auto"/>
        <w:jc w:val="left"/>
        <w:rPr>
          <w:rFonts w:eastAsiaTheme="majorEastAsia" w:cs="Times New Roman"/>
          <w:b/>
          <w:bCs/>
          <w:sz w:val="28"/>
          <w:szCs w:val="32"/>
          <w:lang w:val="cs-CZ"/>
        </w:rPr>
      </w:pPr>
      <w:bookmarkStart w:id="627" w:name="_Toc76137405"/>
      <w:bookmarkStart w:id="628" w:name="_Toc76637604"/>
      <w:bookmarkStart w:id="629" w:name="_Toc80953283"/>
      <w:r>
        <w:br w:type="page"/>
      </w:r>
    </w:p>
    <w:p w14:paraId="7B7EEDED" w14:textId="50CB243C" w:rsidR="00A16DDB" w:rsidRPr="00D95127" w:rsidRDefault="00A16DDB" w:rsidP="00F8731F">
      <w:pPr>
        <w:pStyle w:val="Nadpis1"/>
      </w:pPr>
      <w:bookmarkStart w:id="630" w:name="_Toc81739236"/>
      <w:r w:rsidRPr="00D95127">
        <w:t>Jak závažný je tento problém?</w:t>
      </w:r>
      <w:bookmarkEnd w:id="627"/>
      <w:bookmarkEnd w:id="628"/>
      <w:bookmarkEnd w:id="629"/>
      <w:bookmarkEnd w:id="630"/>
    </w:p>
    <w:p w14:paraId="4F7A91AF" w14:textId="77777777" w:rsidR="00A16DDB" w:rsidRPr="00D95127" w:rsidRDefault="00A16DDB" w:rsidP="00F8731F">
      <w:pPr>
        <w:pStyle w:val="UZEINormaln"/>
        <w:rPr>
          <w:rFonts w:cs="Times New Roman"/>
        </w:rPr>
      </w:pPr>
      <w:r w:rsidRPr="00D95127">
        <w:t>Problém měnícího se klimatu může mít v budoucnu dopad do oblasti ekonomické, enviromentální i sociální. Dle směru, kterým se klimatické změny ubírají se může do budoucna předpokládat, že se bude zemědělství potýkat s nižšími výnosy – bude se snižovat úrodnost půdy v důsledku rostoucí půdní eroze, snižovat biodiverzita v krajině a omezovat zdroje vody pro závlahy. Ačkoliv epizody sucha zatím přímo neohrožují potravinovou bezpečnost ČR, v posledních letech dochází ke zvýšené citlivosti produkce potravin na výskyt sucha na území České republiky. Je evidentní, že existuje riziko snížení potenciální produktivity klíčových zemědělských oblastí v ČR, neboť v důsledku nedostatku vláhy klesá efektivní délka vegetační sezóny. Naopak ve vyšších polohách s relativním dostatkem vláhy hodnota roste, ale zemědělská produkce ve vyšších polohách nebude schopna v dlouhodobém časovém horizontu vykrývat výpadky nižších poloh. Riziko výskytu sucha obecně stoupne, a to podle některých scénářů i několikanásobně. To v kombinaci s výše uvedenými změnami podvazuje produkční schopnost zvláště těch regionů, které dnes spadají do kukuřičné a řepařské výrobní oblasti.</w:t>
      </w:r>
      <w:r w:rsidRPr="00D95127">
        <w:rPr>
          <w:rFonts w:cs="Times New Roman"/>
        </w:rPr>
        <w:t xml:space="preserve"> Lze očekávat nárůst meziroční variability výnosů zemědělských plodin díky zvýšené frekvenci a intenzitě nepříznivých situací pro rostlinou produkci jako jsou významné epizody sucha, výskyt stresu vysokými teplotami v citlivých vývojových fázích či poškození nízkými teplotami. Dopady globální klimatické změny na agroklimatické podmínky v ČR způsobí ústup agroklimatických podmínek vymezující pícninářskou a obilnářsko-bramborářskou výrobní oblast. Současně s tím se bude zvětšovat plocha s podmínkami oblasti řepařské a kukuřičné. Dochází k „pronikání“ kukuřičné výrobní oblasti a sušších agroklimatických režimů do klíčových oblastí střední Moravy a Polabí, kde se v současnosti setkáváme téměř s optimální kombinací klimatických a půdních podmínek pro bez-závlahové zemědělství. Oblasti, ve kterých dochází k přechodnému zlepšení agroklimatických podmínek, se co do kvality půdy nemohou s oblastí Hané ani Polabí měřit. Pěstování plodin bez využití závlah se postupně bude stávat v oblastech úvalů a Podunajské nížiny nerentabilní za předpokladu realizace v současnosti uznávaných scénářů vývoje budoucího klimatu. Kromě dopadů sucha jako pravděpodobně nejvýznamnějšího očekávaného projevu změny klimatu na produkci je velmi významná erozi půdy. V případě, že se nebudou důsledně aplikovat protierozní opatření, lze očekávat při vyšším výskytu intenzivních srážek často dopadající na vyschlou půdu, výrazně intenzivnější erozní projevy. K tomuto stavu také přispívá monotónnost a jednostranná zaměřenost naší rostlinné výroby, kdy například pěstování kukuřice je realizováno v nevhodných oblastech. Lze také očekávat změny nejen v četnosti výskytu erozně nebezpečných dešťů, ale též v sezonalitě jejich výskytu v jednotlivých měsících, vydatnosti, intenzitě a době trvání. Obecně lze říci, že čím nižší je vlhkost půdy, tím větší je její náchylnost k větrné erozi. Je tedy zřejmé, že dopad očekávané klimatické změny se projeví na výrazném rozšíření půd ohrožených větrnou erozí.</w:t>
      </w:r>
    </w:p>
    <w:p w14:paraId="2C33D8B1" w14:textId="77777777" w:rsidR="00A16DDB" w:rsidRPr="00D95127" w:rsidRDefault="00A16DDB" w:rsidP="00F8731F">
      <w:pPr>
        <w:pStyle w:val="UZEINormaln"/>
        <w:rPr>
          <w:rFonts w:cs="Times New Roman"/>
        </w:rPr>
      </w:pPr>
      <w:r w:rsidRPr="00D95127">
        <w:t>Kromě změny půdních teplotně vlhkostních režimů a eroze se budou měnit i vlastnosti půd jako je jejich utužen.</w:t>
      </w:r>
    </w:p>
    <w:p w14:paraId="49847848" w14:textId="77777777" w:rsidR="00B10832" w:rsidRDefault="00B10832">
      <w:pPr>
        <w:spacing w:after="160" w:line="259" w:lineRule="auto"/>
        <w:jc w:val="left"/>
        <w:rPr>
          <w:rFonts w:eastAsiaTheme="majorEastAsia" w:cs="Times New Roman"/>
          <w:b/>
          <w:bCs/>
          <w:sz w:val="28"/>
          <w:szCs w:val="32"/>
          <w:lang w:val="cs-CZ"/>
        </w:rPr>
      </w:pPr>
      <w:bookmarkStart w:id="631" w:name="_Toc76137406"/>
      <w:bookmarkStart w:id="632" w:name="_Toc76637605"/>
      <w:bookmarkStart w:id="633" w:name="_Toc80953284"/>
      <w:r>
        <w:br w:type="page"/>
      </w:r>
    </w:p>
    <w:p w14:paraId="5C0CCA47" w14:textId="765C2F03" w:rsidR="00A16DDB" w:rsidRPr="00D95127" w:rsidRDefault="00A16DDB" w:rsidP="00F8731F">
      <w:pPr>
        <w:pStyle w:val="Nadpis1"/>
      </w:pPr>
      <w:bookmarkStart w:id="634" w:name="_Toc81739237"/>
      <w:r w:rsidRPr="00D95127">
        <w:t>Míra stávajícího řešení problému</w:t>
      </w:r>
      <w:bookmarkEnd w:id="631"/>
      <w:bookmarkEnd w:id="632"/>
      <w:bookmarkEnd w:id="633"/>
      <w:bookmarkEnd w:id="634"/>
    </w:p>
    <w:p w14:paraId="71B8E6AC" w14:textId="77777777" w:rsidR="00A16DDB" w:rsidRPr="00B10832" w:rsidRDefault="00A16DDB" w:rsidP="00B10832">
      <w:pPr>
        <w:pStyle w:val="Nadpis2"/>
      </w:pPr>
      <w:bookmarkStart w:id="635" w:name="_Toc76137407"/>
      <w:bookmarkStart w:id="636" w:name="_Toc76637606"/>
      <w:bookmarkStart w:id="637" w:name="_Toc80953285"/>
      <w:bookmarkStart w:id="638" w:name="_Toc81739238"/>
      <w:r w:rsidRPr="00B10832">
        <w:t>Míra řešení ve stávající SZP (úspěšnost/neúspěšnost)</w:t>
      </w:r>
      <w:bookmarkEnd w:id="635"/>
      <w:bookmarkEnd w:id="636"/>
      <w:bookmarkEnd w:id="637"/>
      <w:bookmarkEnd w:id="638"/>
      <w:r w:rsidRPr="00B10832">
        <w:t xml:space="preserve"> </w:t>
      </w:r>
    </w:p>
    <w:p w14:paraId="5D764F5E" w14:textId="77777777" w:rsidR="00A16DDB" w:rsidRPr="00D95127" w:rsidRDefault="00A16DDB" w:rsidP="00F8731F">
      <w:pPr>
        <w:pStyle w:val="UZEINormaln"/>
        <w:rPr>
          <w:rFonts w:cs="Times New Roman"/>
        </w:rPr>
      </w:pPr>
      <w:r w:rsidRPr="00D95127">
        <w:t xml:space="preserve">V rámci SZP je možné ovlivnit většinu adaptačních opatření, tedy vyrovnání se s dopady měnícího se klimatu. Opatření by měla být orientována zejména na problematiku půdy a rostlinné produkce. Podstatná je změna hospodaření s vodními zdroji v krajině. Rostlinná výroba je v ČR v podmínkách SZP EU podporována systémem přímých plateb v rámci kterých se klade důraz na šetrný přístup k životnímu prostředí pomocí režimu ozelenění. Od roku 2015 přímé platby v ČR mimo jiné tvoří jednotná platba na plochu zemědělské půdy (SAPS) a platba pro zemědělce dodržující zemědělské postupy příznivé pro klima a životní prostředí - tzv. greening. SAPS je poskytován ze zdrojů Evropské unie na hektar způsobilé zemědělské půdy. Poskytnutí SAPS je mimo jiné podmíněno řádným obhospodařováním zemědělské půdy, dodržováním podmínek dobrého zemědělského a enviromentálního stavu (DZES) a také dodržováním některých povinných požadavků na hospodaření, které jsou společně s DZES známy jako podmínky podmíněnosti – tzv. Cross-Compliance. Cílem greeningu je snížit negativní dopady zemědělské činnosti na životní prostředí. Žadatel o SAPS je povinen dodržovat na všech svých způsobilých hektarech zemědělské půdy zemědělské postupy příznivé pro klima a životní prostředí. Do greeningu spadá diverzifikace plodin, zachování výměry trvalých travních porostů a vyhrazení plochy využívané v ekologickém zájmu. </w:t>
      </w:r>
    </w:p>
    <w:p w14:paraId="1ECF9ECB" w14:textId="15CCB4FE" w:rsidR="00A16DDB" w:rsidRPr="00B10832" w:rsidRDefault="00A16DDB" w:rsidP="00B10832">
      <w:pPr>
        <w:pStyle w:val="UZEITaB"/>
      </w:pPr>
      <w:r w:rsidRPr="00B10832">
        <w:t xml:space="preserve"> </w:t>
      </w:r>
      <w:bookmarkStart w:id="639" w:name="_Toc81738491"/>
      <w:r w:rsidRPr="00B10832">
        <w:t>Dotační podpory pšenice ozimé (2011 – 2020)</w:t>
      </w:r>
      <w:bookmarkEnd w:id="639"/>
    </w:p>
    <w:p w14:paraId="1E0B9CD4" w14:textId="77777777" w:rsidR="00A16DDB" w:rsidRPr="00D95127" w:rsidRDefault="00A16DDB" w:rsidP="00A16DDB">
      <w:pPr>
        <w:pStyle w:val="Standard"/>
        <w:spacing w:line="276" w:lineRule="auto"/>
        <w:jc w:val="both"/>
        <w:rPr>
          <w:rFonts w:ascii="Times New Roman" w:hAnsi="Times New Roman" w:cs="Times New Roman"/>
        </w:rPr>
      </w:pPr>
      <w:r w:rsidRPr="00D95127">
        <w:rPr>
          <w:rFonts w:ascii="Times New Roman" w:hAnsi="Times New Roman" w:cs="Times New Roman"/>
          <w:noProof/>
        </w:rPr>
        <w:drawing>
          <wp:inline distT="0" distB="0" distL="0" distR="0" wp14:anchorId="0CE45441" wp14:editId="2E80FB89">
            <wp:extent cx="5760720" cy="1306830"/>
            <wp:effectExtent l="0" t="0" r="0" b="762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0720" cy="1306830"/>
                    </a:xfrm>
                    <a:prstGeom prst="rect">
                      <a:avLst/>
                    </a:prstGeom>
                    <a:noFill/>
                    <a:ln>
                      <a:noFill/>
                    </a:ln>
                  </pic:spPr>
                </pic:pic>
              </a:graphicData>
            </a:graphic>
          </wp:inline>
        </w:drawing>
      </w:r>
    </w:p>
    <w:p w14:paraId="3E8C24A4" w14:textId="77777777" w:rsidR="00A16DDB" w:rsidRPr="00D95127" w:rsidRDefault="00A16DDB" w:rsidP="00F8731F">
      <w:pPr>
        <w:pStyle w:val="UZEIZdroj"/>
        <w:rPr>
          <w:i w:val="0"/>
          <w:iCs w:val="0"/>
          <w:sz w:val="18"/>
          <w:szCs w:val="18"/>
          <w:lang w:eastAsia="cs-CZ"/>
        </w:rPr>
      </w:pPr>
      <w:r w:rsidRPr="00D95127">
        <w:rPr>
          <w:lang w:eastAsia="cs-CZ"/>
        </w:rPr>
        <w:t>Pramen: ÚZEI</w:t>
      </w:r>
    </w:p>
    <w:p w14:paraId="755D0D95" w14:textId="77777777" w:rsidR="00A16DDB" w:rsidRPr="00D95127" w:rsidRDefault="00A16DDB" w:rsidP="00F8731F">
      <w:pPr>
        <w:pStyle w:val="UZEINormaln"/>
        <w:rPr>
          <w:rFonts w:cs="Times New Roman"/>
        </w:rPr>
      </w:pPr>
      <w:r w:rsidRPr="00D95127">
        <w:t>V rámci každého Programu rozvoje venkova je minimálně 30 % rozpočtu určeno na podporu dobrovolných opatření, která jsou přínosná pro životní prostředí a klima (například agroenvironmentálně‐klimatické opatření, LFA, Natura 2000, ekologické zemědělství nebo opatření v sektoru lesnictví). Nitrátová směrnice Rady 91/676/EHS stanovila pravidla a omezení, která mají rovněž vedlejší vliv na produkci emisí, jako je užití hnojiv nebo jejich skladování. Na základě revize mezinárodních pravidel Rámcové úmluvy pro vykazování emisí v sektoru zemědělství a lesnictví z roku 2011, bylo přijato rozhodnutí č. 529/2013/EU. Nestanovilo sice žádné konkrétní cíle v ochraně klimatu, ale díky jednotným pravidlům pro měření a vykazování emisí umožňuje v rámci Společné zemědělské politiky EU finančně podpořit farmáře, kteří hospodaří šetrně.</w:t>
      </w:r>
    </w:p>
    <w:p w14:paraId="0DDF0278" w14:textId="77777777" w:rsidR="00A16DDB" w:rsidRPr="00B10832" w:rsidRDefault="00A16DDB" w:rsidP="00B10832">
      <w:pPr>
        <w:pStyle w:val="Nadpis2"/>
      </w:pPr>
      <w:bookmarkStart w:id="640" w:name="_Toc76137408"/>
      <w:bookmarkStart w:id="641" w:name="_Toc76637607"/>
      <w:bookmarkStart w:id="642" w:name="_Toc80953286"/>
      <w:bookmarkStart w:id="643" w:name="_Toc81739239"/>
      <w:r w:rsidRPr="00B10832">
        <w:t>Míra současného řešení problému jinými politikami</w:t>
      </w:r>
      <w:bookmarkEnd w:id="640"/>
      <w:bookmarkEnd w:id="641"/>
      <w:bookmarkEnd w:id="642"/>
      <w:bookmarkEnd w:id="643"/>
    </w:p>
    <w:p w14:paraId="3F6E7A74" w14:textId="77777777" w:rsidR="00A16DDB" w:rsidRPr="00D95127" w:rsidRDefault="00A16DDB" w:rsidP="00F8731F">
      <w:pPr>
        <w:pStyle w:val="UZEINormaln"/>
        <w:rPr>
          <w:rFonts w:cs="Times New Roman"/>
        </w:rPr>
      </w:pPr>
      <w:r w:rsidRPr="00D95127">
        <w:t xml:space="preserve">Po přijetí kjótského protokolu v roce 1999 byl na národní úrovni přijat dokument Strategie ochrany klimatického systému Země v České republice. Po vstupu do EU byla tato strategie aktualizována jako Národní program na zmírnění dopadů změny klimatu v České republice. Dokument Strategie přizpůsobení se změně klimatu v podmínkách ČR prezentuje strategický rámec, zaměřený na jednotlivé socioekonomické sektory a jejich účinné vyrovnání se s následky dopadů změny klimatu, a to včetně legislativní a ekonomické analýzy navrhovaných opatření. Podpora opatření pro přizpůsobení se negativním dopadům změny klimatu je také jednou z nejdůležitějších priorit Státní politiky životního prostředí České republiky 2030 s výhledem do 2050 a Koncepce environmentální bezpečnosti 2016-2020 s výhledem do roku 2030. Dále byl zpracován dokument Politika ochrany klimatu v České republice, která reaguje na nové odborné poznatky a vývoj politických jednání v ČR, EU a na mezinárodní úrovni, který uvádí, že zemědělství může k ochraně klimatu přispět zejména snížením vlastní produkce emisí skleníkových plynů, zvýšením poutání uhlíku v půdě a produkcí obnovitelných zdrojů energií. Režim ekologického zemědělství, jako důležitý nástroj ke snižování spotřeby minerálních hnojiv, je stanoven nařízením Rady a Evropského parlamentu č. 834/2007 a zákonem č. 242/2000 Sb., o ekologickém zemědělství. Zásadní vliv na rozšiřování plochy zemědělské půdy obhospodařované podle zásad ekologického zemědělství má podpora poskytovaná v rámci Programu rozvoje venkova ČR. Adaptace na změnu klimatu je na národní úrovni řešena Strategií přizpůsobení se změně klimatu v podmínkách ČR ("Adaptační strategie ČR"). Cílem Adaptační strategie ČR je zmírnit dopady změny klimatu přizpůsobením se této změně v co největší míře, zachovat dobré životní podmínky a uchovat a případně vylepšit hospodářský potenciál pro příští generace. </w:t>
      </w:r>
    </w:p>
    <w:p w14:paraId="0C5C8B36" w14:textId="77777777" w:rsidR="00A16DDB" w:rsidRPr="00D95127" w:rsidRDefault="00A16DDB" w:rsidP="00F8731F">
      <w:pPr>
        <w:pStyle w:val="UZEINormaln"/>
        <w:rPr>
          <w:rFonts w:cs="Times New Roman"/>
        </w:rPr>
      </w:pPr>
      <w:r w:rsidRPr="00D95127">
        <w:t>Příjmové podpory v rámci SZP jsou doplněny podporami provozního nebo investičního charakteru z národních zdrojů, a to v podobně dlouhodobých programů nebo mimořádných plateb. Vzhledem k výkyvům klimatu to byla v letech 2017 vyplacená mimořádná podpora na zmírnění škod způsobených suchem. Mezi další pravidelně vyplácené provozní podpory, které jsou ale méně významné z hlediska jejich výše, patří podpory na pojištění na ha zemědělské plodiny a vratka zelené nafty.</w:t>
      </w:r>
    </w:p>
    <w:p w14:paraId="55554CA4" w14:textId="77777777" w:rsidR="00A16DDB" w:rsidRPr="00D95127" w:rsidRDefault="00A16DDB" w:rsidP="00F8731F">
      <w:pPr>
        <w:pStyle w:val="UZEINormaln"/>
        <w:rPr>
          <w:rFonts w:cs="Times New Roman"/>
        </w:rPr>
      </w:pPr>
      <w:r w:rsidRPr="00D95127">
        <w:t xml:space="preserve">Z hlediska strukturálních podpor mohou pěstitelé pro komoditu řepka olejná využít následujících Národních dotačních programů: </w:t>
      </w:r>
    </w:p>
    <w:p w14:paraId="446A07FE" w14:textId="77777777" w:rsidR="00A16DDB" w:rsidRPr="00D95127" w:rsidRDefault="00A16DDB" w:rsidP="00F8731F">
      <w:pPr>
        <w:pStyle w:val="UZEINormaln"/>
        <w:rPr>
          <w:rFonts w:cs="Times New Roman"/>
        </w:rPr>
      </w:pPr>
      <w:r w:rsidRPr="00D95127">
        <w:t xml:space="preserve">Program 3. Podpora ozdravování polních a speciálních plodin </w:t>
      </w:r>
    </w:p>
    <w:p w14:paraId="32C18200" w14:textId="77777777" w:rsidR="00A16DDB" w:rsidRPr="00D95127" w:rsidRDefault="00A16DDB" w:rsidP="00F8731F">
      <w:pPr>
        <w:pStyle w:val="UZEIOdrky"/>
        <w:rPr>
          <w:rFonts w:cs="Times New Roman"/>
        </w:rPr>
      </w:pPr>
      <w:r w:rsidRPr="00D95127">
        <w:t xml:space="preserve">3. a) Biologická ochrana </w:t>
      </w:r>
    </w:p>
    <w:p w14:paraId="44A514F7" w14:textId="77777777" w:rsidR="00A16DDB" w:rsidRPr="00D95127" w:rsidRDefault="00A16DDB" w:rsidP="005E1966">
      <w:pPr>
        <w:pStyle w:val="UZEIOdrky"/>
        <w:numPr>
          <w:ilvl w:val="1"/>
          <w:numId w:val="1"/>
        </w:numPr>
        <w:rPr>
          <w:rFonts w:cs="Times New Roman"/>
        </w:rPr>
      </w:pPr>
      <w:r w:rsidRPr="00D95127">
        <w:t xml:space="preserve">Účelem dotace je zvýšení kvality rostlinné produkce prostřednictvím náhrady chemického ošetření a prevence proti šíření </w:t>
      </w:r>
      <w:r w:rsidRPr="00D95127">
        <w:rPr>
          <w:rFonts w:cs="Times New Roman"/>
        </w:rPr>
        <w:t>hospodářsky závažných virových a bakteriálních chorob a chorob přenosných osivem a sadbou. Smyslem je pořízení biologické ochrany rostlin jako náhrady za aplikování chemické ochrany rostlin.</w:t>
      </w:r>
    </w:p>
    <w:p w14:paraId="0C220ED7" w14:textId="77777777" w:rsidR="00A16DDB" w:rsidRPr="00D95127" w:rsidRDefault="00A16DDB" w:rsidP="00F8731F">
      <w:pPr>
        <w:pStyle w:val="UZEIOdrky"/>
        <w:rPr>
          <w:rFonts w:cs="Times New Roman"/>
        </w:rPr>
      </w:pPr>
      <w:r w:rsidRPr="00D95127">
        <w:t>3. c) Testování</w:t>
      </w:r>
    </w:p>
    <w:p w14:paraId="11A0100C" w14:textId="77777777" w:rsidR="00A16DDB" w:rsidRPr="00D95127" w:rsidRDefault="00A16DDB" w:rsidP="005E1966">
      <w:pPr>
        <w:pStyle w:val="UZEIOdrky"/>
        <w:numPr>
          <w:ilvl w:val="1"/>
          <w:numId w:val="1"/>
        </w:numPr>
        <w:rPr>
          <w:rFonts w:cs="Times New Roman"/>
        </w:rPr>
      </w:pPr>
      <w:r w:rsidRPr="00A865A0">
        <w:t>Jedná se o zvýšení kvality rostlinné produkce cestou náhrady chemického ošetření a prevence proti šíření hospodářsky závažných virových a bakteriálních chorob a chorob přenosných osivem a sadbou na základě testování množitelského materiálu s využitím imunoenzymatických metod a metod PCR.</w:t>
      </w:r>
    </w:p>
    <w:p w14:paraId="325820CD" w14:textId="77777777" w:rsidR="00A865A0" w:rsidRDefault="00A865A0">
      <w:pPr>
        <w:spacing w:after="160" w:line="259" w:lineRule="auto"/>
        <w:jc w:val="left"/>
        <w:rPr>
          <w:rFonts w:eastAsia="Times New Roman" w:cstheme="minorHAnsi"/>
          <w:szCs w:val="24"/>
          <w:lang w:val="cs-CZ" w:eastAsia="cs-CZ"/>
        </w:rPr>
      </w:pPr>
      <w:r>
        <w:br w:type="page"/>
      </w:r>
    </w:p>
    <w:p w14:paraId="449449D7" w14:textId="3AC4FE2F" w:rsidR="00A16DDB" w:rsidRPr="00D95127" w:rsidRDefault="00A16DDB" w:rsidP="00A865A0">
      <w:pPr>
        <w:pStyle w:val="UZEINormaln"/>
        <w:rPr>
          <w:rFonts w:cs="Times New Roman"/>
        </w:rPr>
      </w:pPr>
      <w:r w:rsidRPr="00A865A0">
        <w:t>Program 9. Speciální poradenství,</w:t>
      </w:r>
    </w:p>
    <w:p w14:paraId="07E1A0C4" w14:textId="77777777" w:rsidR="00A16DDB" w:rsidRPr="00D95127" w:rsidRDefault="00A16DDB" w:rsidP="00A865A0">
      <w:pPr>
        <w:pStyle w:val="UZEIOdrky"/>
        <w:rPr>
          <w:rFonts w:cs="Times New Roman"/>
        </w:rPr>
      </w:pPr>
      <w:r w:rsidRPr="00A865A0">
        <w:t>9. A.b.4)  Podpora na zajištění samostatných odrůdových zkoušek registrovaných odrůd polních plodin, za účelem zajištění získání a šíření informací o pěstitelských vlastnostech registrovaných odrůd polních plodin, které jsou následně publikovány zemědělské veřejnosti.</w:t>
      </w:r>
    </w:p>
    <w:p w14:paraId="75E122A4" w14:textId="77777777" w:rsidR="00A16DDB" w:rsidRPr="00D95127" w:rsidRDefault="00A16DDB" w:rsidP="00C93915">
      <w:pPr>
        <w:spacing w:after="60" w:line="276" w:lineRule="auto"/>
        <w:rPr>
          <w:rFonts w:cs="Times New Roman"/>
          <w:szCs w:val="24"/>
          <w:lang w:val="cs-CZ"/>
        </w:rPr>
      </w:pPr>
      <w:r w:rsidRPr="00C93915">
        <w:rPr>
          <w:rStyle w:val="UZEINormalnChar"/>
          <w:rFonts w:eastAsiaTheme="minorHAnsi"/>
        </w:rPr>
        <w:t>Další možností podpor jsou podpory poskytované prostřednictvím Podpůrného a garančního rolnického a lesnického fondu (PGRLF), kde je možné využít podpory na úhradu části pojistného na pojištění plodin, podpory na dotace části úroku z úvěrů na nemovitosti či zemědělskou techniku a investiční úvěr na pořízení investičního majetku</w:t>
      </w:r>
      <w:r w:rsidRPr="00D95127">
        <w:rPr>
          <w:rFonts w:cs="Times New Roman"/>
          <w:szCs w:val="24"/>
          <w:lang w:val="cs-CZ"/>
        </w:rPr>
        <w:t>.</w:t>
      </w:r>
    </w:p>
    <w:p w14:paraId="018D0336" w14:textId="77777777" w:rsidR="00B10832" w:rsidRDefault="00B10832">
      <w:pPr>
        <w:spacing w:after="160" w:line="259" w:lineRule="auto"/>
        <w:jc w:val="left"/>
        <w:rPr>
          <w:rFonts w:eastAsiaTheme="majorEastAsia" w:cs="Times New Roman"/>
          <w:b/>
          <w:bCs/>
          <w:sz w:val="28"/>
          <w:szCs w:val="32"/>
          <w:lang w:val="cs-CZ"/>
        </w:rPr>
      </w:pPr>
      <w:bookmarkStart w:id="644" w:name="_Toc76137409"/>
      <w:bookmarkStart w:id="645" w:name="_Toc76637608"/>
      <w:bookmarkStart w:id="646" w:name="_Toc80953287"/>
      <w:r>
        <w:br w:type="page"/>
      </w:r>
    </w:p>
    <w:p w14:paraId="58FAEA8F" w14:textId="7A073519" w:rsidR="00A16DDB" w:rsidRPr="00D95127" w:rsidRDefault="00A16DDB" w:rsidP="00C93915">
      <w:pPr>
        <w:pStyle w:val="Nadpis1"/>
      </w:pPr>
      <w:bookmarkStart w:id="647" w:name="_Toc81739240"/>
      <w:r w:rsidRPr="00D95127">
        <w:t>Existence/neexistence možnosti efektivního řešení v rámci nástrojů SZP, které lze uvažovat v nových návrzích SZP</w:t>
      </w:r>
      <w:bookmarkEnd w:id="644"/>
      <w:bookmarkEnd w:id="645"/>
      <w:bookmarkEnd w:id="646"/>
      <w:bookmarkEnd w:id="647"/>
    </w:p>
    <w:p w14:paraId="2D0548E4" w14:textId="77777777" w:rsidR="00A16DDB" w:rsidRPr="00D95127" w:rsidRDefault="00A16DDB" w:rsidP="00C93915">
      <w:pPr>
        <w:pStyle w:val="UZEINormaln"/>
        <w:rPr>
          <w:rFonts w:cs="Times New Roman"/>
        </w:rPr>
      </w:pPr>
      <w:r w:rsidRPr="00D95127">
        <w:t>Pro obiloviny jsou poskytované podpory ustanoveny v Nařízení vlády č. 50/2015 Sb., o stanovení některých podmínek poskytování přímých plateb zemědělcům a o změně některých souvisejících nařízení vlády, konkrétně tedy jednotná platba na plochu zemědělské půdy a platba pro zemědělce dodržující zemědělské postupy příznivé pro klima a životní prostředí. V současné situaci nabývají hodnoty nákladových rentabilit některých obilovin (zejména pšenice jarní, ječmen ozimý, oves, kukuřice na zrno a tritikale) bez započtení těchto podpor záporných hodnot. V odvětví obilovin lze jen obtížně nastavit další podpory, jelikož plocha této komodity zaujímá více než polovinu orné půdy a nepatří mezi komodity citlivé. V posledních letech jsou sklizně navzdory stále četnějším extrémním podmínkám pro obiloviny relativně úspěšné. Lze uvažovat o podpoře kriticky suchých oblastí tak, aby současná zemědělská produkce zůstala zachována. Obhospodařovaná výměra se během posledních let téměř nemění, meziročně mírně poklesla plocha pšenice ve prospěch ječmene a kukuřice, produkce však meziročně vzrostla u všech výše zmíněných obilovin. Přijatá opatření by měla být orientována zejména na problematiku půdy a rostlinné produkce, jako podstatná se jeví také změna hospodaření s vodními zdroji v krajině. Měly by být podporovány také agrotechnické zásahy u obilovin či osevních postupů, a to zejména vnos organické hmoty do půdy, hnojení organickými hnojivy apod.</w:t>
      </w:r>
    </w:p>
    <w:p w14:paraId="3ECA1D9B" w14:textId="7FB88ACC" w:rsidR="00A16DDB" w:rsidRPr="00D95127" w:rsidRDefault="00A16DDB" w:rsidP="00C93915">
      <w:pPr>
        <w:pStyle w:val="UZEITaB"/>
      </w:pPr>
      <w:r>
        <w:t xml:space="preserve"> </w:t>
      </w:r>
      <w:bookmarkStart w:id="648" w:name="_Toc81738492"/>
      <w:r w:rsidRPr="00D95127">
        <w:t>Ekonomika pěstování pšenice ozimé v 2018 až 2020 s výhledem do 2030</w:t>
      </w:r>
      <w:bookmarkEnd w:id="648"/>
    </w:p>
    <w:p w14:paraId="6ADEA7C9" w14:textId="77777777" w:rsidR="00A16DDB" w:rsidRPr="00D95127" w:rsidRDefault="00A16DDB" w:rsidP="00A16DDB">
      <w:pPr>
        <w:keepNext/>
        <w:rPr>
          <w:rFonts w:cs="Times New Roman"/>
          <w:lang w:val="cs-CZ" w:eastAsia="cs-CZ"/>
        </w:rPr>
      </w:pPr>
      <w:r w:rsidRPr="00D95127">
        <w:rPr>
          <w:rFonts w:cs="Times New Roman"/>
          <w:noProof/>
          <w:lang w:val="cs-CZ"/>
        </w:rPr>
        <w:drawing>
          <wp:inline distT="0" distB="0" distL="0" distR="0" wp14:anchorId="253E79E8" wp14:editId="68D78987">
            <wp:extent cx="5759450" cy="1059180"/>
            <wp:effectExtent l="0" t="0" r="0" b="7620"/>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59450" cy="1059180"/>
                    </a:xfrm>
                    <a:prstGeom prst="rect">
                      <a:avLst/>
                    </a:prstGeom>
                    <a:noFill/>
                    <a:ln>
                      <a:noFill/>
                    </a:ln>
                  </pic:spPr>
                </pic:pic>
              </a:graphicData>
            </a:graphic>
          </wp:inline>
        </w:drawing>
      </w:r>
    </w:p>
    <w:p w14:paraId="7AD7BA1C" w14:textId="77777777" w:rsidR="00A16DDB" w:rsidRPr="00D95127" w:rsidRDefault="00A16DDB" w:rsidP="00C93915">
      <w:pPr>
        <w:pStyle w:val="UZEIZdroj"/>
        <w:rPr>
          <w:i w:val="0"/>
        </w:rPr>
      </w:pPr>
      <w:r w:rsidRPr="00D95127">
        <w:t>Zdroj: Výběrové šetření nákladů a výnosů vybraných zemědělských komodit ÚZEI, vlastní výpočty</w:t>
      </w:r>
    </w:p>
    <w:p w14:paraId="410BBA2F" w14:textId="77777777" w:rsidR="00A16DDB" w:rsidRPr="00D95127" w:rsidRDefault="00A16DDB" w:rsidP="00C93915">
      <w:pPr>
        <w:pStyle w:val="UZEIZdroj"/>
        <w:rPr>
          <w:i w:val="0"/>
          <w:szCs w:val="20"/>
        </w:rPr>
      </w:pPr>
      <w:r w:rsidRPr="00D95127">
        <w:rPr>
          <w:szCs w:val="20"/>
        </w:rPr>
        <w:t>Pozn.: Způsob provedení predikce je uveden v příloze I.</w:t>
      </w:r>
    </w:p>
    <w:p w14:paraId="66473AFD" w14:textId="77777777" w:rsidR="00A16DDB" w:rsidRPr="00D95127" w:rsidRDefault="00A16DDB" w:rsidP="00C93915">
      <w:pPr>
        <w:pStyle w:val="UZEINormaln"/>
        <w:rPr>
          <w:rFonts w:cs="Times New Roman"/>
          <w:b/>
          <w:color w:val="2E74B5"/>
        </w:rPr>
      </w:pPr>
      <w:r w:rsidRPr="00D95127">
        <w:t xml:space="preserve">V předchozí </w:t>
      </w:r>
      <w:r w:rsidRPr="00D95127">
        <w:rPr>
          <w:rFonts w:cs="Times New Roman"/>
        </w:rPr>
        <w:t>tabulce je znázorněn vývoj ekonomiky a rentability plodiny od roku 2011. Z naznačených trendů budoucího vývoje je poté predikován vývoj ve sledovaných ukazatelích do roku 2030.</w:t>
      </w:r>
    </w:p>
    <w:p w14:paraId="5D218268" w14:textId="77777777" w:rsidR="001F016C" w:rsidRDefault="001F016C">
      <w:pPr>
        <w:spacing w:after="160" w:line="259" w:lineRule="auto"/>
        <w:jc w:val="left"/>
        <w:rPr>
          <w:rFonts w:eastAsiaTheme="majorEastAsia" w:cs="Times New Roman"/>
          <w:b/>
          <w:bCs/>
          <w:sz w:val="28"/>
          <w:szCs w:val="32"/>
          <w:lang w:val="cs-CZ"/>
        </w:rPr>
      </w:pPr>
      <w:bookmarkStart w:id="649" w:name="_Toc76137410"/>
      <w:bookmarkStart w:id="650" w:name="_Toc76637609"/>
      <w:bookmarkStart w:id="651" w:name="_Toc80953288"/>
      <w:r>
        <w:br w:type="page"/>
      </w:r>
    </w:p>
    <w:p w14:paraId="55AEDFF0" w14:textId="4BD59E2A" w:rsidR="00A16DDB" w:rsidRPr="00D95127" w:rsidRDefault="00A16DDB" w:rsidP="00C93915">
      <w:pPr>
        <w:pStyle w:val="Nadpis1"/>
      </w:pPr>
      <w:bookmarkStart w:id="652" w:name="_Toc81739241"/>
      <w:r w:rsidRPr="00D95127">
        <w:t>SWOT analýza</w:t>
      </w:r>
      <w:bookmarkEnd w:id="649"/>
      <w:bookmarkEnd w:id="650"/>
      <w:bookmarkEnd w:id="651"/>
      <w:bookmarkEnd w:id="652"/>
    </w:p>
    <w:p w14:paraId="30D1E6D6" w14:textId="77777777" w:rsidR="00A16DDB" w:rsidRPr="00D95127" w:rsidRDefault="00A16DDB" w:rsidP="001F016C">
      <w:pPr>
        <w:pStyle w:val="UZEINormaln"/>
        <w:rPr>
          <w:rFonts w:cs="Times New Roman"/>
          <w:bCs/>
        </w:rPr>
      </w:pPr>
      <w:r w:rsidRPr="00D95127">
        <w:t xml:space="preserve">Sektor obilovin je specializovaný a nezávislý, </w:t>
      </w:r>
      <w:r w:rsidRPr="00D95127">
        <w:rPr>
          <w:rFonts w:cs="Times New Roman"/>
          <w:bCs/>
        </w:rPr>
        <w:t>podporovaný přímými dotacemi. Vyznačuje se dobrými skladovacími kapacitami a posklizňovými linkami přímo v zemědělských podnicích, což má vliv na tržní chování producentů obilovin. Potýká se však s nedostatečně koncentrovaným segmentem obchodníků s obilovinami, nedostatečně vyvinutým sektorem technického užití obilovin a trvalým přebytkem domácí produkce, což zvyšuje jeho závislost na vývozu a její růst.</w:t>
      </w:r>
    </w:p>
    <w:p w14:paraId="7F9161C0" w14:textId="77777777" w:rsidR="00A16DDB" w:rsidRPr="00B10832" w:rsidRDefault="00A16DDB" w:rsidP="001F016C">
      <w:pPr>
        <w:pStyle w:val="UZEINormaln"/>
        <w:rPr>
          <w:rStyle w:val="Odkazintenzivn"/>
          <w:rFonts w:cs="Times New Roman"/>
          <w:caps/>
          <w:smallCaps w:val="0"/>
        </w:rPr>
      </w:pPr>
      <w:r w:rsidRPr="00B10832">
        <w:rPr>
          <w:rStyle w:val="Odkazintenzivn"/>
          <w:rFonts w:cs="Times New Roman"/>
          <w:caps/>
          <w:smallCaps w:val="0"/>
          <w:color w:val="auto"/>
        </w:rPr>
        <w:t>obiloviny</w:t>
      </w:r>
    </w:p>
    <w:tbl>
      <w:tblPr>
        <w:tblStyle w:val="Mkatabulky"/>
        <w:tblW w:w="0" w:type="auto"/>
        <w:jc w:val="center"/>
        <w:tblLook w:val="04A0" w:firstRow="1" w:lastRow="0" w:firstColumn="1" w:lastColumn="0" w:noHBand="0" w:noVBand="1"/>
      </w:tblPr>
      <w:tblGrid>
        <w:gridCol w:w="4503"/>
        <w:gridCol w:w="4559"/>
      </w:tblGrid>
      <w:tr w:rsidR="00A16DDB" w:rsidRPr="00D95127" w14:paraId="14046309" w14:textId="77777777" w:rsidTr="00900AB1">
        <w:trPr>
          <w:trHeight w:val="350"/>
          <w:jc w:val="center"/>
        </w:trPr>
        <w:tc>
          <w:tcPr>
            <w:tcW w:w="4503" w:type="dxa"/>
            <w:tcBorders>
              <w:top w:val="single" w:sz="4" w:space="0" w:color="auto"/>
              <w:left w:val="single" w:sz="4" w:space="0" w:color="auto"/>
              <w:bottom w:val="single" w:sz="4" w:space="0" w:color="auto"/>
              <w:right w:val="single" w:sz="4" w:space="0" w:color="auto"/>
            </w:tcBorders>
          </w:tcPr>
          <w:p w14:paraId="076003EE" w14:textId="77777777" w:rsidR="00A16DDB" w:rsidRPr="001F016C" w:rsidRDefault="00A16DDB" w:rsidP="00B10832">
            <w:pPr>
              <w:pStyle w:val="UZEINormaln"/>
              <w:jc w:val="center"/>
              <w:rPr>
                <w:b/>
                <w:sz w:val="22"/>
                <w:szCs w:val="22"/>
              </w:rPr>
            </w:pPr>
            <w:r w:rsidRPr="001F016C">
              <w:rPr>
                <w:b/>
                <w:sz w:val="22"/>
                <w:szCs w:val="22"/>
              </w:rPr>
              <w:t>Silné stránky</w:t>
            </w:r>
          </w:p>
        </w:tc>
        <w:tc>
          <w:tcPr>
            <w:tcW w:w="4559" w:type="dxa"/>
            <w:tcBorders>
              <w:top w:val="single" w:sz="4" w:space="0" w:color="auto"/>
              <w:left w:val="single" w:sz="4" w:space="0" w:color="auto"/>
              <w:bottom w:val="single" w:sz="4" w:space="0" w:color="auto"/>
              <w:right w:val="single" w:sz="4" w:space="0" w:color="auto"/>
            </w:tcBorders>
          </w:tcPr>
          <w:p w14:paraId="09837AA3" w14:textId="77777777" w:rsidR="00A16DDB" w:rsidRPr="001F016C" w:rsidRDefault="00A16DDB" w:rsidP="00B10832">
            <w:pPr>
              <w:pStyle w:val="UZEINormaln"/>
              <w:jc w:val="center"/>
              <w:rPr>
                <w:b/>
                <w:sz w:val="22"/>
                <w:szCs w:val="22"/>
              </w:rPr>
            </w:pPr>
            <w:r w:rsidRPr="001F016C">
              <w:rPr>
                <w:b/>
                <w:sz w:val="22"/>
                <w:szCs w:val="22"/>
              </w:rPr>
              <w:t>Slabé stránky</w:t>
            </w:r>
          </w:p>
        </w:tc>
      </w:tr>
      <w:tr w:rsidR="00A16DDB" w:rsidRPr="00D95127" w14:paraId="6A80AE26" w14:textId="77777777" w:rsidTr="00900AB1">
        <w:trPr>
          <w:trHeight w:val="1841"/>
          <w:jc w:val="center"/>
        </w:trPr>
        <w:tc>
          <w:tcPr>
            <w:tcW w:w="4503" w:type="dxa"/>
            <w:tcBorders>
              <w:top w:val="single" w:sz="4" w:space="0" w:color="auto"/>
              <w:left w:val="single" w:sz="4" w:space="0" w:color="auto"/>
              <w:bottom w:val="single" w:sz="4" w:space="0" w:color="auto"/>
              <w:right w:val="single" w:sz="4" w:space="0" w:color="auto"/>
            </w:tcBorders>
          </w:tcPr>
          <w:p w14:paraId="0757FD01" w14:textId="3001953E" w:rsidR="00A16DDB" w:rsidRPr="001F016C" w:rsidRDefault="00B10832" w:rsidP="00900AB1">
            <w:pPr>
              <w:pStyle w:val="UZEIOdrky"/>
              <w:ind w:left="342" w:hanging="283"/>
              <w:rPr>
                <w:sz w:val="22"/>
                <w:szCs w:val="22"/>
                <w:lang w:eastAsia="en-US"/>
              </w:rPr>
            </w:pPr>
            <w:r>
              <w:rPr>
                <w:sz w:val="22"/>
                <w:szCs w:val="22"/>
                <w:lang w:eastAsia="en-US"/>
              </w:rPr>
              <w:t xml:space="preserve">S1: </w:t>
            </w:r>
            <w:r w:rsidR="00A16DDB" w:rsidRPr="001F016C">
              <w:rPr>
                <w:sz w:val="22"/>
                <w:szCs w:val="22"/>
                <w:lang w:eastAsia="en-US"/>
              </w:rPr>
              <w:t>ekonomická konsolidace zemědělských podniků zabývajících se převážně či zcela rostlinnou produkcí</w:t>
            </w:r>
          </w:p>
          <w:p w14:paraId="5591D3B2" w14:textId="05EC9481" w:rsidR="00A16DDB" w:rsidRPr="001F016C" w:rsidRDefault="00B10832" w:rsidP="00900AB1">
            <w:pPr>
              <w:pStyle w:val="UZEIOdrky"/>
              <w:ind w:left="342" w:hanging="283"/>
              <w:rPr>
                <w:sz w:val="22"/>
                <w:szCs w:val="22"/>
                <w:lang w:eastAsia="en-US"/>
              </w:rPr>
            </w:pPr>
            <w:r>
              <w:rPr>
                <w:sz w:val="22"/>
                <w:szCs w:val="22"/>
                <w:lang w:eastAsia="en-US"/>
              </w:rPr>
              <w:t xml:space="preserve">S2: </w:t>
            </w:r>
            <w:r w:rsidR="00A16DDB" w:rsidRPr="001F016C">
              <w:rPr>
                <w:sz w:val="22"/>
                <w:szCs w:val="22"/>
                <w:lang w:eastAsia="en-US"/>
              </w:rPr>
              <w:t>podpora přímými dotacemi (vzrůst ekonomické soběstačnosti)</w:t>
            </w:r>
          </w:p>
          <w:p w14:paraId="567346AE" w14:textId="24656E30" w:rsidR="00A16DDB" w:rsidRPr="001F016C" w:rsidRDefault="00B10832" w:rsidP="00900AB1">
            <w:pPr>
              <w:pStyle w:val="UZEIOdrky"/>
              <w:ind w:left="342" w:hanging="283"/>
              <w:rPr>
                <w:sz w:val="22"/>
                <w:szCs w:val="22"/>
                <w:lang w:eastAsia="en-US"/>
              </w:rPr>
            </w:pPr>
            <w:r>
              <w:rPr>
                <w:sz w:val="22"/>
                <w:szCs w:val="22"/>
                <w:lang w:eastAsia="en-US"/>
              </w:rPr>
              <w:t xml:space="preserve">S3: </w:t>
            </w:r>
            <w:r w:rsidR="00A16DDB" w:rsidRPr="001F016C">
              <w:rPr>
                <w:sz w:val="22"/>
                <w:szCs w:val="22"/>
                <w:lang w:eastAsia="en-US"/>
              </w:rPr>
              <w:t>nezávislost na podnicích zemědělského zásobování (omezení úvěrů na osiva a hnojiva)</w:t>
            </w:r>
          </w:p>
          <w:p w14:paraId="1F6B5415" w14:textId="0DBD4C97" w:rsidR="00A16DDB" w:rsidRPr="001F016C" w:rsidRDefault="00B10832" w:rsidP="00900AB1">
            <w:pPr>
              <w:pStyle w:val="UZEIOdrky"/>
              <w:ind w:left="342" w:hanging="283"/>
              <w:rPr>
                <w:sz w:val="22"/>
                <w:szCs w:val="22"/>
                <w:lang w:eastAsia="en-US"/>
              </w:rPr>
            </w:pPr>
            <w:r>
              <w:rPr>
                <w:sz w:val="22"/>
                <w:szCs w:val="22"/>
                <w:lang w:eastAsia="en-US"/>
              </w:rPr>
              <w:t xml:space="preserve">S4: </w:t>
            </w:r>
            <w:r w:rsidR="00A16DDB" w:rsidRPr="001F016C">
              <w:rPr>
                <w:sz w:val="22"/>
                <w:szCs w:val="22"/>
                <w:lang w:eastAsia="en-US"/>
              </w:rPr>
              <w:t>vysoká úroveň technického vybavení, vyspělé odrůdy (skladovací kapacity, posklizňové linky, snížení závislosti výnosovosti na charakteristice ročníku apod.)</w:t>
            </w:r>
          </w:p>
          <w:p w14:paraId="73857F6B" w14:textId="436C4B8F" w:rsidR="00A16DDB" w:rsidRPr="001F016C" w:rsidRDefault="00B10832" w:rsidP="00900AB1">
            <w:pPr>
              <w:pStyle w:val="UZEIOdrky"/>
              <w:ind w:left="342" w:hanging="283"/>
              <w:rPr>
                <w:sz w:val="22"/>
                <w:szCs w:val="22"/>
                <w:lang w:eastAsia="en-US"/>
              </w:rPr>
            </w:pPr>
            <w:r>
              <w:rPr>
                <w:sz w:val="22"/>
                <w:szCs w:val="22"/>
                <w:lang w:eastAsia="en-US"/>
              </w:rPr>
              <w:t xml:space="preserve">S5: </w:t>
            </w:r>
            <w:r w:rsidR="00A16DDB" w:rsidRPr="001F016C">
              <w:rPr>
                <w:sz w:val="22"/>
                <w:szCs w:val="22"/>
                <w:lang w:eastAsia="en-US"/>
              </w:rPr>
              <w:t>vysoce intenzivní pěstitelské technologie</w:t>
            </w:r>
          </w:p>
          <w:p w14:paraId="63762B3F" w14:textId="23FBAB22" w:rsidR="00A16DDB" w:rsidRPr="001F016C" w:rsidRDefault="00B10832" w:rsidP="00900AB1">
            <w:pPr>
              <w:pStyle w:val="UZEIOdrky"/>
              <w:ind w:left="342" w:hanging="283"/>
              <w:rPr>
                <w:sz w:val="22"/>
                <w:szCs w:val="22"/>
                <w:lang w:eastAsia="en-US"/>
              </w:rPr>
            </w:pPr>
            <w:r>
              <w:rPr>
                <w:sz w:val="22"/>
                <w:szCs w:val="22"/>
                <w:lang w:eastAsia="en-US"/>
              </w:rPr>
              <w:t xml:space="preserve">S6: </w:t>
            </w:r>
            <w:r w:rsidR="00A16DDB" w:rsidRPr="001F016C">
              <w:rPr>
                <w:sz w:val="22"/>
                <w:szCs w:val="22"/>
                <w:lang w:eastAsia="en-US"/>
              </w:rPr>
              <w:t>produkce kvalitních a zdravotně bezpečných potravin</w:t>
            </w:r>
          </w:p>
        </w:tc>
        <w:tc>
          <w:tcPr>
            <w:tcW w:w="4559" w:type="dxa"/>
            <w:tcBorders>
              <w:top w:val="single" w:sz="4" w:space="0" w:color="auto"/>
              <w:left w:val="single" w:sz="4" w:space="0" w:color="auto"/>
              <w:bottom w:val="single" w:sz="4" w:space="0" w:color="auto"/>
              <w:right w:val="single" w:sz="4" w:space="0" w:color="auto"/>
            </w:tcBorders>
          </w:tcPr>
          <w:p w14:paraId="476607FF" w14:textId="6564D3D2" w:rsidR="00A16DDB" w:rsidRPr="001F016C" w:rsidRDefault="00B10832" w:rsidP="00900AB1">
            <w:pPr>
              <w:pStyle w:val="UZEIOdrky"/>
              <w:ind w:left="342" w:hanging="283"/>
              <w:rPr>
                <w:sz w:val="22"/>
                <w:szCs w:val="22"/>
                <w:lang w:eastAsia="en-US"/>
              </w:rPr>
            </w:pPr>
            <w:r>
              <w:rPr>
                <w:sz w:val="22"/>
                <w:szCs w:val="22"/>
                <w:lang w:eastAsia="en-US"/>
              </w:rPr>
              <w:t xml:space="preserve">W1: </w:t>
            </w:r>
            <w:r w:rsidR="00A16DDB" w:rsidRPr="001F016C">
              <w:rPr>
                <w:sz w:val="22"/>
                <w:szCs w:val="22"/>
                <w:lang w:eastAsia="en-US"/>
              </w:rPr>
              <w:t>převažující velkoplošné a „bi-kulturní“ pěstování s negativními dopady na kvalitu půdy a biodiverzitu, rozšiřování pěstování kukuřice na erozně ohrožené půdy – zhoršování stavu a kvality půd, snižování půdní úrodnosti, retence vody atd.</w:t>
            </w:r>
          </w:p>
          <w:p w14:paraId="304DA1FF" w14:textId="46FAB4CE" w:rsidR="00A16DDB" w:rsidRPr="001F016C" w:rsidRDefault="00B10832" w:rsidP="00900AB1">
            <w:pPr>
              <w:pStyle w:val="UZEIOdrky"/>
              <w:ind w:left="342" w:hanging="283"/>
              <w:rPr>
                <w:sz w:val="22"/>
                <w:szCs w:val="22"/>
                <w:lang w:eastAsia="en-US"/>
              </w:rPr>
            </w:pPr>
            <w:r>
              <w:rPr>
                <w:sz w:val="22"/>
                <w:szCs w:val="22"/>
                <w:lang w:eastAsia="en-US"/>
              </w:rPr>
              <w:t xml:space="preserve">W2: </w:t>
            </w:r>
            <w:r w:rsidR="00A16DDB" w:rsidRPr="001F016C">
              <w:rPr>
                <w:sz w:val="22"/>
                <w:szCs w:val="22"/>
                <w:lang w:eastAsia="en-US"/>
              </w:rPr>
              <w:t>menší příspěvek k zaměstnanosti a kvalitě lidského kapitálu venkova</w:t>
            </w:r>
          </w:p>
          <w:p w14:paraId="2D4C7DBE" w14:textId="77777777" w:rsidR="00A16DDB" w:rsidRPr="001F016C" w:rsidRDefault="00A16DDB" w:rsidP="00900AB1">
            <w:pPr>
              <w:pStyle w:val="UZEIOdrky"/>
              <w:numPr>
                <w:ilvl w:val="0"/>
                <w:numId w:val="0"/>
              </w:numPr>
              <w:ind w:left="342"/>
              <w:rPr>
                <w:sz w:val="22"/>
                <w:szCs w:val="22"/>
                <w:lang w:eastAsia="en-US"/>
              </w:rPr>
            </w:pPr>
          </w:p>
        </w:tc>
      </w:tr>
      <w:tr w:rsidR="00A16DDB" w:rsidRPr="00D95127" w14:paraId="550F39CF" w14:textId="77777777" w:rsidTr="00900AB1">
        <w:trPr>
          <w:trHeight w:val="350"/>
          <w:jc w:val="center"/>
        </w:trPr>
        <w:tc>
          <w:tcPr>
            <w:tcW w:w="4503" w:type="dxa"/>
            <w:tcBorders>
              <w:top w:val="single" w:sz="4" w:space="0" w:color="auto"/>
              <w:left w:val="single" w:sz="4" w:space="0" w:color="auto"/>
              <w:bottom w:val="single" w:sz="4" w:space="0" w:color="auto"/>
              <w:right w:val="single" w:sz="4" w:space="0" w:color="auto"/>
            </w:tcBorders>
          </w:tcPr>
          <w:p w14:paraId="65A5D69F" w14:textId="77777777" w:rsidR="00A16DDB" w:rsidRPr="00900AB1" w:rsidRDefault="00A16DDB" w:rsidP="00B10832">
            <w:pPr>
              <w:pStyle w:val="UZEINormaln"/>
              <w:jc w:val="center"/>
              <w:rPr>
                <w:b/>
                <w:sz w:val="22"/>
                <w:szCs w:val="22"/>
              </w:rPr>
            </w:pPr>
            <w:r w:rsidRPr="00900AB1">
              <w:rPr>
                <w:b/>
                <w:sz w:val="22"/>
                <w:szCs w:val="22"/>
              </w:rPr>
              <w:t>Příležitosti</w:t>
            </w:r>
          </w:p>
        </w:tc>
        <w:tc>
          <w:tcPr>
            <w:tcW w:w="4559" w:type="dxa"/>
            <w:tcBorders>
              <w:top w:val="single" w:sz="4" w:space="0" w:color="auto"/>
              <w:left w:val="single" w:sz="4" w:space="0" w:color="auto"/>
              <w:bottom w:val="single" w:sz="4" w:space="0" w:color="auto"/>
              <w:right w:val="single" w:sz="4" w:space="0" w:color="auto"/>
            </w:tcBorders>
          </w:tcPr>
          <w:p w14:paraId="26278467" w14:textId="77777777" w:rsidR="00A16DDB" w:rsidRPr="00900AB1" w:rsidRDefault="00A16DDB" w:rsidP="00B10832">
            <w:pPr>
              <w:pStyle w:val="UZEINormaln"/>
              <w:jc w:val="center"/>
              <w:rPr>
                <w:b/>
                <w:sz w:val="22"/>
                <w:szCs w:val="22"/>
              </w:rPr>
            </w:pPr>
            <w:r w:rsidRPr="00900AB1">
              <w:rPr>
                <w:b/>
                <w:sz w:val="22"/>
                <w:szCs w:val="22"/>
              </w:rPr>
              <w:t>Hrozby</w:t>
            </w:r>
          </w:p>
        </w:tc>
      </w:tr>
      <w:tr w:rsidR="00A16DDB" w:rsidRPr="00D95127" w14:paraId="407E8683" w14:textId="77777777" w:rsidTr="00900AB1">
        <w:trPr>
          <w:trHeight w:val="4592"/>
          <w:jc w:val="center"/>
        </w:trPr>
        <w:tc>
          <w:tcPr>
            <w:tcW w:w="4503" w:type="dxa"/>
            <w:tcBorders>
              <w:top w:val="single" w:sz="4" w:space="0" w:color="auto"/>
              <w:left w:val="single" w:sz="4" w:space="0" w:color="auto"/>
              <w:bottom w:val="single" w:sz="4" w:space="0" w:color="auto"/>
              <w:right w:val="single" w:sz="4" w:space="0" w:color="auto"/>
            </w:tcBorders>
          </w:tcPr>
          <w:p w14:paraId="4429A499" w14:textId="4738C58F" w:rsidR="00A16DDB" w:rsidRPr="001F016C" w:rsidRDefault="00B10832" w:rsidP="00900AB1">
            <w:pPr>
              <w:pStyle w:val="UZEIOdrky"/>
              <w:ind w:left="342" w:hanging="283"/>
              <w:rPr>
                <w:sz w:val="22"/>
                <w:szCs w:val="22"/>
                <w:lang w:eastAsia="en-US"/>
              </w:rPr>
            </w:pPr>
            <w:r>
              <w:rPr>
                <w:sz w:val="22"/>
                <w:szCs w:val="22"/>
                <w:lang w:eastAsia="en-US"/>
              </w:rPr>
              <w:t xml:space="preserve">O1: </w:t>
            </w:r>
            <w:r w:rsidR="00A16DDB" w:rsidRPr="001F016C">
              <w:rPr>
                <w:sz w:val="22"/>
                <w:szCs w:val="22"/>
                <w:lang w:eastAsia="en-US"/>
              </w:rPr>
              <w:t>inovační aktivity pro export</w:t>
            </w:r>
          </w:p>
          <w:p w14:paraId="0C9C58BA" w14:textId="2FD79BD3" w:rsidR="00A16DDB" w:rsidRPr="001F016C" w:rsidRDefault="00B10832" w:rsidP="00900AB1">
            <w:pPr>
              <w:pStyle w:val="UZEIOdrky"/>
              <w:ind w:left="342" w:hanging="283"/>
              <w:rPr>
                <w:sz w:val="22"/>
                <w:szCs w:val="22"/>
                <w:lang w:eastAsia="en-US"/>
              </w:rPr>
            </w:pPr>
            <w:r>
              <w:rPr>
                <w:sz w:val="22"/>
                <w:szCs w:val="22"/>
                <w:lang w:eastAsia="en-US"/>
              </w:rPr>
              <w:t xml:space="preserve">O2: </w:t>
            </w:r>
            <w:r w:rsidR="00A16DDB" w:rsidRPr="001F016C">
              <w:rPr>
                <w:sz w:val="22"/>
                <w:szCs w:val="22"/>
                <w:lang w:eastAsia="en-US"/>
              </w:rPr>
              <w:t>stabilní poptávka domácího zpracovatelského průmyslu a poptávka na vnějších trzích</w:t>
            </w:r>
          </w:p>
          <w:p w14:paraId="6504948F" w14:textId="66F8981A" w:rsidR="00A16DDB" w:rsidRPr="001F016C" w:rsidRDefault="00B10832" w:rsidP="00900AB1">
            <w:pPr>
              <w:pStyle w:val="UZEIOdrky"/>
              <w:ind w:left="342" w:hanging="283"/>
              <w:rPr>
                <w:sz w:val="22"/>
                <w:szCs w:val="22"/>
                <w:lang w:eastAsia="en-US"/>
              </w:rPr>
            </w:pPr>
            <w:r>
              <w:rPr>
                <w:sz w:val="22"/>
                <w:szCs w:val="22"/>
                <w:lang w:eastAsia="en-US"/>
              </w:rPr>
              <w:t xml:space="preserve">O3: </w:t>
            </w:r>
            <w:r w:rsidR="00A16DDB" w:rsidRPr="001F016C">
              <w:rPr>
                <w:sz w:val="22"/>
                <w:szCs w:val="22"/>
                <w:lang w:eastAsia="en-US"/>
              </w:rPr>
              <w:t>obecně vyšší realizační ceny, a to zejména potravinářských obilovin (žito)</w:t>
            </w:r>
          </w:p>
          <w:p w14:paraId="7BC42C9A" w14:textId="1D6DA775" w:rsidR="00A16DDB" w:rsidRPr="001F016C" w:rsidRDefault="00B10832" w:rsidP="00900AB1">
            <w:pPr>
              <w:pStyle w:val="UZEIOdrky"/>
              <w:ind w:left="342" w:hanging="283"/>
              <w:rPr>
                <w:sz w:val="22"/>
                <w:szCs w:val="22"/>
                <w:lang w:eastAsia="en-US"/>
              </w:rPr>
            </w:pPr>
            <w:r>
              <w:rPr>
                <w:sz w:val="22"/>
                <w:szCs w:val="22"/>
                <w:lang w:eastAsia="en-US"/>
              </w:rPr>
              <w:t xml:space="preserve">O4: </w:t>
            </w:r>
            <w:r w:rsidR="00A16DDB" w:rsidRPr="001F016C">
              <w:rPr>
                <w:sz w:val="22"/>
                <w:szCs w:val="22"/>
                <w:lang w:eastAsia="en-US"/>
              </w:rPr>
              <w:t>využití vlastní produkce krmných obilovin při možném zvýšení stavu hospodářských zvířat-zvýšení domácí spotřeby v celkové bilanci obilovin</w:t>
            </w:r>
          </w:p>
          <w:p w14:paraId="29A51C96" w14:textId="77777777" w:rsidR="00A16DDB" w:rsidRPr="001F016C" w:rsidRDefault="00A16DDB" w:rsidP="00B10832">
            <w:pPr>
              <w:pStyle w:val="UZEIOdrky"/>
              <w:numPr>
                <w:ilvl w:val="0"/>
                <w:numId w:val="0"/>
              </w:numPr>
              <w:ind w:left="342"/>
              <w:rPr>
                <w:sz w:val="22"/>
                <w:szCs w:val="22"/>
                <w:lang w:eastAsia="en-US"/>
              </w:rPr>
            </w:pPr>
          </w:p>
        </w:tc>
        <w:tc>
          <w:tcPr>
            <w:tcW w:w="4559" w:type="dxa"/>
            <w:tcBorders>
              <w:top w:val="single" w:sz="4" w:space="0" w:color="auto"/>
              <w:left w:val="single" w:sz="4" w:space="0" w:color="auto"/>
              <w:bottom w:val="single" w:sz="4" w:space="0" w:color="auto"/>
              <w:right w:val="single" w:sz="4" w:space="0" w:color="auto"/>
            </w:tcBorders>
          </w:tcPr>
          <w:p w14:paraId="3E467F5C" w14:textId="5FECB079" w:rsidR="00A16DDB" w:rsidRPr="001F016C" w:rsidRDefault="00B10832" w:rsidP="00900AB1">
            <w:pPr>
              <w:pStyle w:val="UZEIOdrky"/>
              <w:ind w:left="342" w:hanging="283"/>
              <w:rPr>
                <w:sz w:val="22"/>
                <w:szCs w:val="22"/>
                <w:lang w:eastAsia="en-US"/>
              </w:rPr>
            </w:pPr>
            <w:r>
              <w:rPr>
                <w:sz w:val="22"/>
                <w:szCs w:val="22"/>
                <w:lang w:eastAsia="en-US"/>
              </w:rPr>
              <w:t xml:space="preserve">T1: </w:t>
            </w:r>
            <w:r w:rsidR="00A16DDB" w:rsidRPr="001F016C">
              <w:rPr>
                <w:sz w:val="22"/>
                <w:szCs w:val="22"/>
                <w:lang w:eastAsia="en-US"/>
              </w:rPr>
              <w:t>změna klimatu – rostoucí frekvence extrémních klimatických jevů, a tím vliv na objem i kvalitu produkce (vyšší volatilita příjmů)</w:t>
            </w:r>
          </w:p>
          <w:p w14:paraId="3190B03C" w14:textId="5FF86814" w:rsidR="00A16DDB" w:rsidRPr="001F016C" w:rsidRDefault="00B10832" w:rsidP="00900AB1">
            <w:pPr>
              <w:pStyle w:val="UZEIOdrky"/>
              <w:ind w:left="342" w:hanging="283"/>
              <w:rPr>
                <w:sz w:val="22"/>
                <w:szCs w:val="22"/>
                <w:lang w:eastAsia="en-US"/>
              </w:rPr>
            </w:pPr>
            <w:r>
              <w:rPr>
                <w:sz w:val="22"/>
                <w:szCs w:val="22"/>
                <w:lang w:eastAsia="en-US"/>
              </w:rPr>
              <w:t xml:space="preserve">T2: </w:t>
            </w:r>
            <w:r w:rsidR="00A16DDB" w:rsidRPr="001F016C">
              <w:rPr>
                <w:sz w:val="22"/>
                <w:szCs w:val="22"/>
                <w:lang w:eastAsia="en-US"/>
              </w:rPr>
              <w:t>nízká spotřeba obilovin pro krmné účely</w:t>
            </w:r>
          </w:p>
          <w:p w14:paraId="16C5B009" w14:textId="2250A74E" w:rsidR="00A16DDB" w:rsidRPr="001F016C" w:rsidRDefault="00B10832" w:rsidP="00900AB1">
            <w:pPr>
              <w:pStyle w:val="UZEIOdrky"/>
              <w:ind w:left="342" w:hanging="283"/>
              <w:rPr>
                <w:sz w:val="22"/>
                <w:szCs w:val="22"/>
                <w:lang w:eastAsia="en-US"/>
              </w:rPr>
            </w:pPr>
            <w:r>
              <w:rPr>
                <w:sz w:val="22"/>
                <w:szCs w:val="22"/>
                <w:lang w:eastAsia="en-US"/>
              </w:rPr>
              <w:t xml:space="preserve">T3: </w:t>
            </w:r>
            <w:r w:rsidR="00A16DDB" w:rsidRPr="001F016C">
              <w:rPr>
                <w:sz w:val="22"/>
                <w:szCs w:val="22"/>
                <w:lang w:eastAsia="en-US"/>
              </w:rPr>
              <w:t>málo vyvinutý sektor technického užití obilovin</w:t>
            </w:r>
          </w:p>
          <w:p w14:paraId="38FF12A0" w14:textId="4E28A550" w:rsidR="00A16DDB" w:rsidRPr="001F016C" w:rsidRDefault="00B10832" w:rsidP="00900AB1">
            <w:pPr>
              <w:pStyle w:val="UZEIOdrky"/>
              <w:ind w:left="342" w:hanging="283"/>
              <w:rPr>
                <w:sz w:val="22"/>
                <w:szCs w:val="22"/>
                <w:lang w:eastAsia="en-US"/>
              </w:rPr>
            </w:pPr>
            <w:r>
              <w:rPr>
                <w:sz w:val="22"/>
                <w:szCs w:val="22"/>
                <w:lang w:eastAsia="en-US"/>
              </w:rPr>
              <w:t xml:space="preserve">T4: </w:t>
            </w:r>
            <w:r w:rsidR="00A16DDB" w:rsidRPr="001F016C">
              <w:rPr>
                <w:sz w:val="22"/>
                <w:szCs w:val="22"/>
                <w:lang w:eastAsia="en-US"/>
              </w:rPr>
              <w:t>vliv evropského a světového trhu na vnitřní bilanci a cenovou úroveň</w:t>
            </w:r>
          </w:p>
          <w:p w14:paraId="2C7A574C" w14:textId="69C25165" w:rsidR="00A16DDB" w:rsidRPr="001F016C" w:rsidRDefault="00B10832" w:rsidP="00900AB1">
            <w:pPr>
              <w:pStyle w:val="UZEIOdrky"/>
              <w:ind w:left="342" w:hanging="283"/>
              <w:rPr>
                <w:sz w:val="22"/>
                <w:szCs w:val="22"/>
                <w:lang w:eastAsia="en-US"/>
              </w:rPr>
            </w:pPr>
            <w:r>
              <w:rPr>
                <w:sz w:val="22"/>
                <w:szCs w:val="22"/>
                <w:lang w:eastAsia="en-US"/>
              </w:rPr>
              <w:t xml:space="preserve">T5: </w:t>
            </w:r>
            <w:r w:rsidR="00A16DDB" w:rsidRPr="001F016C">
              <w:rPr>
                <w:sz w:val="22"/>
                <w:szCs w:val="22"/>
                <w:lang w:eastAsia="en-US"/>
              </w:rPr>
              <w:t>rostoucí ceny vstupů</w:t>
            </w:r>
          </w:p>
          <w:p w14:paraId="6C73C9E9" w14:textId="19C51D2D" w:rsidR="00A16DDB" w:rsidRPr="001F016C" w:rsidRDefault="00B10832" w:rsidP="00900AB1">
            <w:pPr>
              <w:pStyle w:val="UZEIOdrky"/>
              <w:ind w:left="342" w:hanging="283"/>
              <w:rPr>
                <w:sz w:val="22"/>
                <w:szCs w:val="22"/>
                <w:lang w:eastAsia="en-US"/>
              </w:rPr>
            </w:pPr>
            <w:r>
              <w:rPr>
                <w:sz w:val="22"/>
                <w:szCs w:val="22"/>
                <w:lang w:eastAsia="en-US"/>
              </w:rPr>
              <w:t xml:space="preserve">T6: </w:t>
            </w:r>
            <w:r w:rsidR="00A16DDB" w:rsidRPr="001F016C">
              <w:rPr>
                <w:sz w:val="22"/>
                <w:szCs w:val="22"/>
                <w:lang w:eastAsia="en-US"/>
              </w:rPr>
              <w:t>další přehodnocení cílů EU v produkci biopaliv ze zemědělské produkce</w:t>
            </w:r>
          </w:p>
          <w:p w14:paraId="3115DE8A" w14:textId="5773B27F" w:rsidR="00A16DDB" w:rsidRPr="001F016C" w:rsidRDefault="00B10832" w:rsidP="00900AB1">
            <w:pPr>
              <w:pStyle w:val="UZEIOdrky"/>
              <w:ind w:left="342" w:hanging="283"/>
              <w:rPr>
                <w:sz w:val="22"/>
                <w:szCs w:val="22"/>
                <w:lang w:eastAsia="en-US"/>
              </w:rPr>
            </w:pPr>
            <w:r>
              <w:rPr>
                <w:sz w:val="22"/>
                <w:szCs w:val="22"/>
                <w:lang w:eastAsia="en-US"/>
              </w:rPr>
              <w:t xml:space="preserve">T7: </w:t>
            </w:r>
            <w:r w:rsidR="00A16DDB" w:rsidRPr="001F016C">
              <w:rPr>
                <w:sz w:val="22"/>
                <w:szCs w:val="22"/>
                <w:lang w:eastAsia="en-US"/>
              </w:rPr>
              <w:t>závislost na exportu a jeho růstu</w:t>
            </w:r>
          </w:p>
          <w:p w14:paraId="2F072761" w14:textId="392DFC9E" w:rsidR="00A16DDB" w:rsidRPr="001F016C" w:rsidRDefault="00B10832" w:rsidP="00900AB1">
            <w:pPr>
              <w:pStyle w:val="UZEIOdrky"/>
              <w:ind w:left="342" w:hanging="283"/>
              <w:rPr>
                <w:sz w:val="22"/>
                <w:szCs w:val="22"/>
                <w:lang w:eastAsia="en-US"/>
              </w:rPr>
            </w:pPr>
            <w:r>
              <w:rPr>
                <w:sz w:val="22"/>
                <w:szCs w:val="22"/>
                <w:lang w:eastAsia="en-US"/>
              </w:rPr>
              <w:t xml:space="preserve">T8: </w:t>
            </w:r>
            <w:r w:rsidR="00A16DDB" w:rsidRPr="001F016C">
              <w:rPr>
                <w:sz w:val="22"/>
                <w:szCs w:val="22"/>
                <w:lang w:eastAsia="en-US"/>
              </w:rPr>
              <w:t>značně omezená struktura pěstovaných komodit uplatnitelná na trhu</w:t>
            </w:r>
          </w:p>
        </w:tc>
      </w:tr>
    </w:tbl>
    <w:p w14:paraId="50FB1400" w14:textId="77777777" w:rsidR="00A16DDB" w:rsidRPr="00D95127" w:rsidRDefault="00A16DDB" w:rsidP="00A16DDB">
      <w:pPr>
        <w:rPr>
          <w:rFonts w:cs="Times New Roman"/>
          <w:lang w:val="cs-CZ"/>
        </w:rPr>
      </w:pPr>
    </w:p>
    <w:p w14:paraId="4B3B179F" w14:textId="77777777" w:rsidR="00A16DDB" w:rsidRPr="00D95127" w:rsidRDefault="00A16DDB" w:rsidP="00CA2783">
      <w:pPr>
        <w:pStyle w:val="Nadpis1"/>
        <w:spacing w:after="240"/>
        <w:ind w:firstLine="0"/>
        <w:rPr>
          <w:b w:val="0"/>
          <w:sz w:val="24"/>
          <w:szCs w:val="24"/>
        </w:rPr>
      </w:pPr>
      <w:r w:rsidRPr="00D95127">
        <w:rPr>
          <w:sz w:val="24"/>
          <w:szCs w:val="24"/>
        </w:rPr>
        <w:br w:type="page"/>
      </w:r>
      <w:bookmarkStart w:id="653" w:name="_Toc526114041"/>
      <w:bookmarkStart w:id="654" w:name="_Toc12449696"/>
      <w:bookmarkStart w:id="655" w:name="_Toc15304079"/>
      <w:bookmarkStart w:id="656" w:name="_Toc23509897"/>
    </w:p>
    <w:p w14:paraId="3505FD83" w14:textId="77777777" w:rsidR="00A16DDB" w:rsidRPr="00D95127" w:rsidRDefault="00A16DDB" w:rsidP="00900AB1">
      <w:pPr>
        <w:pStyle w:val="UZEINadpis1stbezsla"/>
      </w:pPr>
      <w:bookmarkStart w:id="657" w:name="_Hlk75782803"/>
      <w:bookmarkStart w:id="658" w:name="_Toc76137411"/>
      <w:bookmarkStart w:id="659" w:name="_Toc76637610"/>
      <w:bookmarkStart w:id="660" w:name="_Toc80953289"/>
      <w:bookmarkStart w:id="661" w:name="_Toc81739242"/>
      <w:bookmarkEnd w:id="657"/>
      <w:r w:rsidRPr="00D95127">
        <w:t>OLEJNINY</w:t>
      </w:r>
      <w:bookmarkEnd w:id="658"/>
      <w:bookmarkEnd w:id="659"/>
      <w:bookmarkEnd w:id="660"/>
      <w:bookmarkEnd w:id="661"/>
    </w:p>
    <w:p w14:paraId="181BC7F9" w14:textId="77777777" w:rsidR="00A16DDB" w:rsidRPr="00BD57CE" w:rsidRDefault="00A16DDB" w:rsidP="00DE7D57">
      <w:pPr>
        <w:pStyle w:val="Nadpis1"/>
        <w:numPr>
          <w:ilvl w:val="0"/>
          <w:numId w:val="18"/>
        </w:numPr>
      </w:pPr>
      <w:bookmarkStart w:id="662" w:name="_Toc76137412"/>
      <w:bookmarkStart w:id="663" w:name="_Toc76637611"/>
      <w:bookmarkStart w:id="664" w:name="_Toc80953290"/>
      <w:bookmarkStart w:id="665" w:name="_Toc81739243"/>
      <w:r w:rsidRPr="00BD57CE">
        <w:t>Analýza stávajících/navrhovaných právních předpisů EK/ČR a pravděpodobné nastavení směrů a cílů SZP</w:t>
      </w:r>
      <w:bookmarkEnd w:id="662"/>
      <w:bookmarkEnd w:id="663"/>
      <w:bookmarkEnd w:id="664"/>
      <w:bookmarkEnd w:id="665"/>
    </w:p>
    <w:p w14:paraId="7CD35898" w14:textId="77777777" w:rsidR="00A16DDB" w:rsidRPr="00D95127" w:rsidRDefault="00A16DDB" w:rsidP="00BD57CE">
      <w:pPr>
        <w:pStyle w:val="UZEINormaln"/>
        <w:rPr>
          <w:u w:val="single"/>
        </w:rPr>
      </w:pPr>
      <w:r w:rsidRPr="00D95127">
        <w:rPr>
          <w:u w:val="single"/>
        </w:rPr>
        <w:t>Tato část je zpracována souhrnně v základním analytickém dokumentu za oblast konkurenceschopnost zemědělství.</w:t>
      </w:r>
    </w:p>
    <w:p w14:paraId="3F2FE0F9" w14:textId="77777777" w:rsidR="00B10832" w:rsidRDefault="00B10832">
      <w:pPr>
        <w:spacing w:after="160" w:line="259" w:lineRule="auto"/>
        <w:jc w:val="left"/>
        <w:rPr>
          <w:rFonts w:eastAsiaTheme="majorEastAsia" w:cs="Times New Roman"/>
          <w:b/>
          <w:bCs/>
          <w:sz w:val="28"/>
          <w:szCs w:val="32"/>
          <w:lang w:val="cs-CZ"/>
        </w:rPr>
      </w:pPr>
      <w:bookmarkStart w:id="666" w:name="_Toc76137413"/>
      <w:bookmarkStart w:id="667" w:name="_Toc76637612"/>
      <w:bookmarkStart w:id="668" w:name="_Toc80953291"/>
      <w:r>
        <w:br w:type="page"/>
      </w:r>
    </w:p>
    <w:p w14:paraId="52FAC7D0" w14:textId="344110D7" w:rsidR="00A16DDB" w:rsidRPr="00BD57CE" w:rsidRDefault="00A16DDB" w:rsidP="00B10832">
      <w:pPr>
        <w:pStyle w:val="Nadpis1"/>
      </w:pPr>
      <w:bookmarkStart w:id="669" w:name="_Toc81739244"/>
      <w:r w:rsidRPr="00BD57CE">
        <w:t>Co je skutečným problémem, na který má politika reagovat?</w:t>
      </w:r>
      <w:bookmarkEnd w:id="666"/>
      <w:bookmarkEnd w:id="667"/>
      <w:bookmarkEnd w:id="668"/>
      <w:bookmarkEnd w:id="669"/>
    </w:p>
    <w:p w14:paraId="79D0557E" w14:textId="77777777" w:rsidR="00A16DDB" w:rsidRPr="00D95127" w:rsidRDefault="00A16DDB" w:rsidP="00BD57CE">
      <w:pPr>
        <w:pStyle w:val="UZEINormaln"/>
        <w:rPr>
          <w:rFonts w:cs="Times New Roman"/>
          <w:highlight w:val="yellow"/>
        </w:rPr>
      </w:pPr>
      <w:r w:rsidRPr="00D95127">
        <w:t xml:space="preserve">Olejniny </w:t>
      </w:r>
      <w:r w:rsidRPr="00D95127">
        <w:rPr>
          <w:rFonts w:cs="Times New Roman"/>
        </w:rPr>
        <w:t>zaujímaly v roce 2020 18 % celkové osevní plochy zemědělských plodin. Základní olejninou pěstovanou v ČR je nadále řepka olejná, která v současné době zaujímá 82 % celkových sklizňových ploch všech olejnin. V posledních letech její podíl na celkové ploše spíše stagnuje. Důvodem je její záporná ziskovost v podmínkách ČR, která je kompenzována až započtením podpor vztažených k obhospodařované půdě. Míra soběstačnosti produkce řepky olejné je, až na výjimky za klimaticky mimořádných podmínek v marketingových letech 2017/18 a 2019/20, dlouhodobě relativně stabilní a přesahuje 100 % domácí spotřeby. Dlouhodobě dochází k navyšování spotřeby řepky pro průmyslové zpracování, ale také její spotřeby pro potravinářské účely. V nižší úrovni tuzemské produkce se kromě povětrnostních podmínek odráží také zvýšený výskyt hraboše polního. Od roku 2017/18 je dosahováno záporné nákladové rentability, což je způsobeno zejména vlivem nízkého hektarového výnosu a vyšších vlastních nákladů výrobku. Zároveň také dochází k poklesu realizační ceny pod úroveň vlastních nákladů výrobku. Souhrnná rentabilita však zůstává nadále kladná, i když v posledních letech došlo k jejímu poklesu z důvodu rostoucích nákladů a nestabilitě výnosů kvůli změně klimatických podmínek. Rozhodujícím faktorem pro dobré vzcházení olejnin je dostatek vláhy, který je v některých letech problémem. Avšak nejen klimatické podmínky, ale i intenzita výroby, celková úroveň efektivity hospodaření v podnicích, ceny zemědělských vstupů, pracovní náklady a služby ovlivňují nákladovost pěstování řepky. Z tohoto hlediska lze za nejvýznamnější ohrožení produkce řepky olejné v podmínkách ČR považovat vliv klimatických podmínek, výskyt škůdců, nízkou nákladovou rentabilitu a dále pak konkurenci ostatních producentů řepkového semene a dalších olejnin, které mohou do budoucna řepkový olej částečně nahradit.</w:t>
      </w:r>
    </w:p>
    <w:p w14:paraId="486CC84C" w14:textId="77777777" w:rsidR="00A16DDB" w:rsidRPr="00D95127" w:rsidRDefault="00A16DDB" w:rsidP="00BD57CE">
      <w:pPr>
        <w:pStyle w:val="UZEINormaln"/>
        <w:rPr>
          <w:rFonts w:cs="Times New Roman"/>
        </w:rPr>
      </w:pPr>
      <w:r w:rsidRPr="00D95127">
        <w:t xml:space="preserve">Plocha pěstované řepky olejné v ČR po nárůstu mezi lety 2015-2018 v posledních dvou letech naopak poklesla, což bylo způsobeno nepříznivými povětrnostními podmínkami, zejména mimořádným suchem. Z důvodu předběžné opatrnosti zemědělců plynoucí z nejistoty průběhu počasí v dalším roce sklizňová plocha v roce 2020 dále klesala a lze očekávat její stagnaci či pokles i do budoucna. K poklesu ploch dochází i v souvislosti se zvyšující se konkurencí, a to jak dalších druhů olejnin, tak i dalších států, které se na pěstování řepky olejné dříve tolik nezaměřovaly a s tím spojeným poklesem její výkupní ceny. Ke snížení její výměry by také mohlo do budoucna přispět znovuotevření tématu zrušení povinnosti přimíchávání biosložek do pohonných hmot na úrovni EU, jehož zavedení vedlo od roku 2004 ke zvýšení poptávky po řepkovém semeni a mělo tedy za následek zvyšování osevní plochy řepky olejné. Celosvětová spotřeba olejnin však nadále roste a lze očekávat, že v souvislosti se stávajícími podporami vyplácenými i na pěstování řepky olejné, bude její plocha v ČR dále spíše stagnovat či pouze mírně klesat. V posledních dvou letech poklesla také plocha pěstované slunečnice na semeno a ostatních olejnin, vzrostla naopak plocha máku a hořčice na semeno. V roce 2020 pak po předešlém poklesu vzrostla sklizňová plocha sóji a lnu na semeno. Slunečnice na semeno byla dlouhodobě druhou nejpěstovanější olejninou. V roce 2017/18 došlo ke zvýšení její produkční plochy z důvodu zaorávek řepky olejné, dlouhodobě však její osevní plocha klesá, a to zejména z důvodu nízkého zájmu ze strany odběratelů. V oblasti máku pro potravinářské využití je ČR již dlouhodobě jeho hlavním světovým pěstitelem. V posledních letech se osevní plocha máku zvyšuje a je v tomto ohledu druhou nejpěstovanější olejninou. V posledních měsících klesá výkupní cena semene máku, a to zejména z důvodu poklesu poptávky a vzhledem k dobré úrovni loňské sklizně i obav z vysokých zásob. Cenu tuzemského máku může snižovat i dovážený mák, jehož problémem je mnohdy nízká kvalita ve srovnání s tuzemskou kvalitní produkcí. Konec využívání některých syntetických pesticidů může být v dalších letech značnou komplikací při pěstování máku. Většina produkce máku v ČR je vyvážena do zahraničí, zejména do Ruska, Rakouska, Polska, na Ukrajinu a do Německa. </w:t>
      </w:r>
    </w:p>
    <w:p w14:paraId="104CD977" w14:textId="77777777" w:rsidR="00A16DDB" w:rsidRPr="00D95127" w:rsidRDefault="00A16DDB" w:rsidP="00BD57CE">
      <w:pPr>
        <w:pStyle w:val="UZEINormaln"/>
        <w:rPr>
          <w:rFonts w:cs="Times New Roman"/>
        </w:rPr>
      </w:pPr>
      <w:r w:rsidRPr="00D95127">
        <w:t xml:space="preserve">Podstatná část výroby semen řepky olejné je dobře uplatnitelná na zahraničních trzích, o čem svědčí vyšší objem vývozu nad dovozem v posledních letech. Propad produkce však zapříčinil v marketingovém roce 2017/18 vyšší objem importu. Česká produkce řepkového semene se dlouhodobě dobře uplatňuje na trzích v Německu, na Slovensku, v Nizozemsku, Polsku a Maďarsku. Poptávka po řepkovém semeni v ČR je naopak uspokojována slovenskou, polskou, maďarskou a rakouskou produkcí. </w:t>
      </w:r>
    </w:p>
    <w:p w14:paraId="00373D4F" w14:textId="77777777" w:rsidR="00B10832" w:rsidRDefault="00B10832">
      <w:pPr>
        <w:spacing w:after="160" w:line="259" w:lineRule="auto"/>
        <w:jc w:val="left"/>
        <w:rPr>
          <w:rFonts w:eastAsiaTheme="majorEastAsia" w:cs="Times New Roman"/>
          <w:b/>
          <w:bCs/>
          <w:sz w:val="28"/>
          <w:szCs w:val="32"/>
          <w:lang w:val="cs-CZ"/>
        </w:rPr>
      </w:pPr>
      <w:bookmarkStart w:id="670" w:name="_Toc76137414"/>
      <w:bookmarkStart w:id="671" w:name="_Toc76637613"/>
      <w:bookmarkStart w:id="672" w:name="_Toc80953292"/>
      <w:r>
        <w:br w:type="page"/>
      </w:r>
    </w:p>
    <w:p w14:paraId="6F3F5324" w14:textId="2AD67445" w:rsidR="00A16DDB" w:rsidRPr="00BD57CE" w:rsidRDefault="00A16DDB" w:rsidP="00BD57CE">
      <w:pPr>
        <w:pStyle w:val="Nadpis1"/>
      </w:pPr>
      <w:bookmarkStart w:id="673" w:name="_Toc81739245"/>
      <w:r w:rsidRPr="00BD57CE">
        <w:t>Jaký je mechanismus a příčiny tohoto problému?</w:t>
      </w:r>
      <w:bookmarkEnd w:id="670"/>
      <w:bookmarkEnd w:id="671"/>
      <w:bookmarkEnd w:id="672"/>
      <w:bookmarkEnd w:id="673"/>
    </w:p>
    <w:p w14:paraId="6B656CA9" w14:textId="77777777" w:rsidR="00A16DDB" w:rsidRPr="00D95127" w:rsidRDefault="00A16DDB" w:rsidP="00BD57CE">
      <w:pPr>
        <w:pStyle w:val="UZEINormaln"/>
        <w:rPr>
          <w:rFonts w:cs="Times New Roman"/>
        </w:rPr>
      </w:pPr>
      <w:r w:rsidRPr="00D95127">
        <w:t>Řepka olejná je nejvýznamnější olejninou pěstovanou na území České republiky. Tato plodina je charakteristická relativně dobrou rentabilitou, i když v posledních letech dochází spíše k jejímu snižování a v důsledku toho i ke zmenšování osevních ploch. V marketingovém roce 1992/93 osevní plochy řepky dosahovaly 136,5 tis. ha, postupným zvyšováním ploch došlo v marketingovém roce 2017/18 k pěstování řepky olejné na ploše 411,8 tis. ha. Semeno řepky je velmi dobře obchodovatelné na tuzemském i zahraničním trhu. Omezení v podobě nerovnoměrnosti a nestálosti srážek v posledních letech se snaží reflektovat související výzkumný sektor v podobě šlechtění a uvádění na trh odolnějších a výnosnějších odrůd a forem řepky olejné. Cena řepkového semene celosvětově i v České republice umožňuje dobrou rentabilitu její produkce. V České republice je aktuálně nastavena Strategie MZe Indikativních ukazatelů strategických cílů českého hospodářství s výhledem do roku 2030. Tato Strategie stanovuje maximální velikost produkční plochy olejnin v ČR v roce 2030 na 400 tis. ha. V roce 2020 bylo sklizeno 450,2 tis. ha ploch olejnin, meziročně tedy poklesla o 1 %. Největší podíl na překročení cíle výměry olejnin má řepka olejná (82 % z celkové výměry aktuální olejnin), jako nejvýznamnější olejnina pěstovaná v ČR. Důvodem je relativně dobrá celková ziskovost plodiny, která dlouhodobě překračuje její nákladovost.</w:t>
      </w:r>
    </w:p>
    <w:p w14:paraId="2D066E7B" w14:textId="77777777" w:rsidR="00A16DDB" w:rsidRPr="00D95127" w:rsidRDefault="00A16DDB" w:rsidP="00BD57CE">
      <w:pPr>
        <w:pStyle w:val="UZEINormaln"/>
        <w:rPr>
          <w:rFonts w:cs="Times New Roman"/>
        </w:rPr>
      </w:pPr>
      <w:r w:rsidRPr="00D95127">
        <w:t>Mezi podstatné důvody, které mají vliv na případné snižování ploch olejnin, a tedy i na případné snižování jejich soběstačnosti, která se v současné době pohybuje kolem 100 %, patří kromě výše zmíněných klimatických změn, výskytu škůdců a sílící konkurence v oblasti olejnin také záporná míra nákladové rentability. Souhrnná rentabilita zůstává však po započtení všech podpor kladná, i když u ní lze sledovat sestupný trend. Rentabilita pěstování olejnin je kromě realizační ceny a nákladů na pěstování závislá také na hektarovém výnosu. Hektarový výnos je však v případě olejnin (s výjimkou marketingového roku 2017/18) relativně stabilní. Jak již bylo zmíněno výše, nejzávažnějším důvodem nízké rentability řepky olejné je dlouhodobě nízká realizační cena oproti vynaloženým nákladům, což je však kompenzováno výší podpor.</w:t>
      </w:r>
    </w:p>
    <w:p w14:paraId="0B69337A" w14:textId="77777777" w:rsidR="00B10832" w:rsidRDefault="00B10832">
      <w:pPr>
        <w:spacing w:after="160" w:line="259" w:lineRule="auto"/>
        <w:jc w:val="left"/>
        <w:rPr>
          <w:rFonts w:eastAsiaTheme="majorEastAsia" w:cs="Times New Roman"/>
          <w:b/>
          <w:bCs/>
          <w:sz w:val="28"/>
          <w:szCs w:val="32"/>
          <w:lang w:val="cs-CZ"/>
        </w:rPr>
      </w:pPr>
      <w:bookmarkStart w:id="674" w:name="_Toc76137415"/>
      <w:bookmarkStart w:id="675" w:name="_Toc76637614"/>
      <w:bookmarkStart w:id="676" w:name="_Toc80953293"/>
      <w:r>
        <w:br w:type="page"/>
      </w:r>
    </w:p>
    <w:p w14:paraId="6AC92B7D" w14:textId="6237A2B0" w:rsidR="00A16DDB" w:rsidRPr="00D95127" w:rsidRDefault="00A16DDB" w:rsidP="00BD57CE">
      <w:pPr>
        <w:pStyle w:val="Nadpis1"/>
      </w:pPr>
      <w:bookmarkStart w:id="677" w:name="_Toc81739246"/>
      <w:r w:rsidRPr="00D95127">
        <w:t>Jak závažný je tento problém?</w:t>
      </w:r>
      <w:bookmarkEnd w:id="674"/>
      <w:bookmarkEnd w:id="675"/>
      <w:bookmarkEnd w:id="676"/>
      <w:bookmarkEnd w:id="677"/>
    </w:p>
    <w:p w14:paraId="42964D33" w14:textId="77777777" w:rsidR="00A16DDB" w:rsidRPr="00D95127" w:rsidRDefault="00A16DDB" w:rsidP="00EB4E2F">
      <w:pPr>
        <w:pStyle w:val="UZEINormaln"/>
        <w:rPr>
          <w:rFonts w:cs="Times New Roman"/>
        </w:rPr>
      </w:pPr>
      <w:r w:rsidRPr="00D95127">
        <w:t>Negativní vliv klimatických podmínek a míry výskytu škůdců na produkci olejnin lze do budoucna omezit pouze částečně. Zákaz využívání neonikotinoidů způsobil v posledních letech úbytek produkční plochy řepky. Jako problematické se tedy může jevit další plánované omezení použití syntetických pesticidů. Nerovnoměrnost a proměnlivost úrovně srážek může být do jisté míry kompenzována výzkumným sektorem v podobě šlechtění rezistentnějších a rentabilnějších odrůd řepky olejné. Současný celoevropský trend snižující se produkční plochy, a naopak rostoucí poptávka po semenu řepky (resp. řepkovém oleji) zvyšuje v současné době jeho výkupní cenu. Vlivem přijatých dílčích opatření v souvislosti se záměrem zvýšit ochranu životního prostředí došlo k omezení produkce a snížení celkové nabídky, což při stávající úrovni poptávky vede k vyšší ceně této komodity. Jelikož je podstatná část produkce řepky v ČR využívána v potravinářském průmyslu, její snížení se odráží i ve vyšších spotřebitelských cenách potravin. Vzhledem k aktuálně převažujícím trendům lze předpokládat, že se bude cena řepky do budoucna dále spíše zvyšovat. Kromě potravinářského využití řepky se tato plodina využívá také pro produkci biopaliv, přičemž legislativa ukládá povinné přimíchávání této složky do pohonných hmot. V současné době je opět vznesen návrh na zrušení této povinnosti do budoucna. Zrušení této povinnosti by mohlo vést k dalšímu snížení produkční plochy řepky a potažmo tedy podpořit další růst její ceny. Relativně vysoká cena řepky olejné může mít vliv na její zpracovatele, kteří mohou být nuceni k nalezení alternativních zdrojů olejů, např. sójového či palmového oleje.</w:t>
      </w:r>
    </w:p>
    <w:p w14:paraId="1B1C81DC" w14:textId="77777777" w:rsidR="00A16DDB" w:rsidRPr="00D95127" w:rsidRDefault="00A16DDB" w:rsidP="00EB4E2F">
      <w:pPr>
        <w:pStyle w:val="UZEINormaln"/>
        <w:rPr>
          <w:rFonts w:cs="Times New Roman"/>
        </w:rPr>
      </w:pPr>
      <w:r w:rsidRPr="00D95127">
        <w:t>Z následující tabulky i grafu je patrný pokles produkčních ploch řepky v posledních letech. Jelikož hektarový výnos se spíše dlouhodobě mírně zvyšuje, zůstává úroveň celkové produkce řepky relativně stabilní a dostačující pro pokrytí domácí poptávky. ČR zůstává v produkci řepky relativně soběstačná, nicméně soběstačnost v posledních letech mírně poklesla. Vzhledem k cíli SZP požadujícím postupné snížení produkční plochy, které je do budoucna očekáváno, je v dalších letech třeba minimálně udržet, či spíše zvýšit hektarový výnos řepky tak, aby byla zachována její soběstačnost.</w:t>
      </w:r>
    </w:p>
    <w:p w14:paraId="2FAE90B7" w14:textId="0A223D5E" w:rsidR="00A16DDB" w:rsidRPr="00B10832" w:rsidRDefault="00A16DDB" w:rsidP="00B10832">
      <w:pPr>
        <w:pStyle w:val="UZEITaB"/>
      </w:pPr>
      <w:r w:rsidRPr="00B10832">
        <w:t xml:space="preserve"> </w:t>
      </w:r>
      <w:bookmarkStart w:id="678" w:name="_Toc81738493"/>
      <w:r w:rsidRPr="00B10832">
        <w:t>Vybrané ukazatele výroby a spotřeby řepky olejné (2011 – 2020)</w:t>
      </w:r>
      <w:bookmarkEnd w:id="678"/>
    </w:p>
    <w:p w14:paraId="56F2945F" w14:textId="77777777" w:rsidR="00A16DDB" w:rsidRPr="00D95127" w:rsidRDefault="00A16DDB" w:rsidP="00A16DDB">
      <w:pPr>
        <w:rPr>
          <w:rFonts w:cs="Times New Roman"/>
          <w:lang w:val="cs-CZ"/>
        </w:rPr>
      </w:pPr>
      <w:r w:rsidRPr="00D95127">
        <w:rPr>
          <w:rFonts w:cs="Times New Roman"/>
          <w:noProof/>
          <w:lang w:val="cs-CZ"/>
        </w:rPr>
        <w:drawing>
          <wp:inline distT="0" distB="0" distL="0" distR="0" wp14:anchorId="2FC3EE7D" wp14:editId="0AA10136">
            <wp:extent cx="5760720" cy="1200150"/>
            <wp:effectExtent l="0" t="0" r="0" b="0"/>
            <wp:docPr id="120" name="Obráze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0720" cy="1200150"/>
                    </a:xfrm>
                    <a:prstGeom prst="rect">
                      <a:avLst/>
                    </a:prstGeom>
                    <a:noFill/>
                    <a:ln>
                      <a:noFill/>
                    </a:ln>
                  </pic:spPr>
                </pic:pic>
              </a:graphicData>
            </a:graphic>
          </wp:inline>
        </w:drawing>
      </w:r>
    </w:p>
    <w:p w14:paraId="3332DCD3" w14:textId="5DE882A5" w:rsidR="00A16DDB" w:rsidRDefault="00A16DDB" w:rsidP="00EB4E2F">
      <w:pPr>
        <w:pStyle w:val="UZEIZdroj"/>
      </w:pPr>
      <w:r w:rsidRPr="00D95127">
        <w:t>Pramen: ČSÚ, MZe</w:t>
      </w:r>
    </w:p>
    <w:p w14:paraId="3BE8DE0A" w14:textId="6F9B0743" w:rsidR="00B10832" w:rsidRDefault="00B10832" w:rsidP="00EB4E2F">
      <w:pPr>
        <w:pStyle w:val="UZEIZdroj"/>
      </w:pPr>
    </w:p>
    <w:p w14:paraId="2972892E" w14:textId="2A057CA9" w:rsidR="00B10832" w:rsidRDefault="00B10832" w:rsidP="00EB4E2F">
      <w:pPr>
        <w:pStyle w:val="UZEIZdroj"/>
      </w:pPr>
    </w:p>
    <w:p w14:paraId="2F8C15CB" w14:textId="2C2CE1A4" w:rsidR="00B10832" w:rsidRDefault="00B10832" w:rsidP="00EB4E2F">
      <w:pPr>
        <w:pStyle w:val="UZEIZdroj"/>
      </w:pPr>
    </w:p>
    <w:p w14:paraId="50D922B3" w14:textId="351509DD" w:rsidR="00B10832" w:rsidRDefault="00B10832" w:rsidP="00EB4E2F">
      <w:pPr>
        <w:pStyle w:val="UZEIZdroj"/>
      </w:pPr>
    </w:p>
    <w:p w14:paraId="03283F27" w14:textId="3A0B62CE" w:rsidR="00B10832" w:rsidRDefault="00B10832" w:rsidP="00EB4E2F">
      <w:pPr>
        <w:pStyle w:val="UZEIZdroj"/>
      </w:pPr>
    </w:p>
    <w:p w14:paraId="61DA560C" w14:textId="1023F9B5" w:rsidR="00B10832" w:rsidRDefault="00B10832" w:rsidP="00EB4E2F">
      <w:pPr>
        <w:pStyle w:val="UZEIZdroj"/>
      </w:pPr>
    </w:p>
    <w:p w14:paraId="4F2F4515" w14:textId="637A1689" w:rsidR="00B10832" w:rsidRDefault="00B10832" w:rsidP="00EB4E2F">
      <w:pPr>
        <w:pStyle w:val="UZEIZdroj"/>
      </w:pPr>
    </w:p>
    <w:p w14:paraId="5DBF72CA" w14:textId="14A3943D" w:rsidR="00B10832" w:rsidRDefault="00B10832" w:rsidP="00EB4E2F">
      <w:pPr>
        <w:pStyle w:val="UZEIZdroj"/>
      </w:pPr>
    </w:p>
    <w:p w14:paraId="627AAE5E" w14:textId="17802D8F" w:rsidR="00B10832" w:rsidRDefault="00B10832" w:rsidP="00EB4E2F">
      <w:pPr>
        <w:pStyle w:val="UZEIZdroj"/>
      </w:pPr>
    </w:p>
    <w:p w14:paraId="2B607F86" w14:textId="77777777" w:rsidR="00B10832" w:rsidRPr="00D95127" w:rsidRDefault="00B10832" w:rsidP="00EB4E2F">
      <w:pPr>
        <w:pStyle w:val="UZEIZdroj"/>
        <w:rPr>
          <w:i w:val="0"/>
        </w:rPr>
      </w:pPr>
    </w:p>
    <w:p w14:paraId="414E5C1A" w14:textId="4AD2F89F" w:rsidR="00A16DDB" w:rsidRPr="00D95127" w:rsidRDefault="00A16DDB" w:rsidP="00EB4E2F">
      <w:pPr>
        <w:pStyle w:val="UZEIGraf"/>
      </w:pPr>
      <w:bookmarkStart w:id="679" w:name="_Toc81738797"/>
      <w:r w:rsidRPr="00D95127">
        <w:t>Vývoj produkční plochy a hektarového výnosu řepky olejné (2011 - 2020)</w:t>
      </w:r>
      <w:bookmarkEnd w:id="679"/>
    </w:p>
    <w:p w14:paraId="763015ED" w14:textId="77777777" w:rsidR="00A16DDB" w:rsidRPr="00D95127" w:rsidRDefault="00A16DDB" w:rsidP="00A16DDB">
      <w:pPr>
        <w:rPr>
          <w:rFonts w:cs="Times New Roman"/>
          <w:sz w:val="18"/>
          <w:szCs w:val="18"/>
          <w:lang w:val="cs-CZ" w:eastAsia="cs-CZ"/>
        </w:rPr>
      </w:pPr>
      <w:r w:rsidRPr="00D95127">
        <w:rPr>
          <w:rFonts w:cs="Times New Roman"/>
          <w:noProof/>
          <w:szCs w:val="24"/>
          <w:lang w:val="cs-CZ" w:eastAsia="cs-CZ"/>
        </w:rPr>
        <w:drawing>
          <wp:inline distT="0" distB="0" distL="0" distR="0" wp14:anchorId="5DB83940" wp14:editId="598839F0">
            <wp:extent cx="5224780" cy="2755900"/>
            <wp:effectExtent l="0" t="0" r="0" b="0"/>
            <wp:docPr id="121" name="Obráze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224780" cy="2755900"/>
                    </a:xfrm>
                    <a:prstGeom prst="rect">
                      <a:avLst/>
                    </a:prstGeom>
                    <a:noFill/>
                  </pic:spPr>
                </pic:pic>
              </a:graphicData>
            </a:graphic>
          </wp:inline>
        </w:drawing>
      </w:r>
    </w:p>
    <w:p w14:paraId="67ECAF3F" w14:textId="77777777" w:rsidR="00B10832" w:rsidRDefault="00A16DDB" w:rsidP="00B10832">
      <w:pPr>
        <w:pStyle w:val="UZEIZdroj"/>
      </w:pPr>
      <w:r w:rsidRPr="00D95127">
        <w:t>Pramen: ČSÚ, MZ</w:t>
      </w:r>
      <w:r w:rsidR="00B10832">
        <w:t>E</w:t>
      </w:r>
    </w:p>
    <w:p w14:paraId="3427B21C" w14:textId="556EB2BF" w:rsidR="00A16DDB" w:rsidRPr="00D95127" w:rsidRDefault="00A16DDB" w:rsidP="00EB4E2F">
      <w:pPr>
        <w:pStyle w:val="UZEIGraf"/>
      </w:pPr>
      <w:bookmarkStart w:id="680" w:name="_Toc81738798"/>
      <w:r w:rsidRPr="00D95127">
        <w:t>Vývoj produkce, spotřeby, exportu, importu a soběstačnosti řepky olejné (2011 – 2020)</w:t>
      </w:r>
      <w:bookmarkEnd w:id="680"/>
    </w:p>
    <w:p w14:paraId="71E8AA05" w14:textId="77777777" w:rsidR="00A16DDB" w:rsidRPr="00D95127" w:rsidRDefault="00A16DDB" w:rsidP="00A16DDB">
      <w:pPr>
        <w:rPr>
          <w:rFonts w:cs="Times New Roman"/>
          <w:szCs w:val="24"/>
          <w:lang w:val="cs-CZ" w:eastAsia="cs-CZ"/>
        </w:rPr>
      </w:pPr>
      <w:r w:rsidRPr="00D95127">
        <w:rPr>
          <w:rFonts w:cs="Times New Roman"/>
          <w:noProof/>
          <w:szCs w:val="24"/>
          <w:lang w:val="cs-CZ" w:eastAsia="cs-CZ"/>
        </w:rPr>
        <w:drawing>
          <wp:inline distT="0" distB="0" distL="0" distR="0" wp14:anchorId="67EA78AD" wp14:editId="05C837BA">
            <wp:extent cx="5145405" cy="3157855"/>
            <wp:effectExtent l="0" t="0" r="0" b="4445"/>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145405" cy="3157855"/>
                    </a:xfrm>
                    <a:prstGeom prst="rect">
                      <a:avLst/>
                    </a:prstGeom>
                    <a:noFill/>
                  </pic:spPr>
                </pic:pic>
              </a:graphicData>
            </a:graphic>
          </wp:inline>
        </w:drawing>
      </w:r>
    </w:p>
    <w:p w14:paraId="05CF7775" w14:textId="77777777" w:rsidR="00A16DDB" w:rsidRPr="00D95127" w:rsidRDefault="00A16DDB" w:rsidP="00EB4E2F">
      <w:pPr>
        <w:pStyle w:val="UZEIZdroj"/>
        <w:rPr>
          <w:i w:val="0"/>
        </w:rPr>
      </w:pPr>
      <w:r w:rsidRPr="00D95127">
        <w:t>Pramen: ČSÚ, MZe</w:t>
      </w:r>
    </w:p>
    <w:p w14:paraId="03267DE1" w14:textId="77777777" w:rsidR="00A16DDB" w:rsidRPr="00D95127" w:rsidRDefault="00A16DDB" w:rsidP="00EB4E2F">
      <w:pPr>
        <w:pStyle w:val="UZEINormaln"/>
        <w:rPr>
          <w:rFonts w:cs="Times New Roman"/>
        </w:rPr>
      </w:pPr>
      <w:r w:rsidRPr="00D95127">
        <w:t xml:space="preserve">V posledních letech se u řepky projevuje záporná míra nákladové rentability, což je způsobeno dlouhodobě patrným poklesem realizační ceny řepky z výše uvedených důvodů a zároveň růstem jednotkových nákladů (osiva, hnojiva, pracovní náklady). Z tabulky je patrné, že jednotkové podpory dlouhodobě mírně rostou a kopírují tím vývoj jednotkových nákladů, nicméně i přes to lze pozorovat, že souhrnná rentabilita má dlouhodobě klesající trend. </w:t>
      </w:r>
    </w:p>
    <w:p w14:paraId="76BA4CDC" w14:textId="1912ED1F" w:rsidR="00A16DDB" w:rsidRPr="00B10832" w:rsidRDefault="00A16DDB" w:rsidP="00B10832">
      <w:pPr>
        <w:pStyle w:val="UZEITaB"/>
      </w:pPr>
      <w:r w:rsidRPr="00B10832">
        <w:t xml:space="preserve"> </w:t>
      </w:r>
      <w:bookmarkStart w:id="681" w:name="_Toc81738494"/>
      <w:r w:rsidRPr="00B10832">
        <w:t>Ekonomika řepky olejné (2011 – 2020)</w:t>
      </w:r>
      <w:bookmarkEnd w:id="681"/>
    </w:p>
    <w:p w14:paraId="64238E47" w14:textId="77777777" w:rsidR="00A16DDB" w:rsidRPr="00D95127" w:rsidRDefault="00A16DDB" w:rsidP="00A16DDB">
      <w:pPr>
        <w:rPr>
          <w:rFonts w:cs="Times New Roman"/>
          <w:szCs w:val="24"/>
          <w:lang w:val="cs-CZ" w:eastAsia="cs-CZ"/>
        </w:rPr>
      </w:pPr>
      <w:r w:rsidRPr="00D95127">
        <w:rPr>
          <w:rFonts w:cs="Times New Roman"/>
          <w:noProof/>
          <w:lang w:val="cs-CZ"/>
        </w:rPr>
        <w:drawing>
          <wp:inline distT="0" distB="0" distL="0" distR="0" wp14:anchorId="78B51988" wp14:editId="56A16094">
            <wp:extent cx="5760720" cy="904875"/>
            <wp:effectExtent l="0" t="0" r="0" b="9525"/>
            <wp:docPr id="123" name="Obrázek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0720" cy="904875"/>
                    </a:xfrm>
                    <a:prstGeom prst="rect">
                      <a:avLst/>
                    </a:prstGeom>
                    <a:noFill/>
                    <a:ln>
                      <a:noFill/>
                    </a:ln>
                  </pic:spPr>
                </pic:pic>
              </a:graphicData>
            </a:graphic>
          </wp:inline>
        </w:drawing>
      </w:r>
    </w:p>
    <w:p w14:paraId="43162B76" w14:textId="77777777" w:rsidR="00A16DDB" w:rsidRPr="00D95127" w:rsidRDefault="00A16DDB" w:rsidP="00EB4E2F">
      <w:pPr>
        <w:pStyle w:val="UZEIZdroj"/>
        <w:rPr>
          <w:i w:val="0"/>
        </w:rPr>
      </w:pPr>
      <w:r w:rsidRPr="00D95127">
        <w:t>Pramen: ČSÚ, MZe</w:t>
      </w:r>
    </w:p>
    <w:p w14:paraId="448E1666" w14:textId="77777777" w:rsidR="00A16DDB" w:rsidRPr="00D95127" w:rsidRDefault="00A16DDB" w:rsidP="00EB4E2F">
      <w:pPr>
        <w:pStyle w:val="Nadpis1"/>
      </w:pPr>
      <w:bookmarkStart w:id="682" w:name="_Toc76137416"/>
      <w:bookmarkStart w:id="683" w:name="_Toc76637615"/>
      <w:bookmarkStart w:id="684" w:name="_Toc80953294"/>
      <w:bookmarkStart w:id="685" w:name="_Toc81739247"/>
      <w:r w:rsidRPr="00D95127">
        <w:t>Míra stávajícího řešení problému</w:t>
      </w:r>
      <w:bookmarkEnd w:id="682"/>
      <w:bookmarkEnd w:id="683"/>
      <w:bookmarkEnd w:id="684"/>
      <w:bookmarkEnd w:id="685"/>
    </w:p>
    <w:p w14:paraId="19FE1A4D" w14:textId="77777777" w:rsidR="00A16DDB" w:rsidRPr="00DE47B6" w:rsidRDefault="00A16DDB" w:rsidP="00DE47B6">
      <w:pPr>
        <w:pStyle w:val="Nadpis2"/>
      </w:pPr>
      <w:bookmarkStart w:id="686" w:name="_Toc76137417"/>
      <w:bookmarkStart w:id="687" w:name="_Toc76637616"/>
      <w:bookmarkStart w:id="688" w:name="_Toc80953295"/>
      <w:bookmarkStart w:id="689" w:name="_Toc81739248"/>
      <w:r w:rsidRPr="00DE47B6">
        <w:t>Míra řešení ve stávající SZP (úspěšnost/neúspěšnost)</w:t>
      </w:r>
      <w:bookmarkEnd w:id="686"/>
      <w:bookmarkEnd w:id="687"/>
      <w:bookmarkEnd w:id="688"/>
      <w:bookmarkEnd w:id="689"/>
      <w:r w:rsidRPr="00DE47B6">
        <w:t xml:space="preserve"> </w:t>
      </w:r>
    </w:p>
    <w:p w14:paraId="4443CE3E" w14:textId="77777777" w:rsidR="00A16DDB" w:rsidRPr="00D95127" w:rsidRDefault="00A16DDB" w:rsidP="00EB4E2F">
      <w:pPr>
        <w:pStyle w:val="UZEINormaln"/>
        <w:rPr>
          <w:rFonts w:cs="Times New Roman"/>
        </w:rPr>
      </w:pPr>
      <w:r w:rsidRPr="00D95127">
        <w:t>Pro udržení kladné souhrnné rentability z výše uvedeného vyplynula mimo jiné i důležitost poskytování podpor. V rámci přímých plateb mohou pěstitelé řepky olejné pobírat jednotnou platbu na plochu zemědělské půdy (tzv. SAPS). Nedílnou součástí této nejrozšířenější zemědělské dotace je platba pro zemědělce dodržující zemědělské postupy příznivé pro klima a životní prostředí (tzv. greening). Z národního rozpočtu může ČR také vyplácet přechodnou vnitrostátní podporu (PVP), která navazuje na dříve poskytované národní doplňkové platby (Top – Up).</w:t>
      </w:r>
    </w:p>
    <w:p w14:paraId="784C0B4B" w14:textId="05787D58" w:rsidR="00A16DDB" w:rsidRPr="00DE47B6" w:rsidRDefault="00A16DDB" w:rsidP="00DE47B6">
      <w:pPr>
        <w:pStyle w:val="UZEITaB"/>
      </w:pPr>
      <w:r w:rsidRPr="00DE47B6">
        <w:t xml:space="preserve"> </w:t>
      </w:r>
      <w:bookmarkStart w:id="690" w:name="_Toc81738495"/>
      <w:r w:rsidRPr="00DE47B6">
        <w:t>Dotační podpory řepky olejné (2011 – 2020)</w:t>
      </w:r>
      <w:bookmarkEnd w:id="690"/>
    </w:p>
    <w:p w14:paraId="185A363B" w14:textId="77777777" w:rsidR="00A16DDB" w:rsidRPr="00D95127" w:rsidRDefault="00A16DDB" w:rsidP="00A16DDB">
      <w:pPr>
        <w:pStyle w:val="Standard"/>
        <w:jc w:val="both"/>
        <w:rPr>
          <w:rFonts w:ascii="Times New Roman" w:hAnsi="Times New Roman" w:cs="Times New Roman"/>
          <w:i/>
          <w:color w:val="44546A"/>
        </w:rPr>
      </w:pPr>
      <w:r w:rsidRPr="00D95127">
        <w:rPr>
          <w:rFonts w:ascii="Times New Roman" w:hAnsi="Times New Roman" w:cs="Times New Roman"/>
          <w:i/>
          <w:noProof/>
          <w:color w:val="44546A"/>
        </w:rPr>
        <w:drawing>
          <wp:inline distT="0" distB="0" distL="0" distR="0" wp14:anchorId="0802F672" wp14:editId="74B51D5F">
            <wp:extent cx="6418526" cy="1628775"/>
            <wp:effectExtent l="0" t="0" r="1905" b="0"/>
            <wp:docPr id="127" name="Obrázek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536117" cy="1658615"/>
                    </a:xfrm>
                    <a:prstGeom prst="rect">
                      <a:avLst/>
                    </a:prstGeom>
                    <a:noFill/>
                    <a:ln>
                      <a:noFill/>
                    </a:ln>
                  </pic:spPr>
                </pic:pic>
              </a:graphicData>
            </a:graphic>
          </wp:inline>
        </w:drawing>
      </w:r>
    </w:p>
    <w:p w14:paraId="57DF442F" w14:textId="77777777" w:rsidR="00A16DDB" w:rsidRPr="00D95127" w:rsidRDefault="00A16DDB" w:rsidP="00EB4E2F">
      <w:pPr>
        <w:pStyle w:val="UZEIZdroj"/>
        <w:rPr>
          <w:i w:val="0"/>
        </w:rPr>
      </w:pPr>
      <w:r w:rsidRPr="00D95127">
        <w:t>Pramen: ÚZEI</w:t>
      </w:r>
    </w:p>
    <w:p w14:paraId="2B47953E" w14:textId="77777777" w:rsidR="00A16DDB" w:rsidRPr="00D95127" w:rsidRDefault="00A16DDB" w:rsidP="00EB4E2F">
      <w:pPr>
        <w:pStyle w:val="UZEINormaln"/>
        <w:rPr>
          <w:iCs/>
        </w:rPr>
      </w:pPr>
      <w:r w:rsidRPr="00D95127">
        <w:rPr>
          <w:iCs/>
        </w:rPr>
        <w:t xml:space="preserve">V letech 2011-2020 byla řepka olejná podporována prostřednictvím SAPS a Top-Up (pouze v roce 2012). SAPS se nejvýrazněji podílela na celkových poskytnutých podporách, od roku 2015 pak společně s platbou na greening. Od roku 2015 byl zaveden jako příplatek k SAPS tzv. greening. </w:t>
      </w:r>
      <w:r w:rsidRPr="00D95127">
        <w:t>Od roku 2013 do 2020 je vyplácena přechodná vnitrostátní podpora, která má dlouhodobě klesající trend.</w:t>
      </w:r>
      <w:r w:rsidRPr="00D95127">
        <w:rPr>
          <w:iCs/>
        </w:rPr>
        <w:t xml:space="preserve"> </w:t>
      </w:r>
      <w:r w:rsidRPr="00D95127">
        <w:t xml:space="preserve">Pěstitelé řepky mohou čerpat v uvedeném období podporu pojištění na hektar a </w:t>
      </w:r>
      <w:r w:rsidRPr="00D95127">
        <w:rPr>
          <w:rStyle w:val="small"/>
        </w:rPr>
        <w:t>vratky spotřební daně na zelenou naftu</w:t>
      </w:r>
      <w:r w:rsidRPr="00D95127">
        <w:t xml:space="preserve">. V roce 2015 bylo možné nárokovat nově i LFA platby. V roce 2018 došlo v rámci redefinice LFA oblastí také ke změně vyplácení podpory z TTP na zemědělské plodiny i v oblastech LFA O ve které jsou zastoupeny i produkční plochy řepky olejné. Na zmírnění škod způsobených suchem byla vyplacena podpora pouze v roce 2017. V celkovém součtu se výše poskytovaných podpor během sledovaného období mírně zvyšovala, i přesto ale souhrnná rentabilita po započtení podpor dlouhodobě spíše klesá. Dosud klesající cenu řepky olejné a meziroční výkyvy v nákladech dokáže současná výše podpor dostatečně pokrýt.  </w:t>
      </w:r>
    </w:p>
    <w:p w14:paraId="74354104" w14:textId="77777777" w:rsidR="00A16DDB" w:rsidRPr="00DE47B6" w:rsidRDefault="00A16DDB" w:rsidP="00DE47B6">
      <w:pPr>
        <w:pStyle w:val="Nadpis2"/>
      </w:pPr>
      <w:bookmarkStart w:id="691" w:name="_Toc76137418"/>
      <w:bookmarkStart w:id="692" w:name="_Toc76637617"/>
      <w:bookmarkStart w:id="693" w:name="_Toc80953296"/>
      <w:bookmarkStart w:id="694" w:name="_Toc81739249"/>
      <w:r w:rsidRPr="00DE47B6">
        <w:t>Míra současného řešení problému jinými politikami</w:t>
      </w:r>
      <w:bookmarkEnd w:id="691"/>
      <w:bookmarkEnd w:id="692"/>
      <w:bookmarkEnd w:id="693"/>
      <w:bookmarkEnd w:id="694"/>
    </w:p>
    <w:p w14:paraId="3A0C19F5" w14:textId="77777777" w:rsidR="00A16DDB" w:rsidRPr="00D95127" w:rsidRDefault="00A16DDB" w:rsidP="00EB4E2F">
      <w:pPr>
        <w:pStyle w:val="UZEINormaln"/>
        <w:rPr>
          <w:rFonts w:cs="Times New Roman"/>
        </w:rPr>
      </w:pPr>
      <w:r w:rsidRPr="00D95127">
        <w:t xml:space="preserve">Příjmové podpory v rámci SZP jsou doplněny podporami provozního nebo investičního charakteru z národních zdrojů, a to </w:t>
      </w:r>
      <w:r w:rsidRPr="00D95127">
        <w:rPr>
          <w:rFonts w:cs="Times New Roman"/>
        </w:rPr>
        <w:t>v podobně dlouhodobých programů nebo mimořádných plateb. Vzhledem k výkyvům klimatu to byla v letech 2017 vyplacená mimořádná podpora na zmírnění škod způsobených suchem. Mezi další pravidelně vyplácené provozní podpory, které jsou ale méně významné z hlediska jejich výše, patří podpory na pojištění na ha zemědělské plodiny a vratka zelené nafty.</w:t>
      </w:r>
    </w:p>
    <w:p w14:paraId="7D4CAE3B" w14:textId="77777777" w:rsidR="00A16DDB" w:rsidRPr="00D95127" w:rsidRDefault="00A16DDB" w:rsidP="00EB4E2F">
      <w:pPr>
        <w:pStyle w:val="UZEINormaln"/>
        <w:rPr>
          <w:rFonts w:cs="Times New Roman"/>
        </w:rPr>
      </w:pPr>
      <w:r w:rsidRPr="00D95127">
        <w:t xml:space="preserve">Z hlediska strukturálních podpor mohou pěstitelé pro komoditu řepka olejná využít následujících Národních dotačních programů: </w:t>
      </w:r>
    </w:p>
    <w:p w14:paraId="01C512A9" w14:textId="77777777" w:rsidR="00A16DDB" w:rsidRPr="00D95127" w:rsidRDefault="00A16DDB" w:rsidP="00EB4E2F">
      <w:pPr>
        <w:pStyle w:val="UZEINormaln"/>
        <w:rPr>
          <w:rFonts w:cs="Times New Roman"/>
        </w:rPr>
      </w:pPr>
      <w:r w:rsidRPr="00D95127">
        <w:t xml:space="preserve">Program 3. Podpora ozdravování polních a speciálních plodin </w:t>
      </w:r>
    </w:p>
    <w:p w14:paraId="00698F60" w14:textId="77777777" w:rsidR="00A16DDB" w:rsidRPr="00D95127" w:rsidRDefault="00A16DDB" w:rsidP="00EB4E2F">
      <w:pPr>
        <w:pStyle w:val="UZEIOdrky"/>
        <w:rPr>
          <w:rFonts w:cs="Times New Roman"/>
        </w:rPr>
      </w:pPr>
      <w:r w:rsidRPr="00EB4E2F">
        <w:t xml:space="preserve">3. a) Biologická ochrana </w:t>
      </w:r>
    </w:p>
    <w:p w14:paraId="6CAE0F45" w14:textId="77777777" w:rsidR="00A16DDB" w:rsidRPr="00D95127" w:rsidRDefault="00A16DDB" w:rsidP="005E1966">
      <w:pPr>
        <w:pStyle w:val="UZEIOdrky"/>
        <w:numPr>
          <w:ilvl w:val="1"/>
          <w:numId w:val="1"/>
        </w:numPr>
        <w:rPr>
          <w:rFonts w:cs="Times New Roman"/>
        </w:rPr>
      </w:pPr>
      <w:r w:rsidRPr="00EB4E2F">
        <w:t>Účelem dotace je zvýšení kvality rostlinné produkce prostřednictvím náhrady chemického ošetření a prevence proti šíření hospodářsky závažných virových a bakteriálních chorob a chorob přenosných osivem a sadbou. Smyslem je pořízení biologické ochrany rostlin jako náhrady za aplikování chemické ochrany rostlin.</w:t>
      </w:r>
    </w:p>
    <w:p w14:paraId="6C8CC025" w14:textId="77777777" w:rsidR="00A16DDB" w:rsidRPr="00D95127" w:rsidRDefault="00A16DDB" w:rsidP="00EB4E2F">
      <w:pPr>
        <w:pStyle w:val="UZEIOdrky"/>
        <w:rPr>
          <w:rFonts w:cs="Times New Roman"/>
        </w:rPr>
      </w:pPr>
      <w:r w:rsidRPr="00EB4E2F">
        <w:t>3. c) Testování</w:t>
      </w:r>
    </w:p>
    <w:p w14:paraId="6EB445A6" w14:textId="77777777" w:rsidR="00A16DDB" w:rsidRPr="00D95127" w:rsidRDefault="00A16DDB" w:rsidP="005E1966">
      <w:pPr>
        <w:pStyle w:val="UZEIOdrky"/>
        <w:numPr>
          <w:ilvl w:val="1"/>
          <w:numId w:val="1"/>
        </w:numPr>
        <w:rPr>
          <w:rFonts w:cs="Times New Roman"/>
        </w:rPr>
      </w:pPr>
      <w:r w:rsidRPr="00EB4E2F">
        <w:t>Jedná se o zvýšení kvality rostlinné produkce cestou náhrady chemického ošetření a prevence proti šíření hospodářsky závažných virových a bakteriálních chorob a chorob přenosných osivem a sadbou na základě testování množitelského materiálu s využitím imunoenzymatických metod a metod PCR.</w:t>
      </w:r>
    </w:p>
    <w:p w14:paraId="14E0D50A" w14:textId="1BABD25F" w:rsidR="00A16DDB" w:rsidRPr="00DE47B6" w:rsidRDefault="00A16DDB" w:rsidP="00DE47B6">
      <w:pPr>
        <w:spacing w:after="160" w:line="259" w:lineRule="auto"/>
        <w:jc w:val="left"/>
        <w:rPr>
          <w:rFonts w:eastAsia="Times New Roman" w:cstheme="minorHAnsi"/>
          <w:szCs w:val="24"/>
          <w:lang w:val="cs-CZ" w:eastAsia="cs-CZ"/>
        </w:rPr>
      </w:pPr>
      <w:r w:rsidRPr="00EB4E2F">
        <w:t>Program 9. Speciální poradenství,</w:t>
      </w:r>
    </w:p>
    <w:p w14:paraId="10598B1F" w14:textId="77777777" w:rsidR="00A16DDB" w:rsidRPr="00D95127" w:rsidRDefault="00A16DDB" w:rsidP="00EB4E2F">
      <w:pPr>
        <w:pStyle w:val="UZEIOdrky"/>
        <w:rPr>
          <w:rFonts w:cs="Times New Roman"/>
        </w:rPr>
      </w:pPr>
      <w:r w:rsidRPr="00EB4E2F">
        <w:t>9. A.b.4)  Podpora</w:t>
      </w:r>
      <w:r w:rsidRPr="00D95127">
        <w:rPr>
          <w:rFonts w:cs="Times New Roman"/>
        </w:rPr>
        <w:t xml:space="preserve"> na zajištění samostatných odrůdových zkoušek registrovaných odrůd polních plodin, za účelem zajištění získání a šíření informací o pěstitelských vlastnostech registrovaných odrůd polních plodin, které jsou následně publikovány zemědělské veřejnosti.</w:t>
      </w:r>
    </w:p>
    <w:p w14:paraId="563AD75D" w14:textId="77777777" w:rsidR="00A16DDB" w:rsidRPr="00D95127" w:rsidRDefault="00A16DDB" w:rsidP="00EB4E2F">
      <w:pPr>
        <w:pStyle w:val="UZEINormaln"/>
        <w:rPr>
          <w:rFonts w:cs="Times New Roman"/>
        </w:rPr>
      </w:pPr>
      <w:r w:rsidRPr="00D95127">
        <w:t>Další možností podpor jsou podpory poskytované prostřednictvím Podpůrného a garančního rolnického a lesnického fondu (PGRLF), kde je možné využít podpory na úhradu části pojistného na pojištění plodin, podpory na dotace části úroku z úvěrů na nemovitosti či zemědělskou techniku a investiční úvěr na pořízení investičního majetku.</w:t>
      </w:r>
    </w:p>
    <w:p w14:paraId="36A3A25B" w14:textId="77777777" w:rsidR="00DE47B6" w:rsidRDefault="00DE47B6">
      <w:pPr>
        <w:spacing w:after="160" w:line="259" w:lineRule="auto"/>
        <w:jc w:val="left"/>
        <w:rPr>
          <w:rFonts w:eastAsiaTheme="majorEastAsia" w:cs="Times New Roman"/>
          <w:b/>
          <w:bCs/>
          <w:sz w:val="28"/>
          <w:szCs w:val="32"/>
          <w:lang w:val="cs-CZ"/>
        </w:rPr>
      </w:pPr>
      <w:bookmarkStart w:id="695" w:name="_Toc76137419"/>
      <w:bookmarkStart w:id="696" w:name="_Toc76637618"/>
      <w:bookmarkStart w:id="697" w:name="_Toc80953297"/>
      <w:r>
        <w:br w:type="page"/>
      </w:r>
    </w:p>
    <w:p w14:paraId="2A64DFFB" w14:textId="29B2423B" w:rsidR="00A16DDB" w:rsidRPr="00D95127" w:rsidRDefault="00A16DDB" w:rsidP="00EB4E2F">
      <w:pPr>
        <w:pStyle w:val="Nadpis1"/>
      </w:pPr>
      <w:bookmarkStart w:id="698" w:name="_Toc81739250"/>
      <w:r w:rsidRPr="00D95127">
        <w:t>Existence/neexistence možnosti efektivního řešení v rámci nástrojů SZP, které lze uvažovat v nových návrzích SZP</w:t>
      </w:r>
      <w:bookmarkEnd w:id="695"/>
      <w:bookmarkEnd w:id="696"/>
      <w:bookmarkEnd w:id="697"/>
      <w:bookmarkEnd w:id="698"/>
    </w:p>
    <w:p w14:paraId="7AF167D0" w14:textId="77777777" w:rsidR="00A16DDB" w:rsidRPr="00D95127" w:rsidRDefault="00A16DDB" w:rsidP="00BF01D5">
      <w:pPr>
        <w:pStyle w:val="UZEINormaln"/>
        <w:rPr>
          <w:rFonts w:cs="Times New Roman"/>
        </w:rPr>
      </w:pPr>
      <w:r w:rsidRPr="00D95127">
        <w:t xml:space="preserve">Pro olejniny jsou poskytované podpory ustanoveny v Nařízení vlády č. 50/2015 Sb., o stanovení některých podmínek poskytování přímých plateb zemědělcům a o změně některých souvisejících nařízení vlády, konkrétně tedy jednotná platba na plochu zemědělské půdy a platba pro zemědělce dodržující zemědělské postupy příznivé pro klima a životní prostředí. V současné situaci nabývá rentabilita řepky olejné bez započtení těchto podpor záporných hodnot. Rok 2018/19 navzdory extrémním povětrnostním podmínkám byl pro olejniny velmi úspěšný. V dalších dvou letech došlo již ke snížení obhospodařované výměry, a tedy i celkové produkce. Rostoucí realizační cena není sama o sobě schopna pokrýt zvýšené jednotkové náklady. Růst ceny je výrazně ovlivněn snížením produkce řepky olejné, a to nejen v ČR ale i v celé EU oproti stále vysoké poptávce. V současné situaci tedy nelze předpokládat, že bez započtení podpor bude řepka olejná dosahovat kladných hodnot rentability. V případě jejich výpadku by mohlo dojít k dalšímu omezení velikosti ploch řepky olejné a mohla by být ohrožena její soběstačnost. </w:t>
      </w:r>
    </w:p>
    <w:p w14:paraId="1A288948" w14:textId="6C9DC832" w:rsidR="00A16DDB" w:rsidRPr="00D95127" w:rsidRDefault="00A16DDB" w:rsidP="00BF01D5">
      <w:pPr>
        <w:pStyle w:val="UZEITaB"/>
      </w:pPr>
      <w:r>
        <w:t xml:space="preserve"> </w:t>
      </w:r>
      <w:bookmarkStart w:id="699" w:name="_Toc81738496"/>
      <w:r w:rsidRPr="00D95127">
        <w:t>Ekonomika pěstování řepky olejné v 2018 až 2020 s výhledem do 2030</w:t>
      </w:r>
      <w:bookmarkEnd w:id="699"/>
    </w:p>
    <w:p w14:paraId="2027463B" w14:textId="77777777" w:rsidR="00A16DDB" w:rsidRPr="00D95127" w:rsidRDefault="00A16DDB" w:rsidP="00A16DDB">
      <w:pPr>
        <w:keepNext/>
        <w:rPr>
          <w:rFonts w:cs="Times New Roman"/>
          <w:lang w:val="cs-CZ" w:eastAsia="cs-CZ"/>
        </w:rPr>
      </w:pPr>
      <w:r w:rsidRPr="00D95127">
        <w:rPr>
          <w:rFonts w:cs="Times New Roman"/>
          <w:noProof/>
          <w:lang w:val="cs-CZ"/>
        </w:rPr>
        <w:drawing>
          <wp:inline distT="0" distB="0" distL="0" distR="0" wp14:anchorId="6334BAEC" wp14:editId="78F3E1D9">
            <wp:extent cx="5759450" cy="1062990"/>
            <wp:effectExtent l="0" t="0" r="0" b="3810"/>
            <wp:docPr id="70" name="Obráze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59450" cy="1062990"/>
                    </a:xfrm>
                    <a:prstGeom prst="rect">
                      <a:avLst/>
                    </a:prstGeom>
                    <a:noFill/>
                    <a:ln>
                      <a:noFill/>
                    </a:ln>
                  </pic:spPr>
                </pic:pic>
              </a:graphicData>
            </a:graphic>
          </wp:inline>
        </w:drawing>
      </w:r>
    </w:p>
    <w:p w14:paraId="1DBE0C51" w14:textId="77777777" w:rsidR="00A16DDB" w:rsidRPr="00D95127" w:rsidRDefault="00A16DDB" w:rsidP="00BF01D5">
      <w:pPr>
        <w:pStyle w:val="UZEIZdroj"/>
        <w:rPr>
          <w:i w:val="0"/>
        </w:rPr>
      </w:pPr>
      <w:r w:rsidRPr="00D95127">
        <w:t>Zdroj: Výběrové šetření nákladů a výnosů vybraných zemědělských komodit ÚZEI, vlastní výpočty</w:t>
      </w:r>
    </w:p>
    <w:p w14:paraId="44D5227F" w14:textId="2F66FBD7" w:rsidR="00A16DDB" w:rsidRPr="00DE47B6" w:rsidRDefault="00A16DDB" w:rsidP="00DE47B6">
      <w:pPr>
        <w:pStyle w:val="UZEIZdroj"/>
        <w:rPr>
          <w:i w:val="0"/>
          <w:szCs w:val="20"/>
        </w:rPr>
      </w:pPr>
      <w:r w:rsidRPr="00D95127">
        <w:rPr>
          <w:szCs w:val="20"/>
        </w:rPr>
        <w:t>Pozn.: Způsob provedení predikce je uveden v příloze I.</w:t>
      </w:r>
    </w:p>
    <w:p w14:paraId="3F9944AB" w14:textId="77777777" w:rsidR="00A16DDB" w:rsidRPr="00D95127" w:rsidRDefault="00A16DDB" w:rsidP="00BF01D5">
      <w:pPr>
        <w:pStyle w:val="UZEINormaln"/>
        <w:rPr>
          <w:rFonts w:cs="Times New Roman"/>
          <w:b/>
          <w:color w:val="2E74B5"/>
        </w:rPr>
      </w:pPr>
      <w:r w:rsidRPr="00D95127">
        <w:t xml:space="preserve">V předchozí tabulce je znázorněn vývoj ekonomiky a rentability plodiny od roku 2011. Z naznačených trendů budoucího vývoje je poté </w:t>
      </w:r>
      <w:r w:rsidRPr="00D95127">
        <w:rPr>
          <w:rFonts w:cs="Times New Roman"/>
        </w:rPr>
        <w:t>predikován vývoj ve sledovaných ukazatelích do roku 2030.</w:t>
      </w:r>
    </w:p>
    <w:p w14:paraId="75EC287D" w14:textId="77777777" w:rsidR="00A16DDB" w:rsidRPr="00D95127" w:rsidRDefault="00A16DDB" w:rsidP="00A16DDB">
      <w:pPr>
        <w:spacing w:after="60"/>
        <w:ind w:firstLine="709"/>
        <w:rPr>
          <w:rFonts w:cs="Times New Roman"/>
          <w:szCs w:val="24"/>
          <w:lang w:val="cs-CZ"/>
        </w:rPr>
      </w:pPr>
    </w:p>
    <w:p w14:paraId="09C8718B" w14:textId="77777777" w:rsidR="00BF01D5" w:rsidRDefault="00BF01D5">
      <w:pPr>
        <w:spacing w:after="160" w:line="259" w:lineRule="auto"/>
        <w:jc w:val="left"/>
        <w:rPr>
          <w:rFonts w:eastAsiaTheme="majorEastAsia" w:cs="Times New Roman"/>
          <w:b/>
          <w:bCs/>
          <w:sz w:val="28"/>
          <w:szCs w:val="32"/>
          <w:lang w:val="cs-CZ"/>
        </w:rPr>
      </w:pPr>
      <w:bookmarkStart w:id="700" w:name="_Toc76137420"/>
      <w:bookmarkStart w:id="701" w:name="_Toc76637619"/>
      <w:bookmarkStart w:id="702" w:name="_Toc80953298"/>
      <w:r>
        <w:br w:type="page"/>
      </w:r>
    </w:p>
    <w:p w14:paraId="7FDA317A" w14:textId="6FDCEEF7" w:rsidR="00A16DDB" w:rsidRPr="00D95127" w:rsidRDefault="00A16DDB" w:rsidP="00BF01D5">
      <w:pPr>
        <w:pStyle w:val="Nadpis1"/>
      </w:pPr>
      <w:bookmarkStart w:id="703" w:name="_Toc81739251"/>
      <w:r w:rsidRPr="00D95127">
        <w:t>SWOT analýza</w:t>
      </w:r>
      <w:bookmarkEnd w:id="700"/>
      <w:bookmarkEnd w:id="701"/>
      <w:bookmarkEnd w:id="702"/>
      <w:bookmarkEnd w:id="703"/>
    </w:p>
    <w:p w14:paraId="70A90F13" w14:textId="77777777" w:rsidR="00A16DDB" w:rsidRPr="00D95127" w:rsidRDefault="00A16DDB" w:rsidP="00BF01D5">
      <w:pPr>
        <w:pStyle w:val="UZEINormaln"/>
        <w:rPr>
          <w:rFonts w:cs="Times New Roman"/>
        </w:rPr>
      </w:pPr>
      <w:r w:rsidRPr="00D95127">
        <w:t>Řepka olejná v posledních letech ztratila svou původní dobrou míru rentability. Snížená míra rentability je podpořena ubýváním osevních ploch, nejistou situací v oblasti zpracovatelského průmyslu ohledně přimíchávání složek do pohonných hmot a v neposlední řadě také nepříznivými klimatickými změnami. Umožnění čerpání podpor však nadále drží souhrnnou rentabilitu v kladných hodnotách. Pěstování řepky olejné celkově nemá výrazně negativní vliv na půdní poměry. ČR ročně produkuje přibližně 2 % světové produkce řepky a jedná se o relativně významnou exportní plodinu. Na rozvoj a další vývoj pěstování řepky jako hlavní olejniny má v ČR zásadní vliv dotační politika Evropského společenství pro výrobu biopaliv. V případě jejího přehodnocení, lze očekávat mírný pokles produkce a osevních ploch této plodiny.</w:t>
      </w:r>
    </w:p>
    <w:p w14:paraId="20B4528D" w14:textId="77777777" w:rsidR="00A16DDB" w:rsidRPr="00DE47B6" w:rsidRDefault="00A16DDB" w:rsidP="00BF01D5">
      <w:pPr>
        <w:pStyle w:val="UZEINormaln"/>
        <w:rPr>
          <w:rStyle w:val="Odkazintenzivn"/>
          <w:rFonts w:cs="Times New Roman"/>
          <w:caps/>
          <w:smallCaps w:val="0"/>
        </w:rPr>
      </w:pPr>
      <w:r w:rsidRPr="00DE47B6">
        <w:rPr>
          <w:rStyle w:val="Odkazintenzivn"/>
          <w:rFonts w:cs="Times New Roman"/>
          <w:caps/>
          <w:smallCaps w:val="0"/>
          <w:color w:val="auto"/>
        </w:rPr>
        <w:t>olejniny</w:t>
      </w:r>
    </w:p>
    <w:tbl>
      <w:tblPr>
        <w:tblStyle w:val="Mkatabulky"/>
        <w:tblW w:w="0" w:type="auto"/>
        <w:tblLook w:val="04A0" w:firstRow="1" w:lastRow="0" w:firstColumn="1" w:lastColumn="0" w:noHBand="0" w:noVBand="1"/>
      </w:tblPr>
      <w:tblGrid>
        <w:gridCol w:w="4531"/>
        <w:gridCol w:w="4531"/>
      </w:tblGrid>
      <w:tr w:rsidR="00A16DDB" w:rsidRPr="00D95127" w14:paraId="5D522B74" w14:textId="77777777" w:rsidTr="007A627A">
        <w:tc>
          <w:tcPr>
            <w:tcW w:w="4531" w:type="dxa"/>
          </w:tcPr>
          <w:p w14:paraId="40CFAE6F" w14:textId="77777777" w:rsidR="00A16DDB" w:rsidRPr="00BF01D5" w:rsidRDefault="00A16DDB" w:rsidP="00467D08">
            <w:pPr>
              <w:pStyle w:val="UZEINormaln"/>
              <w:jc w:val="center"/>
              <w:rPr>
                <w:b/>
                <w:sz w:val="22"/>
                <w:szCs w:val="22"/>
              </w:rPr>
            </w:pPr>
            <w:r w:rsidRPr="00BF01D5">
              <w:rPr>
                <w:b/>
                <w:sz w:val="22"/>
                <w:szCs w:val="22"/>
              </w:rPr>
              <w:t>Silné stránky</w:t>
            </w:r>
          </w:p>
        </w:tc>
        <w:tc>
          <w:tcPr>
            <w:tcW w:w="4531" w:type="dxa"/>
          </w:tcPr>
          <w:p w14:paraId="7A63AF8A" w14:textId="77777777" w:rsidR="00A16DDB" w:rsidRPr="00BF01D5" w:rsidRDefault="00A16DDB" w:rsidP="00467D08">
            <w:pPr>
              <w:pStyle w:val="UZEINormaln"/>
              <w:jc w:val="center"/>
              <w:rPr>
                <w:b/>
                <w:sz w:val="22"/>
                <w:szCs w:val="22"/>
              </w:rPr>
            </w:pPr>
            <w:r w:rsidRPr="00BF01D5">
              <w:rPr>
                <w:b/>
                <w:sz w:val="22"/>
                <w:szCs w:val="22"/>
              </w:rPr>
              <w:t>Slabé stránky</w:t>
            </w:r>
          </w:p>
        </w:tc>
      </w:tr>
      <w:tr w:rsidR="00A16DDB" w:rsidRPr="00D95127" w14:paraId="2D3A02DB" w14:textId="77777777" w:rsidTr="007A627A">
        <w:tc>
          <w:tcPr>
            <w:tcW w:w="4531" w:type="dxa"/>
          </w:tcPr>
          <w:p w14:paraId="3459F7C1" w14:textId="61C8D51D" w:rsidR="00A16DDB" w:rsidRPr="00BF01D5" w:rsidRDefault="00467D08" w:rsidP="00BF01D5">
            <w:pPr>
              <w:pStyle w:val="UZEIOdrky"/>
              <w:ind w:left="342" w:hanging="283"/>
              <w:rPr>
                <w:sz w:val="22"/>
                <w:szCs w:val="22"/>
                <w:lang w:eastAsia="en-US"/>
              </w:rPr>
            </w:pPr>
            <w:r>
              <w:rPr>
                <w:sz w:val="22"/>
                <w:szCs w:val="22"/>
                <w:lang w:eastAsia="en-US"/>
              </w:rPr>
              <w:t xml:space="preserve">S1: </w:t>
            </w:r>
            <w:r w:rsidR="00A16DDB" w:rsidRPr="00BF01D5">
              <w:rPr>
                <w:sz w:val="22"/>
                <w:szCs w:val="22"/>
                <w:lang w:eastAsia="en-US"/>
              </w:rPr>
              <w:t>Dobrá konkurenceschopnost a relativně dobrá úroveň rentability produkce větší části pěstitelů založená na výhodách z velikosti podniků, vysoké odborné úrovni pěstitelů, vyspělých technologiích a odrůdách, zjednodušené agrotechnice a menších nárocích na management a objem i kvalitu práce.</w:t>
            </w:r>
          </w:p>
          <w:p w14:paraId="7A826F31" w14:textId="03D5FA16" w:rsidR="00A16DDB" w:rsidRPr="00BF01D5" w:rsidRDefault="00467D08" w:rsidP="00BF01D5">
            <w:pPr>
              <w:pStyle w:val="UZEIOdrky"/>
              <w:ind w:left="342" w:hanging="283"/>
              <w:rPr>
                <w:sz w:val="22"/>
                <w:szCs w:val="22"/>
                <w:lang w:eastAsia="en-US"/>
              </w:rPr>
            </w:pPr>
            <w:r>
              <w:rPr>
                <w:sz w:val="22"/>
                <w:szCs w:val="22"/>
                <w:lang w:eastAsia="en-US"/>
              </w:rPr>
              <w:t xml:space="preserve">S2: </w:t>
            </w:r>
            <w:r w:rsidR="00A16DDB" w:rsidRPr="00BF01D5">
              <w:rPr>
                <w:sz w:val="22"/>
                <w:szCs w:val="22"/>
                <w:lang w:eastAsia="en-US"/>
              </w:rPr>
              <w:t>Stabilní či rostoucí poptávka po rostlinných olejích uvnitř ČR i na zahraničních trzích.</w:t>
            </w:r>
          </w:p>
          <w:p w14:paraId="78F0A0F6" w14:textId="0C65B41C" w:rsidR="00A16DDB" w:rsidRPr="00BF01D5" w:rsidRDefault="00467D08" w:rsidP="00BF01D5">
            <w:pPr>
              <w:pStyle w:val="UZEIOdrky"/>
              <w:ind w:left="342" w:hanging="283"/>
              <w:rPr>
                <w:sz w:val="22"/>
                <w:szCs w:val="22"/>
                <w:lang w:eastAsia="en-US"/>
              </w:rPr>
            </w:pPr>
            <w:r>
              <w:rPr>
                <w:sz w:val="22"/>
                <w:szCs w:val="22"/>
                <w:lang w:eastAsia="en-US"/>
              </w:rPr>
              <w:t xml:space="preserve">S3: </w:t>
            </w:r>
            <w:r w:rsidR="00A16DDB" w:rsidRPr="00BF01D5">
              <w:rPr>
                <w:sz w:val="22"/>
                <w:szCs w:val="22"/>
                <w:lang w:eastAsia="en-US"/>
              </w:rPr>
              <w:t>Relativně pozitivní vliv na půdu.</w:t>
            </w:r>
          </w:p>
        </w:tc>
        <w:tc>
          <w:tcPr>
            <w:tcW w:w="4531" w:type="dxa"/>
          </w:tcPr>
          <w:p w14:paraId="425BE871" w14:textId="19735B04" w:rsidR="00A16DDB" w:rsidRPr="00BF01D5" w:rsidRDefault="00467D08" w:rsidP="00BF01D5">
            <w:pPr>
              <w:pStyle w:val="UZEIOdrky"/>
              <w:ind w:left="342" w:hanging="283"/>
              <w:rPr>
                <w:sz w:val="22"/>
                <w:szCs w:val="22"/>
                <w:lang w:eastAsia="en-US"/>
              </w:rPr>
            </w:pPr>
            <w:r>
              <w:rPr>
                <w:sz w:val="22"/>
                <w:szCs w:val="22"/>
                <w:lang w:eastAsia="en-US"/>
              </w:rPr>
              <w:t xml:space="preserve">W1: </w:t>
            </w:r>
            <w:r w:rsidR="00A16DDB" w:rsidRPr="00BF01D5">
              <w:rPr>
                <w:sz w:val="22"/>
                <w:szCs w:val="22"/>
                <w:lang w:eastAsia="en-US"/>
              </w:rPr>
              <w:t>Cenové výkyvy.</w:t>
            </w:r>
          </w:p>
          <w:p w14:paraId="5AF10041" w14:textId="0F3EB1B0" w:rsidR="00A16DDB" w:rsidRPr="00BF01D5" w:rsidRDefault="00467D08" w:rsidP="00BF01D5">
            <w:pPr>
              <w:pStyle w:val="UZEIOdrky"/>
              <w:ind w:left="342" w:hanging="283"/>
              <w:rPr>
                <w:sz w:val="22"/>
                <w:szCs w:val="22"/>
                <w:lang w:eastAsia="en-US"/>
              </w:rPr>
            </w:pPr>
            <w:r>
              <w:rPr>
                <w:sz w:val="22"/>
                <w:szCs w:val="22"/>
                <w:lang w:eastAsia="en-US"/>
              </w:rPr>
              <w:t xml:space="preserve">W2: </w:t>
            </w:r>
            <w:r w:rsidR="00A16DDB" w:rsidRPr="00BF01D5">
              <w:rPr>
                <w:sz w:val="22"/>
                <w:szCs w:val="22"/>
                <w:lang w:eastAsia="en-US"/>
              </w:rPr>
              <w:t>Vysoká efektivita pěstování vede k malému příspěvku k zaměstnanosti venkova.</w:t>
            </w:r>
          </w:p>
          <w:p w14:paraId="6AA3A935" w14:textId="5FB2B12C" w:rsidR="00A16DDB" w:rsidRPr="00BF01D5" w:rsidRDefault="00467D08" w:rsidP="00BF01D5">
            <w:pPr>
              <w:pStyle w:val="UZEIOdrky"/>
              <w:ind w:left="342" w:hanging="283"/>
              <w:rPr>
                <w:sz w:val="22"/>
                <w:szCs w:val="22"/>
                <w:lang w:eastAsia="en-US"/>
              </w:rPr>
            </w:pPr>
            <w:r>
              <w:rPr>
                <w:sz w:val="22"/>
                <w:szCs w:val="22"/>
                <w:lang w:eastAsia="en-US"/>
              </w:rPr>
              <w:t xml:space="preserve">W3: </w:t>
            </w:r>
            <w:r w:rsidR="00A16DDB" w:rsidRPr="00BF01D5">
              <w:rPr>
                <w:sz w:val="22"/>
                <w:szCs w:val="22"/>
                <w:lang w:eastAsia="en-US"/>
              </w:rPr>
              <w:t>Nedodržování osevních postupů a kratší interval pěstování např. řepky (3–4 roky) vede ke zvýšené potřebě ochrany rostlin.</w:t>
            </w:r>
          </w:p>
          <w:p w14:paraId="239F502A" w14:textId="3C91DAC6" w:rsidR="00A16DDB" w:rsidRPr="00BF01D5" w:rsidRDefault="00467D08" w:rsidP="00BF01D5">
            <w:pPr>
              <w:pStyle w:val="UZEIOdrky"/>
              <w:ind w:left="342" w:hanging="283"/>
              <w:rPr>
                <w:sz w:val="22"/>
                <w:szCs w:val="22"/>
                <w:lang w:eastAsia="en-US"/>
              </w:rPr>
            </w:pPr>
            <w:r>
              <w:rPr>
                <w:sz w:val="22"/>
                <w:szCs w:val="22"/>
                <w:lang w:eastAsia="en-US"/>
              </w:rPr>
              <w:t xml:space="preserve">W4: </w:t>
            </w:r>
            <w:r w:rsidR="00A16DDB" w:rsidRPr="00BF01D5">
              <w:rPr>
                <w:sz w:val="22"/>
                <w:szCs w:val="22"/>
                <w:lang w:eastAsia="en-US"/>
              </w:rPr>
              <w:t>Vysoký podíl odrůd vyšlechtěných pro odlišné klimatické podmínky.</w:t>
            </w:r>
          </w:p>
          <w:p w14:paraId="31D3230A" w14:textId="12BA545E" w:rsidR="00A16DDB" w:rsidRPr="00BF01D5" w:rsidRDefault="00467D08" w:rsidP="00BF01D5">
            <w:pPr>
              <w:pStyle w:val="UZEIOdrky"/>
              <w:ind w:left="342" w:hanging="283"/>
              <w:rPr>
                <w:sz w:val="22"/>
                <w:szCs w:val="22"/>
                <w:lang w:eastAsia="en-US"/>
              </w:rPr>
            </w:pPr>
            <w:r>
              <w:rPr>
                <w:sz w:val="22"/>
                <w:szCs w:val="22"/>
                <w:lang w:eastAsia="en-US"/>
              </w:rPr>
              <w:t xml:space="preserve">W5: </w:t>
            </w:r>
            <w:r w:rsidR="00A16DDB" w:rsidRPr="00BF01D5">
              <w:rPr>
                <w:sz w:val="22"/>
                <w:szCs w:val="22"/>
                <w:lang w:eastAsia="en-US"/>
              </w:rPr>
              <w:t>Riziko zhoršování kvality půdy při případném pokračování velkoplošného pěstování plodin a nedodržování osevních postupů.</w:t>
            </w:r>
          </w:p>
          <w:p w14:paraId="0BF410ED" w14:textId="4908C7DF" w:rsidR="00A16DDB" w:rsidRPr="00BF01D5" w:rsidRDefault="00467D08" w:rsidP="00BF01D5">
            <w:pPr>
              <w:pStyle w:val="UZEIOdrky"/>
              <w:ind w:left="342" w:hanging="283"/>
              <w:rPr>
                <w:sz w:val="22"/>
                <w:szCs w:val="22"/>
                <w:lang w:eastAsia="en-US"/>
              </w:rPr>
            </w:pPr>
            <w:r>
              <w:rPr>
                <w:sz w:val="22"/>
                <w:szCs w:val="22"/>
                <w:lang w:eastAsia="en-US"/>
              </w:rPr>
              <w:t xml:space="preserve">W6: </w:t>
            </w:r>
            <w:r w:rsidR="00A16DDB" w:rsidRPr="00BF01D5">
              <w:rPr>
                <w:sz w:val="22"/>
                <w:szCs w:val="22"/>
                <w:lang w:eastAsia="en-US"/>
              </w:rPr>
              <w:t>Nedostatečné využití vysoce intenzivních pěstitelských technologií.</w:t>
            </w:r>
          </w:p>
        </w:tc>
      </w:tr>
      <w:tr w:rsidR="00A16DDB" w:rsidRPr="00D95127" w14:paraId="609B7CB2" w14:textId="77777777" w:rsidTr="007A627A">
        <w:tc>
          <w:tcPr>
            <w:tcW w:w="4531" w:type="dxa"/>
          </w:tcPr>
          <w:p w14:paraId="258C4C39" w14:textId="77777777" w:rsidR="00A16DDB" w:rsidRPr="00BF01D5" w:rsidRDefault="00A16DDB" w:rsidP="00467D08">
            <w:pPr>
              <w:pStyle w:val="UZEINormaln"/>
              <w:jc w:val="center"/>
              <w:rPr>
                <w:b/>
                <w:sz w:val="22"/>
                <w:szCs w:val="22"/>
              </w:rPr>
            </w:pPr>
            <w:r w:rsidRPr="00BF01D5">
              <w:rPr>
                <w:b/>
                <w:sz w:val="22"/>
                <w:szCs w:val="22"/>
              </w:rPr>
              <w:t>Příležitosti</w:t>
            </w:r>
          </w:p>
        </w:tc>
        <w:tc>
          <w:tcPr>
            <w:tcW w:w="4531" w:type="dxa"/>
          </w:tcPr>
          <w:p w14:paraId="1254F72F" w14:textId="77777777" w:rsidR="00A16DDB" w:rsidRPr="00BF01D5" w:rsidRDefault="00A16DDB" w:rsidP="00467D08">
            <w:pPr>
              <w:pStyle w:val="UZEINormaln"/>
              <w:jc w:val="center"/>
              <w:rPr>
                <w:b/>
                <w:sz w:val="22"/>
                <w:szCs w:val="22"/>
              </w:rPr>
            </w:pPr>
            <w:r w:rsidRPr="00BF01D5">
              <w:rPr>
                <w:b/>
                <w:sz w:val="22"/>
                <w:szCs w:val="22"/>
              </w:rPr>
              <w:t>Hrozby</w:t>
            </w:r>
          </w:p>
        </w:tc>
      </w:tr>
      <w:tr w:rsidR="00A16DDB" w:rsidRPr="00D95127" w14:paraId="2621E13C" w14:textId="77777777" w:rsidTr="007A627A">
        <w:tc>
          <w:tcPr>
            <w:tcW w:w="4531" w:type="dxa"/>
          </w:tcPr>
          <w:p w14:paraId="480BA276" w14:textId="0789AA4F" w:rsidR="00A16DDB" w:rsidRPr="00BF01D5" w:rsidRDefault="00467D08" w:rsidP="00BF01D5">
            <w:pPr>
              <w:pStyle w:val="UZEIOdrky"/>
              <w:ind w:left="342" w:hanging="283"/>
              <w:rPr>
                <w:sz w:val="22"/>
                <w:szCs w:val="22"/>
                <w:lang w:eastAsia="en-US"/>
              </w:rPr>
            </w:pPr>
            <w:r>
              <w:rPr>
                <w:sz w:val="22"/>
                <w:szCs w:val="22"/>
                <w:lang w:eastAsia="en-US"/>
              </w:rPr>
              <w:t xml:space="preserve">O1: </w:t>
            </w:r>
            <w:r w:rsidR="00A16DDB" w:rsidRPr="00BF01D5">
              <w:rPr>
                <w:sz w:val="22"/>
                <w:szCs w:val="22"/>
                <w:lang w:eastAsia="en-US"/>
              </w:rPr>
              <w:t>Rostoucí poptávka po kvalitě produkce, s vyšším využitím certifikovaných osiv a výkonnějších odrůd, včetně jejich adaptace na změny klimatu (sucho).</w:t>
            </w:r>
          </w:p>
          <w:p w14:paraId="016474FE" w14:textId="54BC505E" w:rsidR="00A16DDB" w:rsidRPr="00BF01D5" w:rsidRDefault="00467D08" w:rsidP="00BF01D5">
            <w:pPr>
              <w:pStyle w:val="UZEIOdrky"/>
              <w:ind w:left="342" w:hanging="283"/>
              <w:rPr>
                <w:sz w:val="22"/>
                <w:szCs w:val="22"/>
                <w:lang w:eastAsia="en-US"/>
              </w:rPr>
            </w:pPr>
            <w:r>
              <w:rPr>
                <w:sz w:val="22"/>
                <w:szCs w:val="22"/>
                <w:lang w:eastAsia="en-US"/>
              </w:rPr>
              <w:t xml:space="preserve">O2: </w:t>
            </w:r>
            <w:r w:rsidR="00A16DDB" w:rsidRPr="00BF01D5">
              <w:rPr>
                <w:sz w:val="22"/>
                <w:szCs w:val="22"/>
                <w:lang w:eastAsia="en-US"/>
              </w:rPr>
              <w:t>Pokračující stabilní poptávka domácího zpracovatelského průmyslu.</w:t>
            </w:r>
          </w:p>
          <w:p w14:paraId="05E8EBE0" w14:textId="5582D778" w:rsidR="00A16DDB" w:rsidRPr="00BF01D5" w:rsidRDefault="00467D08" w:rsidP="00BF01D5">
            <w:pPr>
              <w:pStyle w:val="UZEIOdrky"/>
              <w:ind w:left="342" w:hanging="283"/>
              <w:rPr>
                <w:sz w:val="22"/>
                <w:szCs w:val="22"/>
                <w:lang w:eastAsia="en-US"/>
              </w:rPr>
            </w:pPr>
            <w:r>
              <w:rPr>
                <w:sz w:val="22"/>
                <w:szCs w:val="22"/>
                <w:lang w:eastAsia="en-US"/>
              </w:rPr>
              <w:t xml:space="preserve">O3: </w:t>
            </w:r>
            <w:r w:rsidR="00A16DDB" w:rsidRPr="00BF01D5">
              <w:rPr>
                <w:sz w:val="22"/>
                <w:szCs w:val="22"/>
                <w:lang w:eastAsia="en-US"/>
              </w:rPr>
              <w:t>Stimulace poptávky (biopaliva) vč. využití řepky pro výrobu bionafty.</w:t>
            </w:r>
          </w:p>
        </w:tc>
        <w:tc>
          <w:tcPr>
            <w:tcW w:w="4531" w:type="dxa"/>
          </w:tcPr>
          <w:p w14:paraId="53AD9B4F" w14:textId="1E268967" w:rsidR="00A16DDB" w:rsidRPr="00BF01D5" w:rsidRDefault="00467D08" w:rsidP="00BF01D5">
            <w:pPr>
              <w:pStyle w:val="UZEIOdrky"/>
              <w:ind w:left="342" w:hanging="283"/>
              <w:rPr>
                <w:sz w:val="22"/>
                <w:szCs w:val="22"/>
                <w:lang w:eastAsia="en-US"/>
              </w:rPr>
            </w:pPr>
            <w:r>
              <w:rPr>
                <w:sz w:val="22"/>
                <w:szCs w:val="22"/>
                <w:lang w:eastAsia="en-US"/>
              </w:rPr>
              <w:t xml:space="preserve">T1: </w:t>
            </w:r>
            <w:r w:rsidR="00A16DDB" w:rsidRPr="00BF01D5">
              <w:rPr>
                <w:sz w:val="22"/>
                <w:szCs w:val="22"/>
                <w:lang w:eastAsia="en-US"/>
              </w:rPr>
              <w:t xml:space="preserve">Možné krátkodobé ztížení produkčních podmínek a zhoršení ekonomiky v důsledku uplatnění přísnějších opatření politiky ve vztahu k ŽP </w:t>
            </w:r>
          </w:p>
          <w:p w14:paraId="462C0E1B" w14:textId="1EC9F334" w:rsidR="00A16DDB" w:rsidRPr="00BF01D5" w:rsidRDefault="00467D08" w:rsidP="00BF01D5">
            <w:pPr>
              <w:pStyle w:val="UZEIOdrky"/>
              <w:ind w:left="342" w:hanging="283"/>
              <w:rPr>
                <w:sz w:val="22"/>
                <w:szCs w:val="22"/>
                <w:lang w:eastAsia="en-US"/>
              </w:rPr>
            </w:pPr>
            <w:r>
              <w:rPr>
                <w:sz w:val="22"/>
                <w:szCs w:val="22"/>
                <w:lang w:eastAsia="en-US"/>
              </w:rPr>
              <w:t xml:space="preserve">T2: </w:t>
            </w:r>
            <w:r w:rsidR="00A16DDB" w:rsidRPr="00BF01D5">
              <w:rPr>
                <w:sz w:val="22"/>
                <w:szCs w:val="22"/>
                <w:lang w:eastAsia="en-US"/>
              </w:rPr>
              <w:t>Vyšší volatilita příjmů v důsledku změny klimatu – zvýšení produkčních a příjmových rizik z hlediska objemu i kvality produkce.</w:t>
            </w:r>
          </w:p>
          <w:p w14:paraId="23260BAF" w14:textId="60A1400A" w:rsidR="00A16DDB" w:rsidRPr="00BF01D5" w:rsidRDefault="00467D08" w:rsidP="00BF01D5">
            <w:pPr>
              <w:pStyle w:val="UZEIOdrky"/>
              <w:ind w:left="342" w:hanging="283"/>
              <w:rPr>
                <w:sz w:val="22"/>
                <w:szCs w:val="22"/>
                <w:lang w:eastAsia="en-US"/>
              </w:rPr>
            </w:pPr>
            <w:r>
              <w:rPr>
                <w:sz w:val="22"/>
                <w:szCs w:val="22"/>
                <w:lang w:eastAsia="en-US"/>
              </w:rPr>
              <w:t xml:space="preserve">T3: </w:t>
            </w:r>
            <w:r w:rsidR="00A16DDB" w:rsidRPr="00BF01D5">
              <w:rPr>
                <w:sz w:val="22"/>
                <w:szCs w:val="22"/>
                <w:lang w:eastAsia="en-US"/>
              </w:rPr>
              <w:t>Vyšší dovozy zpracovaných výrobků z olejnin (rostlinných olejů)</w:t>
            </w:r>
          </w:p>
          <w:p w14:paraId="059B054E" w14:textId="4EE19334" w:rsidR="00A16DDB" w:rsidRPr="00BF01D5" w:rsidRDefault="00467D08" w:rsidP="00BF01D5">
            <w:pPr>
              <w:pStyle w:val="UZEIOdrky"/>
              <w:ind w:left="342" w:hanging="283"/>
              <w:rPr>
                <w:sz w:val="22"/>
                <w:szCs w:val="22"/>
                <w:lang w:eastAsia="en-US"/>
              </w:rPr>
            </w:pPr>
            <w:r>
              <w:rPr>
                <w:sz w:val="22"/>
                <w:szCs w:val="22"/>
                <w:lang w:eastAsia="en-US"/>
              </w:rPr>
              <w:t xml:space="preserve">T4: </w:t>
            </w:r>
            <w:r w:rsidR="00A16DDB" w:rsidRPr="00BF01D5">
              <w:rPr>
                <w:sz w:val="22"/>
                <w:szCs w:val="22"/>
                <w:lang w:eastAsia="en-US"/>
              </w:rPr>
              <w:t>Rostoucí ceny práce, půdy, energií a dalších vstupů.</w:t>
            </w:r>
          </w:p>
          <w:p w14:paraId="272734D0" w14:textId="4F5F821B" w:rsidR="00A16DDB" w:rsidRPr="00BF01D5" w:rsidRDefault="00467D08" w:rsidP="00BF01D5">
            <w:pPr>
              <w:pStyle w:val="UZEIOdrky"/>
              <w:ind w:left="342" w:hanging="283"/>
              <w:rPr>
                <w:sz w:val="22"/>
                <w:szCs w:val="22"/>
                <w:lang w:eastAsia="en-US"/>
              </w:rPr>
            </w:pPr>
            <w:r>
              <w:rPr>
                <w:sz w:val="22"/>
                <w:szCs w:val="22"/>
                <w:lang w:eastAsia="en-US"/>
              </w:rPr>
              <w:t xml:space="preserve">T5: </w:t>
            </w:r>
            <w:r w:rsidR="00A16DDB" w:rsidRPr="00BF01D5">
              <w:rPr>
                <w:sz w:val="22"/>
                <w:szCs w:val="22"/>
                <w:lang w:eastAsia="en-US"/>
              </w:rPr>
              <w:t>Přehodnocení cílů EU v produkci biopaliv ze zemědělské produkce.</w:t>
            </w:r>
          </w:p>
        </w:tc>
      </w:tr>
    </w:tbl>
    <w:p w14:paraId="7CCA942F" w14:textId="77777777" w:rsidR="00A16DDB" w:rsidRPr="00D95127" w:rsidRDefault="00A16DDB" w:rsidP="00A16DDB">
      <w:pPr>
        <w:rPr>
          <w:rFonts w:eastAsia="Times New Roman" w:cs="Times New Roman"/>
          <w:b/>
          <w:color w:val="2E74B5"/>
          <w:szCs w:val="24"/>
          <w:lang w:val="cs-CZ"/>
        </w:rPr>
      </w:pPr>
      <w:r w:rsidRPr="00D95127">
        <w:rPr>
          <w:rFonts w:cs="Times New Roman"/>
          <w:b/>
          <w:szCs w:val="24"/>
          <w:lang w:val="cs-CZ"/>
        </w:rPr>
        <w:br w:type="page"/>
      </w:r>
    </w:p>
    <w:p w14:paraId="02A3C3AB" w14:textId="77777777" w:rsidR="00A16DDB" w:rsidRPr="00D95127" w:rsidRDefault="00A16DDB" w:rsidP="004A5095">
      <w:pPr>
        <w:pStyle w:val="UZEINadpis1stbezsla"/>
      </w:pPr>
      <w:bookmarkStart w:id="704" w:name="_Toc76137421"/>
      <w:bookmarkStart w:id="705" w:name="_Toc76637620"/>
      <w:bookmarkStart w:id="706" w:name="_Toc80953299"/>
      <w:bookmarkStart w:id="707" w:name="_Toc81739252"/>
      <w:r w:rsidRPr="00D95127">
        <w:t>LEN A KONOPÍ</w:t>
      </w:r>
      <w:bookmarkEnd w:id="704"/>
      <w:bookmarkEnd w:id="705"/>
      <w:bookmarkEnd w:id="706"/>
      <w:bookmarkEnd w:id="707"/>
    </w:p>
    <w:p w14:paraId="5F961C82" w14:textId="77777777" w:rsidR="00A16DDB" w:rsidRPr="00D95127" w:rsidRDefault="00A16DDB" w:rsidP="004A5095">
      <w:pPr>
        <w:pStyle w:val="UZEINormaln"/>
        <w:rPr>
          <w:rFonts w:cs="Times New Roman"/>
          <w:bCs/>
        </w:rPr>
      </w:pPr>
      <w:r w:rsidRPr="00D95127">
        <w:t xml:space="preserve">Dříve pěstované tradiční plodiny českých podhorských oblastí, len setý a konopí seté, a později průmyslové textilní odvětví zpracovávající tyto komodity, se od 90. let výrazně utlumilo. Po vstupu do EU, resp. na evropský trh, odbyt lněného vlákna a tím i lněného stonku postupně klesal, osevní plocha lnu se snižovala až prakticky zcela vymizela. Tírenské provozy prvotního zpracování lnu i lnářské přádelny zanikly. </w:t>
      </w:r>
    </w:p>
    <w:p w14:paraId="1CD09992" w14:textId="77777777" w:rsidR="00A16DDB" w:rsidRPr="00D95127" w:rsidRDefault="00A16DDB" w:rsidP="004A5095">
      <w:pPr>
        <w:pStyle w:val="UZEINormaln"/>
        <w:rPr>
          <w:rFonts w:cs="Times New Roman"/>
          <w:bCs/>
        </w:rPr>
      </w:pPr>
      <w:r w:rsidRPr="00D95127">
        <w:t>Rozlišují se tři druhy lnu, tj. přadný s dlouhým stonkem, olejný s nižším rozvětveným stonkem a olejnopřadný se stonkem kratším než u přadného lnu, ale bohatším rozvětvením. Lněné vlákno se v průmyslovém zpracování vyskytuje ve dvou základních formách a to dlouhé (třené) vlákno určené pro výrobu kvalitních textilních výrobků a krátké vlákno – koudel, která se využívá pro výrobu méně jakostních textilií využitelných při výrobě kompozitních materiálů v automobilovém průmyslu, pro výrobu stavebních tepelně a zvukově izolačních materiálů a v nemalé míře také jako surovina pro výrobu papíru. V posledních letech zaznamenáváme i u dlouhého lněného vlákna vysoké jakosti snahu o jeho aplikaci v náročnějších kompozitních konstrukcích jako záměnu za skleněná a uhlíková vlákna, případně v kombinaci s těmito vlákny.</w:t>
      </w:r>
    </w:p>
    <w:p w14:paraId="09A04791" w14:textId="77777777" w:rsidR="00A16DDB" w:rsidRPr="00D95127" w:rsidRDefault="00A16DDB" w:rsidP="00DE7D57">
      <w:pPr>
        <w:pStyle w:val="Nadpis1"/>
        <w:numPr>
          <w:ilvl w:val="0"/>
          <w:numId w:val="19"/>
        </w:numPr>
      </w:pPr>
      <w:bookmarkStart w:id="708" w:name="_Toc76137422"/>
      <w:bookmarkStart w:id="709" w:name="_Toc76637621"/>
      <w:bookmarkStart w:id="710" w:name="_Toc80953300"/>
      <w:bookmarkStart w:id="711" w:name="_Toc81739253"/>
      <w:r w:rsidRPr="00D95127">
        <w:t>Analýza stávajících/navrhovaných právních předpisů EK/ČR a pravděpodobné nastavení směrů a cílů SZP</w:t>
      </w:r>
      <w:bookmarkEnd w:id="708"/>
      <w:bookmarkEnd w:id="709"/>
      <w:bookmarkEnd w:id="710"/>
      <w:bookmarkEnd w:id="711"/>
    </w:p>
    <w:p w14:paraId="64E62AC3" w14:textId="77777777" w:rsidR="00A16DDB" w:rsidRPr="00D95127" w:rsidRDefault="00A16DDB" w:rsidP="004A5095">
      <w:pPr>
        <w:pStyle w:val="UZEINormaln"/>
        <w:rPr>
          <w:u w:val="single"/>
        </w:rPr>
      </w:pPr>
      <w:r w:rsidRPr="00D95127">
        <w:rPr>
          <w:u w:val="single"/>
        </w:rPr>
        <w:t>Tato část je zpracována souhrnně v základním analytickém dokumentu za oblast konkurenceschopnost zemědělství.</w:t>
      </w:r>
    </w:p>
    <w:p w14:paraId="449A335A" w14:textId="77777777" w:rsidR="00467D08" w:rsidRDefault="00467D08">
      <w:pPr>
        <w:spacing w:after="160" w:line="259" w:lineRule="auto"/>
        <w:jc w:val="left"/>
        <w:rPr>
          <w:rFonts w:eastAsiaTheme="majorEastAsia" w:cs="Times New Roman"/>
          <w:b/>
          <w:bCs/>
          <w:sz w:val="28"/>
          <w:szCs w:val="32"/>
          <w:lang w:val="cs-CZ"/>
        </w:rPr>
      </w:pPr>
      <w:bookmarkStart w:id="712" w:name="_Toc80953301"/>
      <w:r>
        <w:br w:type="page"/>
      </w:r>
    </w:p>
    <w:p w14:paraId="6D0377AB" w14:textId="1E0F1B62" w:rsidR="00A16DDB" w:rsidRPr="00D95127" w:rsidRDefault="00A16DDB" w:rsidP="004A5095">
      <w:pPr>
        <w:pStyle w:val="Nadpis1"/>
      </w:pPr>
      <w:bookmarkStart w:id="713" w:name="_Toc81739254"/>
      <w:r w:rsidRPr="00D95127">
        <w:t>Co je skutečným problémem, na který má politika reagovat?</w:t>
      </w:r>
      <w:bookmarkEnd w:id="712"/>
      <w:bookmarkEnd w:id="713"/>
    </w:p>
    <w:p w14:paraId="3912CC7D" w14:textId="77777777" w:rsidR="00A16DDB" w:rsidRPr="00D95127" w:rsidRDefault="00A16DDB" w:rsidP="004A5095">
      <w:pPr>
        <w:pStyle w:val="UZEINormaln"/>
        <w:rPr>
          <w:rFonts w:cs="Times New Roman"/>
          <w:bCs/>
        </w:rPr>
      </w:pPr>
      <w:r w:rsidRPr="00D95127">
        <w:rPr>
          <w:b/>
        </w:rPr>
        <w:t>Plocha přadného lnu</w:t>
      </w:r>
      <w:r w:rsidRPr="00D95127">
        <w:rPr>
          <w:rFonts w:cs="Times New Roman"/>
          <w:bCs/>
        </w:rPr>
        <w:t xml:space="preserve"> se v období 1980-1999 pohybovala v rozpětí 24,4 tis. ha do 5,3 tis. ha, v období 2000-2006 od 6,3 tis. ha do 2,8 tis. ha. K výraznému poklesu došlo v roce 2007,</w:t>
      </w:r>
      <w:r w:rsidRPr="00D95127">
        <w:rPr>
          <w:rFonts w:cs="Times New Roman"/>
          <w:b/>
        </w:rPr>
        <w:t xml:space="preserve"> kdy se plocha snížila o 70 % na 824 ha</w:t>
      </w:r>
      <w:r w:rsidRPr="00D95127">
        <w:rPr>
          <w:rFonts w:cs="Times New Roman"/>
          <w:bCs/>
        </w:rPr>
        <w:t xml:space="preserve">. Poté se osevní </w:t>
      </w:r>
      <w:r w:rsidRPr="00D95127">
        <w:rPr>
          <w:rFonts w:cs="Times New Roman"/>
          <w:b/>
        </w:rPr>
        <w:t>plocha každým rokem snižovala na současné 3 ha (2011-2020)</w:t>
      </w:r>
      <w:r w:rsidRPr="00D95127">
        <w:rPr>
          <w:rFonts w:cs="Times New Roman"/>
          <w:bCs/>
        </w:rPr>
        <w:t xml:space="preserve">. Průměrný výnos přadného lnu byl v období 2005-2009 3,5-3,8 t/ha. Přadný len se od té doby pěstuje za účelem udržování tuzemských odrůd, nikoliv za účelem textilního zpracování. Prvotní příčinou zániku českého lnářství není nezájem pěstitelů o tuto plodinu, ale byl a je to postupný úpadek českého textilního průmyslu (levné dovozy textilu). Obdobný vývoj byl zaznamenán i v okolních zemích. Obnova pěstování a zpracování přadného lnu je investičně náročné, a to naráží na nezájem pěstitelů. Nejvíce přadného lnu se vypěstuje ve Francii, Belgii a Nizozemsku. Ve Francii je podle oblastí uváděn výnos stonku v rozmezí 3,8 – 5,3 t/ha, v průměru 4,95 t/ha, v Belgii 4,5 t/ha a v Nizozemsku 4,00 t/ha. Průměr za všechny tři země činí 4,9 t/ha. V letech s normálním průběhem počasí se uvádí v těchto zemích v průměru 6 t/ha. I když je produkce přadného lnu v ČR na ústupu, lněné příze se např. dovážejí z Polska, kde se zpracovávají lněná vlákna z Francie. </w:t>
      </w:r>
    </w:p>
    <w:p w14:paraId="213BAA82" w14:textId="77777777" w:rsidR="00A16DDB" w:rsidRPr="00D95127" w:rsidRDefault="00A16DDB" w:rsidP="004A5095">
      <w:pPr>
        <w:pStyle w:val="UZEINormaln"/>
        <w:rPr>
          <w:rFonts w:cs="Times New Roman"/>
          <w:bCs/>
        </w:rPr>
      </w:pPr>
      <w:r w:rsidRPr="00D95127">
        <w:rPr>
          <w:b/>
        </w:rPr>
        <w:t xml:space="preserve">Plocha lnu olejného se v období 2011-2020 pohybovala </w:t>
      </w:r>
      <w:r w:rsidRPr="00D95127">
        <w:rPr>
          <w:rFonts w:cs="Times New Roman"/>
          <w:b/>
        </w:rPr>
        <w:t>v rozpětí 2,5 tis. ha do 1,3 tis. ha.</w:t>
      </w:r>
      <w:r w:rsidRPr="00D95127">
        <w:rPr>
          <w:rFonts w:cs="Times New Roman"/>
          <w:bCs/>
        </w:rPr>
        <w:t xml:space="preserve"> Výnosy semen u odrůd využívaných v ČR (v ČR je registrováno 8 odrůd lnu olejného) se pohybují od 1,1 t/ha do 2,6 t/ha. Průměrný výnos v období 2011-2020 byl 1,48 t/ha. Nejvyšší plochou lnu olejného disponuje Kazachstán, Ruská Federace a Kanada. Ze zemí EU je to Belgie, Polsko a Německo.</w:t>
      </w:r>
    </w:p>
    <w:p w14:paraId="09090191" w14:textId="77777777" w:rsidR="00A16DDB" w:rsidRPr="00D95127" w:rsidRDefault="00A16DDB" w:rsidP="004A5095">
      <w:pPr>
        <w:pStyle w:val="UZEINormaln"/>
        <w:rPr>
          <w:rFonts w:cs="Times New Roman"/>
          <w:bCs/>
        </w:rPr>
      </w:pPr>
      <w:r w:rsidRPr="00D95127">
        <w:t>Konopí seté je plodina s mnohostranným využitím. V ČR je konopí seté pěstováno především pro semeno a stonek, v poslední době se sbírá i květenství. Ze stonku poskytuje konopí vlákno a pazdeří, v okvětí a listech semeno a léčivé substance (kanabinoidy). V současnosti se celulózové konopné vlákno používá k výrobě papíru, tepelně a zvukově izolačních materiálů a biokompozitů. Pazdeří – dřevité vnitřní jádro stonku – se používá jako stelivo pro domácí zvířata, především koně a ve stavebnictví. Jak konopná semena, tak olej se používá v potravinářství a krmivářství. Ani šarže konopného oleje, které nesplňují přísné kvalitativní ukazatele požadované v potravinářství, nepřijdou nazmar. Vyrábí se z nich velmi kvalitní napouštěcí oleje a lazury pro ošetřování dřevěných konstrukcí. Nepsychotropní kanabinoid CBD z průmyslového konopí je účinná farmaceutická látka a potravinový doplněk. Konopí seté (Cannabis sativa) je dobrou předplodinou, protože hluboce koření, nechává hodně biologické hmoty v půdě a potlačuje plevele. Jeho mohutný růst způsobuje, že má značné požadavky na vodu i živiny. Avšak dobře snáší i přísušky, protože svým hlubokým kůlovým kořenem dokáže vytáhnout vodu z větší hloubky. Z ekologického hlediska je velkým přínosem odčerpávání těžkých kovů z půdy, které zůstávají ve stonku a nedostanou se do potravinového řetězce.</w:t>
      </w:r>
      <w:r w:rsidRPr="00D95127">
        <w:rPr>
          <w:rStyle w:val="Znakapoznpodarou"/>
          <w:bCs/>
        </w:rPr>
        <w:footnoteReference w:id="26"/>
      </w:r>
    </w:p>
    <w:p w14:paraId="398DBDF7" w14:textId="77777777" w:rsidR="00A16DDB" w:rsidRPr="00D95127" w:rsidRDefault="00A16DDB" w:rsidP="004A5095">
      <w:pPr>
        <w:pStyle w:val="UZEINormaln"/>
        <w:rPr>
          <w:rFonts w:cs="Times New Roman"/>
          <w:bCs/>
        </w:rPr>
      </w:pPr>
      <w:r w:rsidRPr="00D95127">
        <w:t>V období 2018-2020 se pěstovalo konopí v rozmezí od 786 do 413 ha. V ČR jsou registrovány v současnosti 2 odrůdy, využívají se také odrůdy uváděné ve Společném katalogu odrůd zemědělských plodin z Francie, Nizozemí, Maďarska, Polska aj. Průměrný výnos stonku v ČR v roce 2020 byl 9 t/ha, semene 0,7 t/ha. Nejvíce konopí setého se podle dostupných zdrojů vypěstuje ve Francii, kde se předpokládá nárůst osevních ploch na 25-30 tis. ha.</w:t>
      </w:r>
    </w:p>
    <w:p w14:paraId="0DBD7F9B" w14:textId="77777777" w:rsidR="00A16DDB" w:rsidRPr="00D95127" w:rsidRDefault="00A16DDB" w:rsidP="004A5095">
      <w:pPr>
        <w:pStyle w:val="UZEINormaln"/>
        <w:rPr>
          <w:rFonts w:cs="Times New Roman"/>
          <w:bCs/>
        </w:rPr>
      </w:pPr>
      <w:r w:rsidRPr="00D95127">
        <w:t>Z následující tabulky i grafu je patrné, že plocha lnu olejného v ČR se v období 2011</w:t>
      </w:r>
      <w:r w:rsidRPr="00D95127">
        <w:noBreakHyphen/>
        <w:t>2020 pohybovala v rozpětí 2,5 tis. ha do 1,3 tis. ha. Výnosy semen u odrůd využívaných v ČR (v ČR je registrováno 8 odrůd lnu olejného) se pohybují od 1,23 t/ha do 1,43 t/ha. Průměrný výnos lnu na semeno byl dle ČSÚ v období 2011-2020 1,36 t/ha. Nejvyšší plochou lnu olejného disponuje Kazachstán, Ruská Federace a Kanada. Ze zemí EU je to Belgie, Polsko a Německo. </w:t>
      </w:r>
    </w:p>
    <w:p w14:paraId="3D5687AD" w14:textId="1E351C22" w:rsidR="00A16DDB" w:rsidRPr="00483879" w:rsidRDefault="00A16DDB" w:rsidP="00483879">
      <w:pPr>
        <w:pStyle w:val="UZEITaB"/>
        <w:rPr>
          <w:rStyle w:val="eop"/>
          <w:rFonts w:eastAsiaTheme="majorEastAsia"/>
        </w:rPr>
      </w:pPr>
      <w:r w:rsidRPr="00483879">
        <w:rPr>
          <w:rStyle w:val="normaltextrun1"/>
        </w:rPr>
        <w:t xml:space="preserve"> </w:t>
      </w:r>
      <w:bookmarkStart w:id="714" w:name="_Toc81738497"/>
      <w:r w:rsidRPr="00483879">
        <w:rPr>
          <w:rStyle w:val="normaltextrun1"/>
        </w:rPr>
        <w:t>Vybrané ukazatele výroby lnu na semeno (2011–2020)</w:t>
      </w:r>
      <w:bookmarkEnd w:id="714"/>
    </w:p>
    <w:p w14:paraId="3B9FC998" w14:textId="77777777" w:rsidR="00A16DDB" w:rsidRPr="00D95127" w:rsidRDefault="00A16DDB" w:rsidP="00A16DDB">
      <w:pPr>
        <w:pStyle w:val="paragraph"/>
        <w:jc w:val="both"/>
        <w:textAlignment w:val="baseline"/>
      </w:pPr>
      <w:r w:rsidRPr="00D95127">
        <w:rPr>
          <w:noProof/>
        </w:rPr>
        <w:drawing>
          <wp:inline distT="0" distB="0" distL="0" distR="0" wp14:anchorId="3F2C342C" wp14:editId="1DDA5D05">
            <wp:extent cx="5758200" cy="1044054"/>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98206" cy="1051308"/>
                    </a:xfrm>
                    <a:prstGeom prst="rect">
                      <a:avLst/>
                    </a:prstGeom>
                    <a:noFill/>
                    <a:ln>
                      <a:noFill/>
                    </a:ln>
                  </pic:spPr>
                </pic:pic>
              </a:graphicData>
            </a:graphic>
          </wp:inline>
        </w:drawing>
      </w:r>
    </w:p>
    <w:p w14:paraId="7C05AC93" w14:textId="77777777" w:rsidR="00A16DDB" w:rsidRPr="00D95127" w:rsidRDefault="00A16DDB" w:rsidP="004A5095">
      <w:pPr>
        <w:pStyle w:val="UZEIZdroj"/>
      </w:pPr>
      <w:r w:rsidRPr="00D95127">
        <w:rPr>
          <w:rStyle w:val="normaltextrun1"/>
          <w:color w:val="000000" w:themeColor="text1"/>
          <w:sz w:val="18"/>
          <w:szCs w:val="18"/>
        </w:rPr>
        <w:t>Pramen: ČSÚ</w:t>
      </w:r>
    </w:p>
    <w:p w14:paraId="00BA73E0" w14:textId="435320EC" w:rsidR="00A16DDB" w:rsidRPr="004A5095" w:rsidRDefault="00A16DDB" w:rsidP="004A5095">
      <w:pPr>
        <w:pStyle w:val="UZEIGraf"/>
      </w:pPr>
      <w:bookmarkStart w:id="715" w:name="_Toc81738799"/>
      <w:r w:rsidRPr="004A5095">
        <w:rPr>
          <w:rStyle w:val="normaltextrun1"/>
        </w:rPr>
        <w:t>Vývoj produkční plochy a hektarového výnosu lnu na semeno (2011 - 2020)</w:t>
      </w:r>
      <w:bookmarkEnd w:id="715"/>
      <w:r w:rsidRPr="004A5095">
        <w:rPr>
          <w:rStyle w:val="eop"/>
          <w:rFonts w:eastAsiaTheme="majorEastAsia"/>
        </w:rPr>
        <w:t> </w:t>
      </w:r>
    </w:p>
    <w:p w14:paraId="0BFBFE38" w14:textId="77777777" w:rsidR="00A16DDB" w:rsidRPr="00D95127" w:rsidRDefault="00A16DDB" w:rsidP="00A16DDB">
      <w:pPr>
        <w:rPr>
          <w:rFonts w:cs="Times New Roman"/>
          <w:bCs/>
          <w:szCs w:val="24"/>
          <w:lang w:val="cs-CZ"/>
        </w:rPr>
      </w:pPr>
      <w:r w:rsidRPr="00D95127">
        <w:rPr>
          <w:rFonts w:cs="Times New Roman"/>
          <w:noProof/>
          <w:lang w:val="cs-CZ"/>
        </w:rPr>
        <w:drawing>
          <wp:inline distT="0" distB="0" distL="0" distR="0" wp14:anchorId="5D2F44E8" wp14:editId="79736C0B">
            <wp:extent cx="4678680" cy="2545080"/>
            <wp:effectExtent l="0" t="0" r="7620" b="7620"/>
            <wp:docPr id="66" name="Graf 66">
              <a:extLst xmlns:a="http://schemas.openxmlformats.org/drawingml/2006/main">
                <a:ext uri="{FF2B5EF4-FFF2-40B4-BE49-F238E27FC236}">
                  <a16:creationId xmlns:a16="http://schemas.microsoft.com/office/drawing/2014/main" id="{8F104F83-D28B-48A4-A98A-2CAF6EAF22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65811EEB" w14:textId="77777777" w:rsidR="00467D08" w:rsidRDefault="00A16DDB" w:rsidP="00467D08">
      <w:pPr>
        <w:pStyle w:val="UZEIZdroj"/>
        <w:rPr>
          <w:rStyle w:val="normaltextrun1"/>
          <w:color w:val="000000" w:themeColor="text1"/>
          <w:sz w:val="18"/>
          <w:szCs w:val="18"/>
        </w:rPr>
      </w:pPr>
      <w:r w:rsidRPr="00D95127">
        <w:rPr>
          <w:rStyle w:val="normaltextrun1"/>
          <w:color w:val="000000" w:themeColor="text1"/>
          <w:sz w:val="18"/>
          <w:szCs w:val="18"/>
        </w:rPr>
        <w:t>Pramen: ČSÚ</w:t>
      </w:r>
    </w:p>
    <w:p w14:paraId="2181FE25" w14:textId="311B787F" w:rsidR="00A16DDB" w:rsidRPr="004A5095" w:rsidRDefault="00467D08" w:rsidP="004A5095">
      <w:pPr>
        <w:pStyle w:val="UZEIGraf"/>
      </w:pPr>
      <w:bookmarkStart w:id="716" w:name="_Toc81738800"/>
      <w:r>
        <w:rPr>
          <w:rStyle w:val="normaltextrun1"/>
        </w:rPr>
        <w:t>V</w:t>
      </w:r>
      <w:r w:rsidR="00A16DDB" w:rsidRPr="004A5095">
        <w:rPr>
          <w:rStyle w:val="normaltextrun1"/>
        </w:rPr>
        <w:t>ývoj produkční plochy a hektarového výnosu konopí setého (2011 - 2020)</w:t>
      </w:r>
      <w:bookmarkEnd w:id="716"/>
      <w:r w:rsidR="00A16DDB" w:rsidRPr="004A5095">
        <w:rPr>
          <w:rStyle w:val="eop"/>
          <w:rFonts w:eastAsiaTheme="majorEastAsia"/>
        </w:rPr>
        <w:t> </w:t>
      </w:r>
    </w:p>
    <w:p w14:paraId="12FF82AC" w14:textId="77777777" w:rsidR="00A16DDB" w:rsidRPr="00D95127" w:rsidRDefault="00A16DDB" w:rsidP="00A16DDB">
      <w:pPr>
        <w:rPr>
          <w:rFonts w:cs="Times New Roman"/>
          <w:noProof/>
          <w:lang w:val="cs-CZ"/>
        </w:rPr>
      </w:pPr>
      <w:r w:rsidRPr="00D95127">
        <w:rPr>
          <w:rFonts w:cs="Times New Roman"/>
          <w:noProof/>
          <w:lang w:val="cs-CZ"/>
        </w:rPr>
        <w:drawing>
          <wp:inline distT="0" distB="0" distL="0" distR="0" wp14:anchorId="5C04D42F" wp14:editId="404D0862">
            <wp:extent cx="4684395" cy="2556510"/>
            <wp:effectExtent l="0" t="0" r="1905" b="15240"/>
            <wp:docPr id="88" name="Graf 88">
              <a:extLst xmlns:a="http://schemas.openxmlformats.org/drawingml/2006/main">
                <a:ext uri="{FF2B5EF4-FFF2-40B4-BE49-F238E27FC236}">
                  <a16:creationId xmlns:a16="http://schemas.microsoft.com/office/drawing/2014/main" id="{4A28BC63-C333-4437-9060-09B34080B7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6F44C0EC" w14:textId="77777777" w:rsidR="00A16DDB" w:rsidRPr="00D95127" w:rsidRDefault="00A16DDB" w:rsidP="004A5095">
      <w:pPr>
        <w:pStyle w:val="UZEIZdroj"/>
      </w:pPr>
      <w:r w:rsidRPr="00D95127">
        <w:rPr>
          <w:rStyle w:val="normaltextrun1"/>
          <w:color w:val="000000" w:themeColor="text1"/>
          <w:sz w:val="18"/>
          <w:szCs w:val="18"/>
        </w:rPr>
        <w:t>Pramen: ČSÚ</w:t>
      </w:r>
    </w:p>
    <w:p w14:paraId="03C20630" w14:textId="77777777" w:rsidR="00A16DDB" w:rsidRPr="00D95127" w:rsidRDefault="00A16DDB" w:rsidP="004A5095">
      <w:pPr>
        <w:pStyle w:val="UZEINormaln"/>
        <w:rPr>
          <w:rFonts w:cs="Times New Roman"/>
        </w:rPr>
      </w:pPr>
      <w:r w:rsidRPr="00D95127">
        <w:t xml:space="preserve">Přitom obě plodiny, jak len olejný tak konopí seté, patří mezi příznivé plodiny vůči životnímu prostředí vzhledem k minimální </w:t>
      </w:r>
      <w:r w:rsidRPr="00D95127">
        <w:rPr>
          <w:rFonts w:cs="Times New Roman"/>
        </w:rPr>
        <w:t>potřebě aplikace prostředků ochrany rostlin. Len olejný má nenáročné založení porostu vzhledem k tomu, že je doběrnou plodinou ve 3. trati v osevním postupu (tj. nenáročná na výživu rostlin).</w:t>
      </w:r>
    </w:p>
    <w:p w14:paraId="4574025B" w14:textId="77777777" w:rsidR="00A16DDB" w:rsidRPr="00D95127" w:rsidRDefault="00A16DDB" w:rsidP="004A5095">
      <w:pPr>
        <w:pStyle w:val="UZEINormaln"/>
        <w:rPr>
          <w:rFonts w:cs="Times New Roman"/>
          <w:bCs/>
        </w:rPr>
      </w:pPr>
      <w:r w:rsidRPr="00D95127">
        <w:t xml:space="preserve"> Obě plodiny je možné považovat za přerušovače monokulturního pěstování polních plodin a umožňují zachovávat potřebnou diverzitu plodin pěstovaných na orné půdě.</w:t>
      </w:r>
    </w:p>
    <w:p w14:paraId="0BBABEC4" w14:textId="77777777" w:rsidR="00A16DDB" w:rsidRPr="00D95127" w:rsidRDefault="00A16DDB" w:rsidP="004A5095">
      <w:pPr>
        <w:pStyle w:val="Nadpis1"/>
      </w:pPr>
      <w:bookmarkStart w:id="717" w:name="_Toc76137424"/>
      <w:bookmarkStart w:id="718" w:name="_Toc76637623"/>
      <w:bookmarkStart w:id="719" w:name="_Toc80953302"/>
      <w:bookmarkStart w:id="720" w:name="_Toc81739255"/>
      <w:r w:rsidRPr="00D95127">
        <w:t>Jaký je mechanismus a příčiny tohoto problému?</w:t>
      </w:r>
      <w:bookmarkEnd w:id="717"/>
      <w:bookmarkEnd w:id="718"/>
      <w:bookmarkEnd w:id="719"/>
      <w:bookmarkEnd w:id="720"/>
    </w:p>
    <w:p w14:paraId="16352D5D" w14:textId="77777777" w:rsidR="00A16DDB" w:rsidRPr="00D95127" w:rsidRDefault="00A16DDB" w:rsidP="004A5095">
      <w:pPr>
        <w:pStyle w:val="UZEINormaln"/>
        <w:rPr>
          <w:rFonts w:cs="Times New Roman"/>
        </w:rPr>
      </w:pPr>
      <w:r w:rsidRPr="00D95127">
        <w:t xml:space="preserve">Příčiny problémů v odvětví </w:t>
      </w:r>
      <w:r w:rsidRPr="00D95127">
        <w:rPr>
          <w:rFonts w:cs="Times New Roman"/>
          <w:b/>
        </w:rPr>
        <w:t>len a konopí</w:t>
      </w:r>
      <w:r w:rsidRPr="00D95127">
        <w:rPr>
          <w:rFonts w:cs="Times New Roman"/>
        </w:rPr>
        <w:t xml:space="preserve"> jsou:</w:t>
      </w:r>
    </w:p>
    <w:p w14:paraId="1119F931" w14:textId="77777777" w:rsidR="00A16DDB" w:rsidRPr="00D95127" w:rsidRDefault="00A16DDB" w:rsidP="004A5095">
      <w:pPr>
        <w:pStyle w:val="UZEIOdrky"/>
        <w:rPr>
          <w:b/>
        </w:rPr>
      </w:pPr>
      <w:r w:rsidRPr="00D95127">
        <w:rPr>
          <w:b/>
        </w:rPr>
        <w:t>nízká úroveň výnosů a jejich vyšší variabilita ve srovnání s konkurenty</w:t>
      </w:r>
    </w:p>
    <w:p w14:paraId="2C798D51" w14:textId="77777777" w:rsidR="00A16DDB" w:rsidRPr="00D95127" w:rsidRDefault="00A16DDB" w:rsidP="004A5095">
      <w:pPr>
        <w:pStyle w:val="UZEIOdrky"/>
        <w:rPr>
          <w:b/>
        </w:rPr>
      </w:pPr>
      <w:r w:rsidRPr="00D95127">
        <w:rPr>
          <w:b/>
        </w:rPr>
        <w:t>minimální osevní plochy</w:t>
      </w:r>
    </w:p>
    <w:p w14:paraId="4E2F1EF6" w14:textId="77777777" w:rsidR="00A16DDB" w:rsidRPr="00D95127" w:rsidRDefault="00A16DDB" w:rsidP="004A5095">
      <w:pPr>
        <w:pStyle w:val="UZEIOdrky"/>
        <w:rPr>
          <w:b/>
        </w:rPr>
      </w:pPr>
      <w:r w:rsidRPr="00D95127">
        <w:rPr>
          <w:b/>
        </w:rPr>
        <w:t>minimální zpracovatelské kapacity na zpracování lnu a konopí</w:t>
      </w:r>
    </w:p>
    <w:p w14:paraId="00C3A899" w14:textId="77777777" w:rsidR="00A16DDB" w:rsidRPr="00D95127" w:rsidRDefault="00A16DDB" w:rsidP="004A5095">
      <w:pPr>
        <w:pStyle w:val="UZEIOdrky"/>
        <w:rPr>
          <w:b/>
        </w:rPr>
      </w:pPr>
      <w:r w:rsidRPr="00D95127">
        <w:rPr>
          <w:b/>
        </w:rPr>
        <w:t>vysoké investiční výdaje v případě rozšíření pěstování a zpracování lnu a konopí v ČR</w:t>
      </w:r>
    </w:p>
    <w:p w14:paraId="6D27B844" w14:textId="77777777" w:rsidR="00A16DDB" w:rsidRPr="00D95127" w:rsidRDefault="00A16DDB" w:rsidP="004A5095">
      <w:pPr>
        <w:pStyle w:val="UZEIOdrky"/>
        <w:rPr>
          <w:b/>
        </w:rPr>
      </w:pPr>
      <w:r w:rsidRPr="00D95127">
        <w:rPr>
          <w:b/>
        </w:rPr>
        <w:t>pokles poptávky po tuzemském dlouhém vlákně v důsledku výrazné restrukturalizace tuzemského i evropského průmyslu</w:t>
      </w:r>
    </w:p>
    <w:p w14:paraId="27D4FBDF" w14:textId="77777777" w:rsidR="00A16DDB" w:rsidRPr="00D95127" w:rsidRDefault="00A16DDB" w:rsidP="004A5095">
      <w:pPr>
        <w:pStyle w:val="UZEIOdrky"/>
        <w:rPr>
          <w:b/>
        </w:rPr>
      </w:pPr>
      <w:r w:rsidRPr="00D95127">
        <w:rPr>
          <w:b/>
        </w:rPr>
        <w:t>konkurence dumpingových cen textilních výrobků z Asie</w:t>
      </w:r>
    </w:p>
    <w:p w14:paraId="30CF6012" w14:textId="77777777" w:rsidR="00A16DDB" w:rsidRPr="00D95127" w:rsidRDefault="00A16DDB" w:rsidP="004A5095">
      <w:pPr>
        <w:pStyle w:val="UZEIOdrky"/>
        <w:rPr>
          <w:b/>
        </w:rPr>
      </w:pPr>
      <w:r w:rsidRPr="00D95127">
        <w:rPr>
          <w:b/>
        </w:rPr>
        <w:t>nízká podpora pěstování lnu v ČR</w:t>
      </w:r>
    </w:p>
    <w:p w14:paraId="1EA56603" w14:textId="77777777" w:rsidR="00A16DDB" w:rsidRPr="00D95127" w:rsidRDefault="00A16DDB" w:rsidP="004A5095">
      <w:pPr>
        <w:pStyle w:val="UZEIOdrky"/>
        <w:rPr>
          <w:b/>
        </w:rPr>
      </w:pPr>
      <w:r w:rsidRPr="00D95127">
        <w:rPr>
          <w:b/>
        </w:rPr>
        <w:t>tržní cena lněného vlákna nepokrývá ani oprávněné výrobní náklady, takže bez systému dotací ze strany státu nelze dosáhnout rentability pěstování lnu</w:t>
      </w:r>
    </w:p>
    <w:p w14:paraId="2AB81954" w14:textId="77777777" w:rsidR="00A16DDB" w:rsidRPr="00D95127" w:rsidRDefault="00A16DDB" w:rsidP="00E928F7">
      <w:pPr>
        <w:pStyle w:val="UZEINormaln"/>
        <w:rPr>
          <w:rFonts w:cs="Times New Roman"/>
        </w:rPr>
      </w:pPr>
      <w:r w:rsidRPr="00D95127">
        <w:t xml:space="preserve">Ceny zemědělských výrobců sleduje ČSÚ pouze u lnu na technické zpracování. V období 2011-2020 bylo dosaženo průměrné ceny 15 856 Kč/t, s minimem v roce 2011 (12 611 Kč/t) a maximem v roce 2015 (17 961 Kč/t). Ceny konopí setého se v tomto období neuvádějí, známý je pouze rok 2016, kdy byla CZV ve výši 17 434 Kč/t. </w:t>
      </w:r>
    </w:p>
    <w:p w14:paraId="55354E86" w14:textId="6D1A265F" w:rsidR="00A16DDB" w:rsidRPr="00D95127" w:rsidRDefault="00467D08" w:rsidP="00E928F7">
      <w:pPr>
        <w:pStyle w:val="UZEITaB"/>
      </w:pPr>
      <w:bookmarkStart w:id="721" w:name="_Toc81738498"/>
      <w:r>
        <w:t>E</w:t>
      </w:r>
      <w:r w:rsidR="00A16DDB" w:rsidRPr="00E928F7">
        <w:t>konomika pěstování lnu (2011 – 2020</w:t>
      </w:r>
      <w:r w:rsidR="00A16DDB" w:rsidRPr="00D95127">
        <w:rPr>
          <w:rStyle w:val="normaltextrun1"/>
          <w:i/>
          <w:iCs/>
          <w:color w:val="498205"/>
          <w:u w:val="single"/>
        </w:rPr>
        <w:t>)</w:t>
      </w:r>
      <w:bookmarkEnd w:id="721"/>
    </w:p>
    <w:p w14:paraId="79124FE8" w14:textId="77777777" w:rsidR="00A16DDB" w:rsidRPr="00D95127" w:rsidRDefault="00A16DDB" w:rsidP="00A16DDB">
      <w:pPr>
        <w:spacing w:after="60"/>
        <w:rPr>
          <w:rFonts w:cs="Times New Roman"/>
          <w:szCs w:val="24"/>
          <w:u w:val="single"/>
          <w:lang w:val="cs-CZ"/>
        </w:rPr>
      </w:pPr>
      <w:r w:rsidRPr="00D95127">
        <w:rPr>
          <w:rFonts w:cs="Times New Roman"/>
          <w:noProof/>
          <w:lang w:val="cs-CZ"/>
        </w:rPr>
        <w:drawing>
          <wp:inline distT="0" distB="0" distL="0" distR="0" wp14:anchorId="6647745C" wp14:editId="5E47E8AD">
            <wp:extent cx="4486275" cy="1628775"/>
            <wp:effectExtent l="0" t="0" r="0" b="9525"/>
            <wp:docPr id="90" name="Obrázek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486275" cy="1628775"/>
                    </a:xfrm>
                    <a:prstGeom prst="rect">
                      <a:avLst/>
                    </a:prstGeom>
                    <a:noFill/>
                    <a:ln>
                      <a:noFill/>
                    </a:ln>
                  </pic:spPr>
                </pic:pic>
              </a:graphicData>
            </a:graphic>
          </wp:inline>
        </w:drawing>
      </w:r>
    </w:p>
    <w:p w14:paraId="4E906055" w14:textId="77777777" w:rsidR="00A16DDB" w:rsidRPr="00D95127" w:rsidRDefault="00A16DDB" w:rsidP="00E928F7">
      <w:pPr>
        <w:pStyle w:val="UZEIZdroj"/>
        <w:rPr>
          <w:i w:val="0"/>
          <w:sz w:val="16"/>
          <w:szCs w:val="16"/>
        </w:rPr>
      </w:pPr>
      <w:r w:rsidRPr="00D95127">
        <w:t xml:space="preserve">Zdroj: ČSÚ, </w:t>
      </w:r>
      <w:r w:rsidRPr="00D95127">
        <w:rPr>
          <w:sz w:val="16"/>
          <w:szCs w:val="16"/>
        </w:rPr>
        <w:t>Agronormativy, ÚZEI Praha</w:t>
      </w:r>
    </w:p>
    <w:p w14:paraId="13CC69D5" w14:textId="77777777" w:rsidR="00A16DDB" w:rsidRPr="00D95127" w:rsidRDefault="00A16DDB" w:rsidP="00E928F7">
      <w:pPr>
        <w:pStyle w:val="UZEIZdroj"/>
        <w:rPr>
          <w:i w:val="0"/>
          <w:sz w:val="16"/>
          <w:szCs w:val="16"/>
        </w:rPr>
      </w:pPr>
      <w:r w:rsidRPr="00D95127">
        <w:t xml:space="preserve">Poznámka: 1) ČSÚ – Definitvní údaje o sklizni v letech 2011-2020 </w:t>
      </w:r>
    </w:p>
    <w:p w14:paraId="2404D8C3" w14:textId="77777777" w:rsidR="00A16DDB" w:rsidRPr="00D95127" w:rsidRDefault="00A16DDB" w:rsidP="00E928F7">
      <w:pPr>
        <w:pStyle w:val="UZEIZdroj"/>
        <w:rPr>
          <w:i w:val="0"/>
          <w:sz w:val="16"/>
          <w:szCs w:val="16"/>
        </w:rPr>
      </w:pPr>
      <w:r w:rsidRPr="00D95127">
        <w:t xml:space="preserve">                  2) ČSÚ – Průměrné ceny zemědělských výrobků v letech 2011-2020</w:t>
      </w:r>
    </w:p>
    <w:p w14:paraId="68FC7625" w14:textId="77777777" w:rsidR="00A16DDB" w:rsidRPr="00D95127" w:rsidRDefault="00A16DDB" w:rsidP="00E928F7">
      <w:pPr>
        <w:pStyle w:val="UZEIZdroj"/>
        <w:rPr>
          <w:i w:val="0"/>
          <w:sz w:val="16"/>
          <w:szCs w:val="16"/>
        </w:rPr>
      </w:pPr>
      <w:r w:rsidRPr="00D95127">
        <w:t xml:space="preserve">                  3) Agronormativy zemědělskýc</w:t>
      </w:r>
      <w:r w:rsidRPr="00D95127">
        <w:rPr>
          <w:sz w:val="16"/>
          <w:szCs w:val="16"/>
        </w:rPr>
        <w:t xml:space="preserve"> komodit, ČZU Praha</w:t>
      </w:r>
    </w:p>
    <w:p w14:paraId="384D6A52" w14:textId="77777777" w:rsidR="00A16DDB" w:rsidRPr="00D95127" w:rsidRDefault="00A16DDB" w:rsidP="00E928F7">
      <w:pPr>
        <w:pStyle w:val="UZEIZdroj"/>
        <w:rPr>
          <w:sz w:val="16"/>
          <w:szCs w:val="16"/>
        </w:rPr>
      </w:pPr>
      <w:r w:rsidRPr="00D95127">
        <w:t xml:space="preserve">                Jednotkové podpory - vlastní výpočty dle sazeb vyhlášených MZe</w:t>
      </w:r>
    </w:p>
    <w:p w14:paraId="1D300971" w14:textId="77777777" w:rsidR="00A16DDB" w:rsidRPr="00D95127" w:rsidRDefault="00A16DDB" w:rsidP="00E928F7">
      <w:pPr>
        <w:pStyle w:val="UZEINormaln"/>
        <w:rPr>
          <w:rFonts w:cs="Times New Roman"/>
        </w:rPr>
      </w:pPr>
      <w:r w:rsidRPr="00D95127">
        <w:t xml:space="preserve">U ekonomiky lnu, byl z dlouhodobého hlediska patrný nárůst podpor v Kč/t. Realizační ceny lnu ve sledovaném období 2011-2020 více kolísaly, s tendencí pozvolného růstu v posledních třech letech. V období 2011-2020 bylo dosaženo průměrné ceny 15 375 Kč/t, s minimem v roce 2011 (12 611 Kč/t) a maximem v roce 2015 (17 961 Kč/t). ČSÚ sleduje ceny zemědělských výrobců pouze u lnu na technické zpracování. Údaji o nákladech vynaloženými na pěstování lnu ÚZEI již několik let nedisponuje (v šetřeném souboru není ani jeden respondent, který by se zabýval pěstováním lnu). Vlastní náklady hlavního výrobku celkem vychází z Agronormativů, které vydává ČZÚ Praha. Za období 2011-2020 dosáhla nákladová rentabilita lnu v průměru záporné rentability -5,4 %, což naznačuje, že jednotkové náklady mírně převyšují či se téměř rovnají realizační ceně. Naopak souhrnná rentabilita zůstává z dlouhodobého hlediska kladná. </w:t>
      </w:r>
    </w:p>
    <w:p w14:paraId="56E705A6" w14:textId="77777777" w:rsidR="00A16DDB" w:rsidRPr="00D95127" w:rsidRDefault="00A16DDB" w:rsidP="00E928F7">
      <w:pPr>
        <w:pStyle w:val="UZEINormaln"/>
        <w:rPr>
          <w:rFonts w:cs="Times New Roman"/>
          <w:bCs/>
        </w:rPr>
      </w:pPr>
      <w:r w:rsidRPr="00D95127">
        <w:t>Konopí seté je plodina s mnohostranným využitím. V ČR je konopí seté pěstováno především pro semeno a stonek, v poslední době se sbírá i květenství. Ze stonku poskytuje konopí vlákno a pazdeří, v okvětí a listech semeno a léčivé substance (kanabinoidy). V současnosti se celulózové konopné vlákno používá k výrobě papíru, tepelně a zvukově izolačních materiálů a biokompozitů. Pazdeří – dřevité vnitřní jádro stonku – se používá jako stelivo pro domácí zvířata, především koně a ve stavebnictví. Jak konopná semena, tak olej se používá v potravinářství a krmivářství. Ani šarže konopného oleje, které nesplňují přísné kvalitativní ukazatele požadované v potravinářství, nepřijdou nazmar. Vyrábí se z nich velmi kvalitní napouštěcí oleje a lazury pro ošetřování dřevěných konstrukcí. Nepsychotropní kanabinoid CBD z průmyslového konopí je účinná farmaceutická látka a potravinový doplněk. Konopí seté (Cannabis sativa) je dobrou předplodinou, protože hluboce koření, nechává hodně biologické hmoty v půdě a potlačuje plevele. Jeho mohutný růst způsobuje, že má značné požadavky na vodu i živiny. Avšak dobře snáší i přísušky, protože svým hlubokým kůlovým kořenem dokáže vytáhnout vodu z větší hloubky. Z ekologického hlediska je velkým přínosem odčerpávání těžkých kovů z půdy, které zůstávají ve stonku a nedostanou se do potravinového řetězce. </w:t>
      </w:r>
    </w:p>
    <w:p w14:paraId="77D083B9" w14:textId="77777777" w:rsidR="00A16DDB" w:rsidRPr="00D95127" w:rsidRDefault="00A16DDB" w:rsidP="00E928F7">
      <w:pPr>
        <w:pStyle w:val="UZEINormaln"/>
        <w:rPr>
          <w:rFonts w:cs="Times New Roman"/>
          <w:bCs/>
        </w:rPr>
      </w:pPr>
      <w:r w:rsidRPr="00D95127">
        <w:t>V období 2018-2020 se pěstovalo konopí v rozmezí od 786 do 413 ha. V ČR jsou registrovány v současnosti 2 odrůdy, využívají se také odrůdy uváděné ve Společném katalogu odrůd zemědělských plodin z Francie, Nizozemí, Maďarska, Polska aj.). Průměrný výnos stonku v ČR v roce 2020 byl 9 t/ha, semene 0,7 t/ha. Nejvíce konopí setého se podle dostupných zdrojů vypěstuje ve Francii, kde se předpokládá nárůst osevních ploch na 25-30 tis. ha. </w:t>
      </w:r>
    </w:p>
    <w:p w14:paraId="155A48EB" w14:textId="56CD0EDA" w:rsidR="00A16DDB" w:rsidRPr="00D95127" w:rsidRDefault="00A16DDB" w:rsidP="00A37B3C">
      <w:pPr>
        <w:pStyle w:val="UZEITaB"/>
      </w:pPr>
      <w:r>
        <w:rPr>
          <w:rStyle w:val="UZEITaBChar"/>
          <w:b/>
        </w:rPr>
        <w:t xml:space="preserve"> </w:t>
      </w:r>
      <w:bookmarkStart w:id="722" w:name="_Toc81738499"/>
      <w:r w:rsidRPr="00A37B3C">
        <w:rPr>
          <w:rStyle w:val="UZEITaBChar"/>
          <w:b/>
        </w:rPr>
        <w:t>Ekonomika pěstování konopí (2011 – 2020</w:t>
      </w:r>
      <w:r w:rsidRPr="00A37B3C">
        <w:rPr>
          <w:rStyle w:val="normaltextrun1"/>
        </w:rPr>
        <w:t>)</w:t>
      </w:r>
      <w:bookmarkEnd w:id="722"/>
      <w:r w:rsidRPr="00A37B3C">
        <w:rPr>
          <w:rStyle w:val="eop"/>
          <w:rFonts w:eastAsiaTheme="majorEastAsia"/>
        </w:rPr>
        <w:t> </w:t>
      </w:r>
    </w:p>
    <w:p w14:paraId="43AC2AD3" w14:textId="77777777" w:rsidR="00A16DDB" w:rsidRPr="00D95127" w:rsidRDefault="00A16DDB" w:rsidP="00A16DDB">
      <w:pPr>
        <w:spacing w:after="60"/>
        <w:rPr>
          <w:rFonts w:cs="Times New Roman"/>
          <w:szCs w:val="24"/>
          <w:lang w:val="cs-CZ"/>
        </w:rPr>
      </w:pPr>
      <w:r w:rsidRPr="00D95127">
        <w:rPr>
          <w:rFonts w:cs="Times New Roman"/>
          <w:noProof/>
          <w:lang w:val="cs-CZ"/>
        </w:rPr>
        <w:drawing>
          <wp:inline distT="0" distB="0" distL="0" distR="0" wp14:anchorId="07B62D56" wp14:editId="72F5F2B6">
            <wp:extent cx="4486275" cy="1609725"/>
            <wp:effectExtent l="0" t="0" r="0" b="9525"/>
            <wp:docPr id="91" name="Obrázek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486275" cy="1609725"/>
                    </a:xfrm>
                    <a:prstGeom prst="rect">
                      <a:avLst/>
                    </a:prstGeom>
                    <a:noFill/>
                    <a:ln>
                      <a:noFill/>
                    </a:ln>
                  </pic:spPr>
                </pic:pic>
              </a:graphicData>
            </a:graphic>
          </wp:inline>
        </w:drawing>
      </w:r>
    </w:p>
    <w:p w14:paraId="3EF3B71F" w14:textId="77777777" w:rsidR="00A16DDB" w:rsidRPr="00D95127" w:rsidRDefault="00A16DDB" w:rsidP="00E928F7">
      <w:pPr>
        <w:pStyle w:val="UZEIZdroj"/>
        <w:rPr>
          <w:i w:val="0"/>
          <w:sz w:val="16"/>
          <w:szCs w:val="16"/>
        </w:rPr>
      </w:pPr>
      <w:r w:rsidRPr="00D95127">
        <w:t>Zdroj: ČSÚ, Agronormativy, ÚZEI Praha</w:t>
      </w:r>
    </w:p>
    <w:p w14:paraId="26C4EB44" w14:textId="77777777" w:rsidR="00A16DDB" w:rsidRPr="00D95127" w:rsidRDefault="00A16DDB" w:rsidP="00E928F7">
      <w:pPr>
        <w:pStyle w:val="UZEIZdroj"/>
        <w:rPr>
          <w:i w:val="0"/>
          <w:sz w:val="16"/>
          <w:szCs w:val="16"/>
        </w:rPr>
      </w:pPr>
      <w:r w:rsidRPr="00D95127">
        <w:t xml:space="preserve">Poznámka: 1), 3) Agronormativy zemědělských komodit, ČZU Praha </w:t>
      </w:r>
    </w:p>
    <w:p w14:paraId="6B8262B9" w14:textId="77777777" w:rsidR="00A16DDB" w:rsidRPr="00D95127" w:rsidRDefault="00A16DDB" w:rsidP="00E928F7">
      <w:pPr>
        <w:pStyle w:val="UZEIZdroj"/>
        <w:rPr>
          <w:i w:val="0"/>
          <w:sz w:val="16"/>
          <w:szCs w:val="16"/>
        </w:rPr>
      </w:pPr>
      <w:r w:rsidRPr="00D95127">
        <w:t xml:space="preserve">                   2) SLK  – Průměrné ceny zemědělských výrobků v letech 2011-2020</w:t>
      </w:r>
    </w:p>
    <w:p w14:paraId="041236F1" w14:textId="77777777" w:rsidR="00A16DDB" w:rsidRPr="00D95127" w:rsidRDefault="00A16DDB" w:rsidP="00E928F7">
      <w:pPr>
        <w:pStyle w:val="UZEIZdroj"/>
        <w:rPr>
          <w:sz w:val="16"/>
          <w:szCs w:val="16"/>
        </w:rPr>
      </w:pPr>
      <w:r w:rsidRPr="00D95127">
        <w:t xml:space="preserve">                  Jednotkové podpory – vlastní výpočty dle sazeb vyhlášených MZe</w:t>
      </w:r>
    </w:p>
    <w:p w14:paraId="27A140BC" w14:textId="77777777" w:rsidR="00A16DDB" w:rsidRPr="00D95127" w:rsidRDefault="00A16DDB" w:rsidP="00E928F7">
      <w:pPr>
        <w:pStyle w:val="UZEINormaln"/>
        <w:rPr>
          <w:bCs/>
        </w:rPr>
      </w:pPr>
      <w:r w:rsidRPr="00D95127">
        <w:rPr>
          <w:bCs/>
        </w:rPr>
        <w:t>Průměrné realizační ceny konopí setého nejsou ve sledovaném období 2011-2020 známy, ČSÚ tyto informace neuvádí a ÚZEI těmito informacemi také nedisponuje. Rovněž údaji o nákladech vynaloženými na pěstování lnu ÚZEI již několik let nedisponuje (v šetřeném souboru se nenachází žádný respondent, který by pěstoval konopí seté). Pro výpočet rentability byly využity údaje poskytnuté Svazem lnu a konopí a Agronormativů, ČZÚ Praha. Kdy průměrné náklady dle dat agronormativů činily 2 329 Kč/t stonku a průměrná realizační cena se v období 2011-2020 pohybovala na 2 200 Kč/t stonku. Dle těchto údajů vychází průměrná nákladová rentabilita -5,56 %.  Stejně jako u jiných lnu i konopí lze z dlouhodobého hlediska pozorovat určitý růst podpor v Kč/t, které se výrazně pozitivně promítnou do výsledku souhrnné rentability. Souhrnná rentabilita se přehoupne do kladných hodnot.</w:t>
      </w:r>
    </w:p>
    <w:p w14:paraId="703D417D" w14:textId="77777777" w:rsidR="00A16DDB" w:rsidRPr="00D95127" w:rsidDel="00EB4D09" w:rsidRDefault="00A16DDB" w:rsidP="00E928F7">
      <w:pPr>
        <w:pStyle w:val="UZEINormaln"/>
        <w:rPr>
          <w:rFonts w:cs="Times New Roman"/>
        </w:rPr>
      </w:pPr>
      <w:r w:rsidRPr="00D95127" w:rsidDel="00EB4D09">
        <w:rPr>
          <w:rFonts w:cs="Times New Roman"/>
        </w:rPr>
        <w:t>Většina lnu i konopí jsem nuceni dovážet. Během deseti let 2011-2020 se dovezlo 38,3 tis. t lnu a lněných surovin a vyvezlo se 693,8 t. Konopných surovin (konopí pravé a koudel) bylo dovezeno 5,5 tis. t a vyvezeno 52,3 t.</w:t>
      </w:r>
    </w:p>
    <w:p w14:paraId="4B8BB9DA" w14:textId="77777777" w:rsidR="00467D08" w:rsidRDefault="00467D08">
      <w:pPr>
        <w:spacing w:after="160" w:line="259" w:lineRule="auto"/>
        <w:jc w:val="left"/>
        <w:rPr>
          <w:rFonts w:eastAsiaTheme="majorEastAsia" w:cs="Times New Roman"/>
          <w:b/>
          <w:bCs/>
          <w:sz w:val="28"/>
          <w:szCs w:val="32"/>
          <w:lang w:val="cs-CZ"/>
        </w:rPr>
      </w:pPr>
      <w:bookmarkStart w:id="723" w:name="_Toc76137425"/>
      <w:bookmarkStart w:id="724" w:name="_Toc76637624"/>
      <w:bookmarkStart w:id="725" w:name="_Toc80953303"/>
      <w:r>
        <w:br w:type="page"/>
      </w:r>
    </w:p>
    <w:p w14:paraId="79064667" w14:textId="1F3EE960" w:rsidR="00A16DDB" w:rsidRPr="00D95127" w:rsidRDefault="00A16DDB" w:rsidP="00E928F7">
      <w:pPr>
        <w:pStyle w:val="Nadpis1"/>
      </w:pPr>
      <w:bookmarkStart w:id="726" w:name="_Toc81739256"/>
      <w:r w:rsidRPr="00D95127">
        <w:t>Jak závažný je tento problém?</w:t>
      </w:r>
      <w:bookmarkEnd w:id="723"/>
      <w:bookmarkEnd w:id="724"/>
      <w:bookmarkEnd w:id="725"/>
      <w:bookmarkEnd w:id="726"/>
    </w:p>
    <w:p w14:paraId="00C7D023" w14:textId="77777777" w:rsidR="00A16DDB" w:rsidRPr="00D95127" w:rsidRDefault="00A16DDB" w:rsidP="00E928F7">
      <w:pPr>
        <w:pStyle w:val="UZEINormaln"/>
      </w:pPr>
      <w:r w:rsidRPr="00D95127">
        <w:t>Snížení ploch lnu přadného přispělo částečně k „bi-komoditní“ výrobní struktuře zemědělských podniků charakterizované převahou obilovin a řepky s environmentálními důsledky.</w:t>
      </w:r>
    </w:p>
    <w:p w14:paraId="0C8885CA" w14:textId="77777777" w:rsidR="00A16DDB" w:rsidRPr="00D95127" w:rsidRDefault="00A16DDB" w:rsidP="00E928F7">
      <w:pPr>
        <w:pStyle w:val="UZEINormaln"/>
      </w:pPr>
      <w:r w:rsidRPr="00D95127">
        <w:t>Záporná bilance s lněnými semeny a výrobků z konopí setého vyžadují další nároky na logistiku a přepravu s prokázanými negativními externalitami (problematika tzv. „food and fiber miles“). Ty by v případě prohloubení obchodního deficitu s těmito komoditami dále narostly.</w:t>
      </w:r>
    </w:p>
    <w:p w14:paraId="6C815D44" w14:textId="77777777" w:rsidR="00A16DDB" w:rsidRPr="00D95127" w:rsidRDefault="00A16DDB" w:rsidP="00E928F7">
      <w:pPr>
        <w:pStyle w:val="UZEINormaln"/>
        <w:rPr>
          <w:bCs/>
        </w:rPr>
      </w:pPr>
      <w:r w:rsidRPr="00D95127">
        <w:rPr>
          <w:bCs/>
        </w:rPr>
        <w:t xml:space="preserve">Lněných semen k setí se v období 2014-2020 dovezlo 1,02 tis. t, vývoz činil 2,8 tis. t. Lněná semena (kromě k setí) se dovezlo 57,5 tis. t, exportovali jsme 45,7 tis. t. Kategorie lnu ostatního jsme ve sledovaném období dovezli 25,9 tis. t, vývoz byl minimální, vyvezlo se pouze 264,1 t. Celkově se dovezlo 58,5 tis. t lnu a vyvezlo se 48,76 tis. t. </w:t>
      </w:r>
    </w:p>
    <w:p w14:paraId="39E3D89A" w14:textId="77777777" w:rsidR="00A16DDB" w:rsidRPr="00D95127" w:rsidRDefault="00A16DDB" w:rsidP="00E928F7">
      <w:pPr>
        <w:pStyle w:val="UZEINormaln"/>
      </w:pPr>
      <w:r w:rsidRPr="00D95127">
        <w:rPr>
          <w:bCs/>
        </w:rPr>
        <w:t>Dovoz konopí (Pravé konopí, surové nebo máčené a Pravé konopí) v období 2014-2020 vysoce převyšoval export. Dovezlo se 39,1 tis.</w:t>
      </w:r>
      <w:r w:rsidRPr="00D95127">
        <w:t>t konopí. Vývoz byl minimální, a to 39,4 t.</w:t>
      </w:r>
    </w:p>
    <w:p w14:paraId="1FF1ABF9" w14:textId="77777777" w:rsidR="00E928F7" w:rsidRDefault="00E928F7">
      <w:pPr>
        <w:spacing w:after="160" w:line="259" w:lineRule="auto"/>
        <w:jc w:val="left"/>
        <w:rPr>
          <w:rFonts w:eastAsia="Times New Roman" w:cs="Times New Roman"/>
          <w:i/>
          <w:color w:val="44546A"/>
          <w:szCs w:val="24"/>
          <w:lang w:val="cs-CZ" w:eastAsia="cs-CZ"/>
        </w:rPr>
      </w:pPr>
      <w:r>
        <w:rPr>
          <w:i/>
          <w:color w:val="44546A"/>
        </w:rPr>
        <w:br w:type="page"/>
      </w:r>
    </w:p>
    <w:p w14:paraId="1C2D7F70" w14:textId="5D763C30" w:rsidR="00A16DDB" w:rsidRPr="00D95127" w:rsidRDefault="00A16DDB" w:rsidP="00E928F7">
      <w:pPr>
        <w:pStyle w:val="UZEITaB"/>
      </w:pPr>
      <w:r>
        <w:t xml:space="preserve"> </w:t>
      </w:r>
      <w:bookmarkStart w:id="727" w:name="_Toc81738500"/>
      <w:r w:rsidRPr="00D95127">
        <w:t>Zahraniční obchod - lněná semena, k setí</w:t>
      </w:r>
      <w:bookmarkEnd w:id="727"/>
    </w:p>
    <w:tbl>
      <w:tblPr>
        <w:tblW w:w="9600" w:type="dxa"/>
        <w:tblCellMar>
          <w:left w:w="70" w:type="dxa"/>
          <w:right w:w="70" w:type="dxa"/>
        </w:tblCellMar>
        <w:tblLook w:val="04A0" w:firstRow="1" w:lastRow="0" w:firstColumn="1" w:lastColumn="0" w:noHBand="0" w:noVBand="1"/>
      </w:tblPr>
      <w:tblGrid>
        <w:gridCol w:w="960"/>
        <w:gridCol w:w="960"/>
        <w:gridCol w:w="960"/>
        <w:gridCol w:w="960"/>
        <w:gridCol w:w="960"/>
        <w:gridCol w:w="960"/>
        <w:gridCol w:w="960"/>
        <w:gridCol w:w="960"/>
        <w:gridCol w:w="960"/>
        <w:gridCol w:w="960"/>
      </w:tblGrid>
      <w:tr w:rsidR="00A16DDB" w:rsidRPr="00D95127" w14:paraId="33A9A55A" w14:textId="77777777" w:rsidTr="007A627A">
        <w:trPr>
          <w:trHeight w:val="270"/>
        </w:trPr>
        <w:tc>
          <w:tcPr>
            <w:tcW w:w="960" w:type="dxa"/>
            <w:vMerge w:val="restart"/>
            <w:tcBorders>
              <w:top w:val="single" w:sz="12" w:space="0" w:color="00B050"/>
              <w:left w:val="single" w:sz="12" w:space="0" w:color="00B050"/>
              <w:bottom w:val="nil"/>
              <w:right w:val="single" w:sz="12" w:space="0" w:color="00B050"/>
            </w:tcBorders>
            <w:shd w:val="clear" w:color="000000" w:fill="00B050"/>
            <w:vAlign w:val="center"/>
            <w:hideMark/>
          </w:tcPr>
          <w:p w14:paraId="187EB9D7"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Rok</w:t>
            </w:r>
          </w:p>
        </w:tc>
        <w:tc>
          <w:tcPr>
            <w:tcW w:w="2880" w:type="dxa"/>
            <w:gridSpan w:val="3"/>
            <w:tcBorders>
              <w:top w:val="single" w:sz="12" w:space="0" w:color="00B050"/>
              <w:left w:val="nil"/>
              <w:bottom w:val="nil"/>
              <w:right w:val="single" w:sz="12" w:space="0" w:color="00B050"/>
            </w:tcBorders>
            <w:shd w:val="clear" w:color="000000" w:fill="00B050"/>
            <w:vAlign w:val="center"/>
            <w:hideMark/>
          </w:tcPr>
          <w:p w14:paraId="50AC31E4"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Vývoz</w:t>
            </w:r>
          </w:p>
        </w:tc>
        <w:tc>
          <w:tcPr>
            <w:tcW w:w="2880" w:type="dxa"/>
            <w:gridSpan w:val="3"/>
            <w:tcBorders>
              <w:top w:val="single" w:sz="12" w:space="0" w:color="00B050"/>
              <w:left w:val="nil"/>
              <w:bottom w:val="nil"/>
              <w:right w:val="nil"/>
            </w:tcBorders>
            <w:shd w:val="clear" w:color="000000" w:fill="00B050"/>
            <w:vAlign w:val="center"/>
            <w:hideMark/>
          </w:tcPr>
          <w:p w14:paraId="7902C7EC"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Dovoz</w:t>
            </w:r>
          </w:p>
        </w:tc>
        <w:tc>
          <w:tcPr>
            <w:tcW w:w="2880" w:type="dxa"/>
            <w:gridSpan w:val="3"/>
            <w:tcBorders>
              <w:top w:val="single" w:sz="12" w:space="0" w:color="00B050"/>
              <w:left w:val="nil"/>
              <w:bottom w:val="nil"/>
              <w:right w:val="single" w:sz="12" w:space="0" w:color="00B050"/>
            </w:tcBorders>
            <w:shd w:val="clear" w:color="000000" w:fill="00B050"/>
            <w:vAlign w:val="center"/>
            <w:hideMark/>
          </w:tcPr>
          <w:p w14:paraId="7ABCAF9A"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Saldo</w:t>
            </w:r>
          </w:p>
        </w:tc>
      </w:tr>
      <w:tr w:rsidR="00A16DDB" w:rsidRPr="00D95127" w14:paraId="11CE0A8D" w14:textId="77777777" w:rsidTr="007A627A">
        <w:trPr>
          <w:trHeight w:val="270"/>
        </w:trPr>
        <w:tc>
          <w:tcPr>
            <w:tcW w:w="960" w:type="dxa"/>
            <w:vMerge/>
            <w:tcBorders>
              <w:top w:val="single" w:sz="12" w:space="0" w:color="00B050"/>
              <w:left w:val="single" w:sz="12" w:space="0" w:color="00B050"/>
              <w:bottom w:val="nil"/>
              <w:right w:val="single" w:sz="12" w:space="0" w:color="00B050"/>
            </w:tcBorders>
            <w:vAlign w:val="center"/>
            <w:hideMark/>
          </w:tcPr>
          <w:p w14:paraId="0E3931A9" w14:textId="77777777" w:rsidR="00A16DDB" w:rsidRPr="00A37B3C" w:rsidRDefault="00A16DDB" w:rsidP="007A627A">
            <w:pPr>
              <w:rPr>
                <w:rFonts w:eastAsia="Times New Roman" w:cs="Times New Roman"/>
                <w:b/>
                <w:color w:val="FFFFFF"/>
                <w:sz w:val="22"/>
                <w:lang w:val="cs-CZ" w:eastAsia="cs-CZ"/>
              </w:rPr>
            </w:pPr>
          </w:p>
        </w:tc>
        <w:tc>
          <w:tcPr>
            <w:tcW w:w="960" w:type="dxa"/>
            <w:tcBorders>
              <w:top w:val="nil"/>
              <w:left w:val="nil"/>
              <w:bottom w:val="nil"/>
              <w:right w:val="nil"/>
            </w:tcBorders>
            <w:shd w:val="clear" w:color="000000" w:fill="00B050"/>
            <w:vAlign w:val="center"/>
            <w:hideMark/>
          </w:tcPr>
          <w:p w14:paraId="4332CA34"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tun</w:t>
            </w:r>
          </w:p>
        </w:tc>
        <w:tc>
          <w:tcPr>
            <w:tcW w:w="960" w:type="dxa"/>
            <w:tcBorders>
              <w:top w:val="nil"/>
              <w:left w:val="nil"/>
              <w:bottom w:val="nil"/>
              <w:right w:val="nil"/>
            </w:tcBorders>
            <w:shd w:val="clear" w:color="000000" w:fill="00B050"/>
            <w:vAlign w:val="center"/>
            <w:hideMark/>
          </w:tcPr>
          <w:p w14:paraId="0E84145F"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mil. Kč</w:t>
            </w:r>
          </w:p>
        </w:tc>
        <w:tc>
          <w:tcPr>
            <w:tcW w:w="960" w:type="dxa"/>
            <w:tcBorders>
              <w:top w:val="nil"/>
              <w:left w:val="nil"/>
              <w:bottom w:val="nil"/>
              <w:right w:val="single" w:sz="12" w:space="0" w:color="00B050"/>
            </w:tcBorders>
            <w:shd w:val="clear" w:color="000000" w:fill="00B050"/>
            <w:vAlign w:val="center"/>
            <w:hideMark/>
          </w:tcPr>
          <w:p w14:paraId="7C0E2E11"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Kč/kg</w:t>
            </w:r>
          </w:p>
        </w:tc>
        <w:tc>
          <w:tcPr>
            <w:tcW w:w="960" w:type="dxa"/>
            <w:tcBorders>
              <w:top w:val="nil"/>
              <w:left w:val="nil"/>
              <w:bottom w:val="nil"/>
              <w:right w:val="nil"/>
            </w:tcBorders>
            <w:shd w:val="clear" w:color="000000" w:fill="00B050"/>
            <w:vAlign w:val="center"/>
            <w:hideMark/>
          </w:tcPr>
          <w:p w14:paraId="470A2CCC"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tun</w:t>
            </w:r>
          </w:p>
        </w:tc>
        <w:tc>
          <w:tcPr>
            <w:tcW w:w="960" w:type="dxa"/>
            <w:tcBorders>
              <w:top w:val="nil"/>
              <w:left w:val="nil"/>
              <w:bottom w:val="nil"/>
              <w:right w:val="nil"/>
            </w:tcBorders>
            <w:shd w:val="clear" w:color="000000" w:fill="00B050"/>
            <w:vAlign w:val="center"/>
            <w:hideMark/>
          </w:tcPr>
          <w:p w14:paraId="6C657A3A"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mil. Kč</w:t>
            </w:r>
          </w:p>
        </w:tc>
        <w:tc>
          <w:tcPr>
            <w:tcW w:w="960" w:type="dxa"/>
            <w:tcBorders>
              <w:top w:val="nil"/>
              <w:left w:val="nil"/>
              <w:bottom w:val="nil"/>
              <w:right w:val="nil"/>
            </w:tcBorders>
            <w:shd w:val="clear" w:color="000000" w:fill="00B050"/>
            <w:vAlign w:val="center"/>
            <w:hideMark/>
          </w:tcPr>
          <w:p w14:paraId="0C0F0766"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Kč/kg</w:t>
            </w:r>
          </w:p>
        </w:tc>
        <w:tc>
          <w:tcPr>
            <w:tcW w:w="960" w:type="dxa"/>
            <w:tcBorders>
              <w:top w:val="nil"/>
              <w:left w:val="nil"/>
              <w:bottom w:val="nil"/>
              <w:right w:val="nil"/>
            </w:tcBorders>
            <w:shd w:val="clear" w:color="000000" w:fill="00B050"/>
            <w:vAlign w:val="center"/>
            <w:hideMark/>
          </w:tcPr>
          <w:p w14:paraId="379B7F24"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tun</w:t>
            </w:r>
          </w:p>
        </w:tc>
        <w:tc>
          <w:tcPr>
            <w:tcW w:w="960" w:type="dxa"/>
            <w:tcBorders>
              <w:top w:val="nil"/>
              <w:left w:val="nil"/>
              <w:bottom w:val="nil"/>
              <w:right w:val="nil"/>
            </w:tcBorders>
            <w:shd w:val="clear" w:color="000000" w:fill="00B050"/>
            <w:vAlign w:val="center"/>
            <w:hideMark/>
          </w:tcPr>
          <w:p w14:paraId="63694C90"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mil. Kč</w:t>
            </w:r>
          </w:p>
        </w:tc>
        <w:tc>
          <w:tcPr>
            <w:tcW w:w="960" w:type="dxa"/>
            <w:tcBorders>
              <w:top w:val="nil"/>
              <w:left w:val="nil"/>
              <w:bottom w:val="nil"/>
              <w:right w:val="single" w:sz="12" w:space="0" w:color="00B050"/>
            </w:tcBorders>
            <w:shd w:val="clear" w:color="000000" w:fill="00B050"/>
            <w:vAlign w:val="center"/>
            <w:hideMark/>
          </w:tcPr>
          <w:p w14:paraId="59AB0AE6"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Kč/kg</w:t>
            </w:r>
          </w:p>
        </w:tc>
      </w:tr>
      <w:tr w:rsidR="00A16DDB" w:rsidRPr="00D95127" w14:paraId="0DC39723" w14:textId="77777777" w:rsidTr="007A627A">
        <w:trPr>
          <w:trHeight w:val="270"/>
        </w:trPr>
        <w:tc>
          <w:tcPr>
            <w:tcW w:w="960" w:type="dxa"/>
            <w:tcBorders>
              <w:top w:val="single" w:sz="12" w:space="0" w:color="00B050"/>
              <w:left w:val="single" w:sz="12" w:space="0" w:color="00B050"/>
              <w:bottom w:val="single" w:sz="4" w:space="0" w:color="000000"/>
              <w:right w:val="single" w:sz="12" w:space="0" w:color="00B050"/>
            </w:tcBorders>
            <w:shd w:val="clear" w:color="auto" w:fill="auto"/>
            <w:vAlign w:val="center"/>
            <w:hideMark/>
          </w:tcPr>
          <w:p w14:paraId="28777367"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2014</w:t>
            </w:r>
          </w:p>
        </w:tc>
        <w:tc>
          <w:tcPr>
            <w:tcW w:w="960" w:type="dxa"/>
            <w:tcBorders>
              <w:top w:val="single" w:sz="12" w:space="0" w:color="00B050"/>
              <w:left w:val="nil"/>
              <w:bottom w:val="single" w:sz="4" w:space="0" w:color="auto"/>
              <w:right w:val="nil"/>
            </w:tcBorders>
            <w:shd w:val="clear" w:color="auto" w:fill="auto"/>
            <w:vAlign w:val="center"/>
            <w:hideMark/>
          </w:tcPr>
          <w:p w14:paraId="09930865"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70</w:t>
            </w:r>
          </w:p>
        </w:tc>
        <w:tc>
          <w:tcPr>
            <w:tcW w:w="960" w:type="dxa"/>
            <w:tcBorders>
              <w:top w:val="single" w:sz="12" w:space="0" w:color="00B050"/>
              <w:left w:val="single" w:sz="4" w:space="0" w:color="00B050"/>
              <w:bottom w:val="single" w:sz="4" w:space="0" w:color="auto"/>
              <w:right w:val="single" w:sz="4" w:space="0" w:color="00B050"/>
            </w:tcBorders>
            <w:shd w:val="clear" w:color="auto" w:fill="auto"/>
            <w:vAlign w:val="center"/>
            <w:hideMark/>
          </w:tcPr>
          <w:p w14:paraId="68B5B33A"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1 899</w:t>
            </w:r>
          </w:p>
        </w:tc>
        <w:tc>
          <w:tcPr>
            <w:tcW w:w="960" w:type="dxa"/>
            <w:tcBorders>
              <w:top w:val="single" w:sz="12" w:space="0" w:color="00B050"/>
              <w:left w:val="nil"/>
              <w:bottom w:val="single" w:sz="4" w:space="0" w:color="auto"/>
              <w:right w:val="single" w:sz="12" w:space="0" w:color="00B050"/>
            </w:tcBorders>
            <w:shd w:val="clear" w:color="auto" w:fill="auto"/>
            <w:vAlign w:val="center"/>
            <w:hideMark/>
          </w:tcPr>
          <w:p w14:paraId="1DA99C2D"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27,24</w:t>
            </w:r>
          </w:p>
        </w:tc>
        <w:tc>
          <w:tcPr>
            <w:tcW w:w="960" w:type="dxa"/>
            <w:tcBorders>
              <w:top w:val="single" w:sz="12" w:space="0" w:color="00B050"/>
              <w:left w:val="nil"/>
              <w:bottom w:val="single" w:sz="4" w:space="0" w:color="auto"/>
              <w:right w:val="nil"/>
            </w:tcBorders>
            <w:shd w:val="clear" w:color="auto" w:fill="auto"/>
            <w:vAlign w:val="center"/>
            <w:hideMark/>
          </w:tcPr>
          <w:p w14:paraId="0ED9379A"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87</w:t>
            </w:r>
          </w:p>
        </w:tc>
        <w:tc>
          <w:tcPr>
            <w:tcW w:w="960" w:type="dxa"/>
            <w:tcBorders>
              <w:top w:val="single" w:sz="12" w:space="0" w:color="00B050"/>
              <w:left w:val="single" w:sz="4" w:space="0" w:color="00B050"/>
              <w:bottom w:val="single" w:sz="4" w:space="0" w:color="auto"/>
              <w:right w:val="single" w:sz="4" w:space="0" w:color="00B050"/>
            </w:tcBorders>
            <w:shd w:val="clear" w:color="auto" w:fill="auto"/>
            <w:vAlign w:val="center"/>
            <w:hideMark/>
          </w:tcPr>
          <w:p w14:paraId="3E36CCD6"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1 194</w:t>
            </w:r>
          </w:p>
        </w:tc>
        <w:tc>
          <w:tcPr>
            <w:tcW w:w="960" w:type="dxa"/>
            <w:tcBorders>
              <w:top w:val="single" w:sz="12" w:space="0" w:color="00B050"/>
              <w:left w:val="nil"/>
              <w:bottom w:val="single" w:sz="4" w:space="0" w:color="auto"/>
              <w:right w:val="single" w:sz="12" w:space="0" w:color="00B050"/>
            </w:tcBorders>
            <w:shd w:val="clear" w:color="auto" w:fill="auto"/>
            <w:vAlign w:val="center"/>
            <w:hideMark/>
          </w:tcPr>
          <w:p w14:paraId="575D08EE"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13,71</w:t>
            </w:r>
          </w:p>
        </w:tc>
        <w:tc>
          <w:tcPr>
            <w:tcW w:w="960" w:type="dxa"/>
            <w:tcBorders>
              <w:top w:val="single" w:sz="12" w:space="0" w:color="00B050"/>
              <w:left w:val="nil"/>
              <w:bottom w:val="single" w:sz="4" w:space="0" w:color="auto"/>
              <w:right w:val="nil"/>
            </w:tcBorders>
            <w:shd w:val="clear" w:color="auto" w:fill="auto"/>
            <w:vAlign w:val="center"/>
            <w:hideMark/>
          </w:tcPr>
          <w:p w14:paraId="272C6E7A"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-17</w:t>
            </w:r>
          </w:p>
        </w:tc>
        <w:tc>
          <w:tcPr>
            <w:tcW w:w="960" w:type="dxa"/>
            <w:tcBorders>
              <w:top w:val="single" w:sz="12" w:space="0" w:color="00B050"/>
              <w:left w:val="single" w:sz="4" w:space="0" w:color="00B050"/>
              <w:bottom w:val="single" w:sz="4" w:space="0" w:color="auto"/>
              <w:right w:val="single" w:sz="4" w:space="0" w:color="00B050"/>
            </w:tcBorders>
            <w:shd w:val="clear" w:color="auto" w:fill="auto"/>
            <w:vAlign w:val="center"/>
            <w:hideMark/>
          </w:tcPr>
          <w:p w14:paraId="6E96F3E4"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705</w:t>
            </w:r>
          </w:p>
        </w:tc>
        <w:tc>
          <w:tcPr>
            <w:tcW w:w="960" w:type="dxa"/>
            <w:tcBorders>
              <w:top w:val="single" w:sz="12" w:space="0" w:color="00B050"/>
              <w:left w:val="nil"/>
              <w:bottom w:val="single" w:sz="4" w:space="0" w:color="auto"/>
              <w:right w:val="single" w:sz="12" w:space="0" w:color="00B050"/>
            </w:tcBorders>
            <w:shd w:val="clear" w:color="auto" w:fill="auto"/>
            <w:vAlign w:val="center"/>
            <w:hideMark/>
          </w:tcPr>
          <w:p w14:paraId="30176D29"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13,53</w:t>
            </w:r>
          </w:p>
        </w:tc>
      </w:tr>
      <w:tr w:rsidR="00A16DDB" w:rsidRPr="00D95127" w14:paraId="3798D4E0" w14:textId="77777777" w:rsidTr="007A627A">
        <w:trPr>
          <w:trHeight w:val="255"/>
        </w:trPr>
        <w:tc>
          <w:tcPr>
            <w:tcW w:w="960" w:type="dxa"/>
            <w:tcBorders>
              <w:top w:val="nil"/>
              <w:left w:val="single" w:sz="12" w:space="0" w:color="00B050"/>
              <w:bottom w:val="single" w:sz="4" w:space="0" w:color="000000"/>
              <w:right w:val="single" w:sz="12" w:space="0" w:color="00B050"/>
            </w:tcBorders>
            <w:shd w:val="clear" w:color="auto" w:fill="auto"/>
            <w:vAlign w:val="center"/>
            <w:hideMark/>
          </w:tcPr>
          <w:p w14:paraId="2389DA01"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2015</w:t>
            </w:r>
          </w:p>
        </w:tc>
        <w:tc>
          <w:tcPr>
            <w:tcW w:w="960" w:type="dxa"/>
            <w:tcBorders>
              <w:top w:val="nil"/>
              <w:left w:val="nil"/>
              <w:bottom w:val="single" w:sz="4" w:space="0" w:color="auto"/>
              <w:right w:val="nil"/>
            </w:tcBorders>
            <w:shd w:val="clear" w:color="auto" w:fill="auto"/>
            <w:vAlign w:val="center"/>
            <w:hideMark/>
          </w:tcPr>
          <w:p w14:paraId="7A7D2C5B"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124</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2F1B90A7"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4 070</w:t>
            </w:r>
          </w:p>
        </w:tc>
        <w:tc>
          <w:tcPr>
            <w:tcW w:w="960" w:type="dxa"/>
            <w:tcBorders>
              <w:top w:val="nil"/>
              <w:left w:val="nil"/>
              <w:bottom w:val="single" w:sz="4" w:space="0" w:color="auto"/>
              <w:right w:val="single" w:sz="12" w:space="0" w:color="00B050"/>
            </w:tcBorders>
            <w:shd w:val="clear" w:color="auto" w:fill="auto"/>
            <w:vAlign w:val="center"/>
            <w:hideMark/>
          </w:tcPr>
          <w:p w14:paraId="4F89183B"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32,79</w:t>
            </w:r>
          </w:p>
        </w:tc>
        <w:tc>
          <w:tcPr>
            <w:tcW w:w="960" w:type="dxa"/>
            <w:tcBorders>
              <w:top w:val="nil"/>
              <w:left w:val="nil"/>
              <w:bottom w:val="single" w:sz="4" w:space="0" w:color="auto"/>
              <w:right w:val="nil"/>
            </w:tcBorders>
            <w:shd w:val="clear" w:color="auto" w:fill="auto"/>
            <w:vAlign w:val="center"/>
            <w:hideMark/>
          </w:tcPr>
          <w:p w14:paraId="597366CC"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136</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3B3B985F"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1 965</w:t>
            </w:r>
          </w:p>
        </w:tc>
        <w:tc>
          <w:tcPr>
            <w:tcW w:w="960" w:type="dxa"/>
            <w:tcBorders>
              <w:top w:val="nil"/>
              <w:left w:val="nil"/>
              <w:bottom w:val="single" w:sz="4" w:space="0" w:color="auto"/>
              <w:right w:val="single" w:sz="12" w:space="0" w:color="00B050"/>
            </w:tcBorders>
            <w:shd w:val="clear" w:color="auto" w:fill="auto"/>
            <w:vAlign w:val="center"/>
            <w:hideMark/>
          </w:tcPr>
          <w:p w14:paraId="78513C71"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14,49</w:t>
            </w:r>
          </w:p>
        </w:tc>
        <w:tc>
          <w:tcPr>
            <w:tcW w:w="960" w:type="dxa"/>
            <w:tcBorders>
              <w:top w:val="nil"/>
              <w:left w:val="nil"/>
              <w:bottom w:val="single" w:sz="4" w:space="0" w:color="auto"/>
              <w:right w:val="nil"/>
            </w:tcBorders>
            <w:shd w:val="clear" w:color="auto" w:fill="auto"/>
            <w:vAlign w:val="center"/>
            <w:hideMark/>
          </w:tcPr>
          <w:p w14:paraId="5F88A346"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-11</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17ECA7BF"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2 105</w:t>
            </w:r>
          </w:p>
        </w:tc>
        <w:tc>
          <w:tcPr>
            <w:tcW w:w="960" w:type="dxa"/>
            <w:tcBorders>
              <w:top w:val="nil"/>
              <w:left w:val="nil"/>
              <w:bottom w:val="single" w:sz="4" w:space="0" w:color="auto"/>
              <w:right w:val="single" w:sz="12" w:space="0" w:color="00B050"/>
            </w:tcBorders>
            <w:shd w:val="clear" w:color="auto" w:fill="auto"/>
            <w:vAlign w:val="center"/>
            <w:hideMark/>
          </w:tcPr>
          <w:p w14:paraId="6CEC12C4"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18,30</w:t>
            </w:r>
          </w:p>
        </w:tc>
      </w:tr>
      <w:tr w:rsidR="00A16DDB" w:rsidRPr="00D95127" w14:paraId="4FAE9775" w14:textId="77777777" w:rsidTr="007A627A">
        <w:trPr>
          <w:trHeight w:val="255"/>
        </w:trPr>
        <w:tc>
          <w:tcPr>
            <w:tcW w:w="960" w:type="dxa"/>
            <w:tcBorders>
              <w:top w:val="nil"/>
              <w:left w:val="single" w:sz="12" w:space="0" w:color="00B050"/>
              <w:bottom w:val="single" w:sz="4" w:space="0" w:color="000000"/>
              <w:right w:val="single" w:sz="12" w:space="0" w:color="00B050"/>
            </w:tcBorders>
            <w:shd w:val="clear" w:color="auto" w:fill="auto"/>
            <w:vAlign w:val="center"/>
            <w:hideMark/>
          </w:tcPr>
          <w:p w14:paraId="7D2B6FF6"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2016</w:t>
            </w:r>
          </w:p>
        </w:tc>
        <w:tc>
          <w:tcPr>
            <w:tcW w:w="960" w:type="dxa"/>
            <w:tcBorders>
              <w:top w:val="nil"/>
              <w:left w:val="nil"/>
              <w:bottom w:val="single" w:sz="4" w:space="0" w:color="auto"/>
              <w:right w:val="nil"/>
            </w:tcBorders>
            <w:shd w:val="clear" w:color="auto" w:fill="auto"/>
            <w:vAlign w:val="center"/>
            <w:hideMark/>
          </w:tcPr>
          <w:p w14:paraId="0673215D"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97</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09D39CF8"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3 150</w:t>
            </w:r>
          </w:p>
        </w:tc>
        <w:tc>
          <w:tcPr>
            <w:tcW w:w="960" w:type="dxa"/>
            <w:tcBorders>
              <w:top w:val="nil"/>
              <w:left w:val="nil"/>
              <w:bottom w:val="single" w:sz="4" w:space="0" w:color="auto"/>
              <w:right w:val="single" w:sz="12" w:space="0" w:color="00B050"/>
            </w:tcBorders>
            <w:shd w:val="clear" w:color="auto" w:fill="auto"/>
            <w:vAlign w:val="center"/>
            <w:hideMark/>
          </w:tcPr>
          <w:p w14:paraId="163981B4"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32,46</w:t>
            </w:r>
          </w:p>
        </w:tc>
        <w:tc>
          <w:tcPr>
            <w:tcW w:w="960" w:type="dxa"/>
            <w:tcBorders>
              <w:top w:val="nil"/>
              <w:left w:val="nil"/>
              <w:bottom w:val="single" w:sz="4" w:space="0" w:color="auto"/>
              <w:right w:val="nil"/>
            </w:tcBorders>
            <w:shd w:val="clear" w:color="auto" w:fill="auto"/>
            <w:vAlign w:val="center"/>
            <w:hideMark/>
          </w:tcPr>
          <w:p w14:paraId="3731A54A"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89</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069EEBFE"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1 629</w:t>
            </w:r>
          </w:p>
        </w:tc>
        <w:tc>
          <w:tcPr>
            <w:tcW w:w="960" w:type="dxa"/>
            <w:tcBorders>
              <w:top w:val="nil"/>
              <w:left w:val="nil"/>
              <w:bottom w:val="single" w:sz="4" w:space="0" w:color="auto"/>
              <w:right w:val="single" w:sz="12" w:space="0" w:color="00B050"/>
            </w:tcBorders>
            <w:shd w:val="clear" w:color="auto" w:fill="auto"/>
            <w:vAlign w:val="center"/>
            <w:hideMark/>
          </w:tcPr>
          <w:p w14:paraId="19D0162A"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18,36</w:t>
            </w:r>
          </w:p>
        </w:tc>
        <w:tc>
          <w:tcPr>
            <w:tcW w:w="960" w:type="dxa"/>
            <w:tcBorders>
              <w:top w:val="nil"/>
              <w:left w:val="nil"/>
              <w:bottom w:val="single" w:sz="4" w:space="0" w:color="auto"/>
              <w:right w:val="nil"/>
            </w:tcBorders>
            <w:shd w:val="clear" w:color="auto" w:fill="auto"/>
            <w:vAlign w:val="center"/>
            <w:hideMark/>
          </w:tcPr>
          <w:p w14:paraId="5EEF0726"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8</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12F217FF"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1 520</w:t>
            </w:r>
          </w:p>
        </w:tc>
        <w:tc>
          <w:tcPr>
            <w:tcW w:w="960" w:type="dxa"/>
            <w:tcBorders>
              <w:top w:val="nil"/>
              <w:left w:val="nil"/>
              <w:bottom w:val="single" w:sz="4" w:space="0" w:color="auto"/>
              <w:right w:val="single" w:sz="12" w:space="0" w:color="00B050"/>
            </w:tcBorders>
            <w:shd w:val="clear" w:color="auto" w:fill="auto"/>
            <w:vAlign w:val="center"/>
            <w:hideMark/>
          </w:tcPr>
          <w:p w14:paraId="6C8F4748"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14,10</w:t>
            </w:r>
          </w:p>
        </w:tc>
      </w:tr>
      <w:tr w:rsidR="00A16DDB" w:rsidRPr="00D95127" w14:paraId="0B0D57A6" w14:textId="77777777" w:rsidTr="007A627A">
        <w:trPr>
          <w:trHeight w:val="255"/>
        </w:trPr>
        <w:tc>
          <w:tcPr>
            <w:tcW w:w="960" w:type="dxa"/>
            <w:tcBorders>
              <w:top w:val="nil"/>
              <w:left w:val="single" w:sz="12" w:space="0" w:color="00B050"/>
              <w:bottom w:val="single" w:sz="4" w:space="0" w:color="000000"/>
              <w:right w:val="single" w:sz="12" w:space="0" w:color="00B050"/>
            </w:tcBorders>
            <w:shd w:val="clear" w:color="auto" w:fill="auto"/>
            <w:vAlign w:val="center"/>
            <w:hideMark/>
          </w:tcPr>
          <w:p w14:paraId="77F5388B"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2017</w:t>
            </w:r>
          </w:p>
        </w:tc>
        <w:tc>
          <w:tcPr>
            <w:tcW w:w="960" w:type="dxa"/>
            <w:tcBorders>
              <w:top w:val="nil"/>
              <w:left w:val="nil"/>
              <w:bottom w:val="single" w:sz="4" w:space="0" w:color="auto"/>
              <w:right w:val="nil"/>
            </w:tcBorders>
            <w:shd w:val="clear" w:color="auto" w:fill="auto"/>
            <w:vAlign w:val="center"/>
            <w:hideMark/>
          </w:tcPr>
          <w:p w14:paraId="158732EC"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255</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7EB9361D"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8 111</w:t>
            </w:r>
          </w:p>
        </w:tc>
        <w:tc>
          <w:tcPr>
            <w:tcW w:w="960" w:type="dxa"/>
            <w:tcBorders>
              <w:top w:val="nil"/>
              <w:left w:val="nil"/>
              <w:bottom w:val="single" w:sz="4" w:space="0" w:color="auto"/>
              <w:right w:val="single" w:sz="12" w:space="0" w:color="00B050"/>
            </w:tcBorders>
            <w:shd w:val="clear" w:color="auto" w:fill="auto"/>
            <w:vAlign w:val="center"/>
            <w:hideMark/>
          </w:tcPr>
          <w:p w14:paraId="225DE116"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31,76</w:t>
            </w:r>
          </w:p>
        </w:tc>
        <w:tc>
          <w:tcPr>
            <w:tcW w:w="960" w:type="dxa"/>
            <w:tcBorders>
              <w:top w:val="nil"/>
              <w:left w:val="nil"/>
              <w:bottom w:val="single" w:sz="4" w:space="0" w:color="auto"/>
              <w:right w:val="nil"/>
            </w:tcBorders>
            <w:shd w:val="clear" w:color="auto" w:fill="auto"/>
            <w:vAlign w:val="center"/>
            <w:hideMark/>
          </w:tcPr>
          <w:p w14:paraId="0690C7DC"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117</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7B50059B"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1 612</w:t>
            </w:r>
          </w:p>
        </w:tc>
        <w:tc>
          <w:tcPr>
            <w:tcW w:w="960" w:type="dxa"/>
            <w:tcBorders>
              <w:top w:val="nil"/>
              <w:left w:val="nil"/>
              <w:bottom w:val="single" w:sz="4" w:space="0" w:color="auto"/>
              <w:right w:val="single" w:sz="12" w:space="0" w:color="00B050"/>
            </w:tcBorders>
            <w:shd w:val="clear" w:color="auto" w:fill="auto"/>
            <w:vAlign w:val="center"/>
            <w:hideMark/>
          </w:tcPr>
          <w:p w14:paraId="47F3FE79"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13,78</w:t>
            </w:r>
          </w:p>
        </w:tc>
        <w:tc>
          <w:tcPr>
            <w:tcW w:w="960" w:type="dxa"/>
            <w:tcBorders>
              <w:top w:val="nil"/>
              <w:left w:val="nil"/>
              <w:bottom w:val="single" w:sz="4" w:space="0" w:color="auto"/>
              <w:right w:val="nil"/>
            </w:tcBorders>
            <w:shd w:val="clear" w:color="auto" w:fill="auto"/>
            <w:vAlign w:val="center"/>
            <w:hideMark/>
          </w:tcPr>
          <w:p w14:paraId="767648D6"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138</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32D534A0"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6 499</w:t>
            </w:r>
          </w:p>
        </w:tc>
        <w:tc>
          <w:tcPr>
            <w:tcW w:w="960" w:type="dxa"/>
            <w:tcBorders>
              <w:top w:val="nil"/>
              <w:left w:val="nil"/>
              <w:bottom w:val="single" w:sz="4" w:space="0" w:color="auto"/>
              <w:right w:val="single" w:sz="12" w:space="0" w:color="00B050"/>
            </w:tcBorders>
            <w:shd w:val="clear" w:color="auto" w:fill="auto"/>
            <w:vAlign w:val="center"/>
            <w:hideMark/>
          </w:tcPr>
          <w:p w14:paraId="3850B3C5"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17,98</w:t>
            </w:r>
          </w:p>
        </w:tc>
      </w:tr>
      <w:tr w:rsidR="00A16DDB" w:rsidRPr="00D95127" w14:paraId="3B35EDF4" w14:textId="77777777" w:rsidTr="007A627A">
        <w:trPr>
          <w:trHeight w:val="255"/>
        </w:trPr>
        <w:tc>
          <w:tcPr>
            <w:tcW w:w="960" w:type="dxa"/>
            <w:tcBorders>
              <w:top w:val="nil"/>
              <w:left w:val="single" w:sz="12" w:space="0" w:color="00B050"/>
              <w:bottom w:val="single" w:sz="4" w:space="0" w:color="000000"/>
              <w:right w:val="single" w:sz="12" w:space="0" w:color="00B050"/>
            </w:tcBorders>
            <w:shd w:val="clear" w:color="auto" w:fill="auto"/>
            <w:vAlign w:val="center"/>
            <w:hideMark/>
          </w:tcPr>
          <w:p w14:paraId="19E82EEF"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2018</w:t>
            </w:r>
          </w:p>
        </w:tc>
        <w:tc>
          <w:tcPr>
            <w:tcW w:w="960" w:type="dxa"/>
            <w:tcBorders>
              <w:top w:val="nil"/>
              <w:left w:val="nil"/>
              <w:bottom w:val="single" w:sz="4" w:space="0" w:color="auto"/>
              <w:right w:val="nil"/>
            </w:tcBorders>
            <w:shd w:val="clear" w:color="auto" w:fill="auto"/>
            <w:vAlign w:val="center"/>
            <w:hideMark/>
          </w:tcPr>
          <w:p w14:paraId="7B5D4011"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758</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436FC3B0"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20 729</w:t>
            </w:r>
          </w:p>
        </w:tc>
        <w:tc>
          <w:tcPr>
            <w:tcW w:w="960" w:type="dxa"/>
            <w:tcBorders>
              <w:top w:val="nil"/>
              <w:left w:val="nil"/>
              <w:bottom w:val="single" w:sz="4" w:space="0" w:color="auto"/>
              <w:right w:val="single" w:sz="12" w:space="0" w:color="00B050"/>
            </w:tcBorders>
            <w:shd w:val="clear" w:color="auto" w:fill="auto"/>
            <w:vAlign w:val="center"/>
            <w:hideMark/>
          </w:tcPr>
          <w:p w14:paraId="31B305FD"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27,33</w:t>
            </w:r>
          </w:p>
        </w:tc>
        <w:tc>
          <w:tcPr>
            <w:tcW w:w="960" w:type="dxa"/>
            <w:tcBorders>
              <w:top w:val="nil"/>
              <w:left w:val="nil"/>
              <w:bottom w:val="single" w:sz="4" w:space="0" w:color="auto"/>
              <w:right w:val="nil"/>
            </w:tcBorders>
            <w:shd w:val="clear" w:color="auto" w:fill="auto"/>
            <w:vAlign w:val="center"/>
            <w:hideMark/>
          </w:tcPr>
          <w:p w14:paraId="3BF98697"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263</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6EAD13DD"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5 112</w:t>
            </w:r>
          </w:p>
        </w:tc>
        <w:tc>
          <w:tcPr>
            <w:tcW w:w="960" w:type="dxa"/>
            <w:tcBorders>
              <w:top w:val="nil"/>
              <w:left w:val="nil"/>
              <w:bottom w:val="single" w:sz="4" w:space="0" w:color="auto"/>
              <w:right w:val="single" w:sz="12" w:space="0" w:color="00B050"/>
            </w:tcBorders>
            <w:shd w:val="clear" w:color="auto" w:fill="auto"/>
            <w:vAlign w:val="center"/>
            <w:hideMark/>
          </w:tcPr>
          <w:p w14:paraId="00DFEA4B"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19,41</w:t>
            </w:r>
          </w:p>
        </w:tc>
        <w:tc>
          <w:tcPr>
            <w:tcW w:w="960" w:type="dxa"/>
            <w:tcBorders>
              <w:top w:val="nil"/>
              <w:left w:val="nil"/>
              <w:bottom w:val="single" w:sz="4" w:space="0" w:color="auto"/>
              <w:right w:val="nil"/>
            </w:tcBorders>
            <w:shd w:val="clear" w:color="auto" w:fill="auto"/>
            <w:vAlign w:val="center"/>
            <w:hideMark/>
          </w:tcPr>
          <w:p w14:paraId="292BED07"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495</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1530FEB6"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15 617</w:t>
            </w:r>
          </w:p>
        </w:tc>
        <w:tc>
          <w:tcPr>
            <w:tcW w:w="960" w:type="dxa"/>
            <w:tcBorders>
              <w:top w:val="nil"/>
              <w:left w:val="nil"/>
              <w:bottom w:val="single" w:sz="4" w:space="0" w:color="auto"/>
              <w:right w:val="single" w:sz="12" w:space="0" w:color="00B050"/>
            </w:tcBorders>
            <w:shd w:val="clear" w:color="auto" w:fill="auto"/>
            <w:vAlign w:val="center"/>
            <w:hideMark/>
          </w:tcPr>
          <w:p w14:paraId="13A850F1"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7,92</w:t>
            </w:r>
          </w:p>
        </w:tc>
      </w:tr>
      <w:tr w:rsidR="00A16DDB" w:rsidRPr="00D95127" w14:paraId="4F55D6A4" w14:textId="77777777" w:rsidTr="007A627A">
        <w:trPr>
          <w:trHeight w:val="300"/>
        </w:trPr>
        <w:tc>
          <w:tcPr>
            <w:tcW w:w="960" w:type="dxa"/>
            <w:tcBorders>
              <w:top w:val="nil"/>
              <w:left w:val="single" w:sz="12" w:space="0" w:color="00B050"/>
              <w:bottom w:val="single" w:sz="4" w:space="0" w:color="000000"/>
              <w:right w:val="single" w:sz="12" w:space="0" w:color="00B050"/>
            </w:tcBorders>
            <w:shd w:val="clear" w:color="auto" w:fill="auto"/>
            <w:vAlign w:val="center"/>
            <w:hideMark/>
          </w:tcPr>
          <w:p w14:paraId="1EF674E9"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2019</w:t>
            </w:r>
          </w:p>
        </w:tc>
        <w:tc>
          <w:tcPr>
            <w:tcW w:w="960" w:type="dxa"/>
            <w:tcBorders>
              <w:top w:val="nil"/>
              <w:left w:val="nil"/>
              <w:bottom w:val="single" w:sz="4" w:space="0" w:color="auto"/>
              <w:right w:val="nil"/>
            </w:tcBorders>
            <w:shd w:val="clear" w:color="auto" w:fill="auto"/>
            <w:vAlign w:val="center"/>
            <w:hideMark/>
          </w:tcPr>
          <w:p w14:paraId="6FEFC08B"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910</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5BBA93A6"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27 348</w:t>
            </w:r>
          </w:p>
        </w:tc>
        <w:tc>
          <w:tcPr>
            <w:tcW w:w="960" w:type="dxa"/>
            <w:tcBorders>
              <w:top w:val="nil"/>
              <w:left w:val="nil"/>
              <w:bottom w:val="single" w:sz="4" w:space="0" w:color="auto"/>
              <w:right w:val="single" w:sz="12" w:space="0" w:color="00B050"/>
            </w:tcBorders>
            <w:shd w:val="clear" w:color="auto" w:fill="auto"/>
            <w:vAlign w:val="center"/>
            <w:hideMark/>
          </w:tcPr>
          <w:p w14:paraId="1FBF2A96"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30,04</w:t>
            </w:r>
          </w:p>
        </w:tc>
        <w:tc>
          <w:tcPr>
            <w:tcW w:w="960" w:type="dxa"/>
            <w:tcBorders>
              <w:top w:val="nil"/>
              <w:left w:val="nil"/>
              <w:bottom w:val="single" w:sz="4" w:space="0" w:color="auto"/>
              <w:right w:val="nil"/>
            </w:tcBorders>
            <w:shd w:val="clear" w:color="auto" w:fill="auto"/>
            <w:vAlign w:val="center"/>
            <w:hideMark/>
          </w:tcPr>
          <w:p w14:paraId="03D189D2"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195</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18A10227"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3 541</w:t>
            </w:r>
          </w:p>
        </w:tc>
        <w:tc>
          <w:tcPr>
            <w:tcW w:w="960" w:type="dxa"/>
            <w:tcBorders>
              <w:top w:val="nil"/>
              <w:left w:val="nil"/>
              <w:bottom w:val="single" w:sz="4" w:space="0" w:color="auto"/>
              <w:right w:val="single" w:sz="12" w:space="0" w:color="00B050"/>
            </w:tcBorders>
            <w:shd w:val="clear" w:color="auto" w:fill="auto"/>
            <w:vAlign w:val="center"/>
            <w:hideMark/>
          </w:tcPr>
          <w:p w14:paraId="73DC42DE"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18,12</w:t>
            </w:r>
          </w:p>
        </w:tc>
        <w:tc>
          <w:tcPr>
            <w:tcW w:w="960" w:type="dxa"/>
            <w:tcBorders>
              <w:top w:val="nil"/>
              <w:left w:val="nil"/>
              <w:bottom w:val="single" w:sz="4" w:space="0" w:color="auto"/>
              <w:right w:val="nil"/>
            </w:tcBorders>
            <w:shd w:val="clear" w:color="auto" w:fill="auto"/>
            <w:vAlign w:val="center"/>
            <w:hideMark/>
          </w:tcPr>
          <w:p w14:paraId="63FE4165"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715</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2C1FBE8C"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23 807</w:t>
            </w:r>
          </w:p>
        </w:tc>
        <w:tc>
          <w:tcPr>
            <w:tcW w:w="960" w:type="dxa"/>
            <w:tcBorders>
              <w:top w:val="nil"/>
              <w:left w:val="nil"/>
              <w:bottom w:val="single" w:sz="4" w:space="0" w:color="auto"/>
              <w:right w:val="single" w:sz="12" w:space="0" w:color="00B050"/>
            </w:tcBorders>
            <w:shd w:val="clear" w:color="auto" w:fill="auto"/>
            <w:vAlign w:val="center"/>
            <w:hideMark/>
          </w:tcPr>
          <w:p w14:paraId="58DDC831"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11,92</w:t>
            </w:r>
          </w:p>
        </w:tc>
      </w:tr>
      <w:tr w:rsidR="00A16DDB" w:rsidRPr="00D95127" w14:paraId="747BBBA3" w14:textId="77777777" w:rsidTr="007A627A">
        <w:trPr>
          <w:trHeight w:val="315"/>
        </w:trPr>
        <w:tc>
          <w:tcPr>
            <w:tcW w:w="960" w:type="dxa"/>
            <w:tcBorders>
              <w:top w:val="nil"/>
              <w:left w:val="single" w:sz="12" w:space="0" w:color="00B050"/>
              <w:bottom w:val="single" w:sz="12" w:space="0" w:color="00B050"/>
              <w:right w:val="single" w:sz="12" w:space="0" w:color="00B050"/>
            </w:tcBorders>
            <w:shd w:val="clear" w:color="auto" w:fill="auto"/>
            <w:vAlign w:val="center"/>
            <w:hideMark/>
          </w:tcPr>
          <w:p w14:paraId="2B183F6D"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2020</w:t>
            </w:r>
          </w:p>
        </w:tc>
        <w:tc>
          <w:tcPr>
            <w:tcW w:w="960" w:type="dxa"/>
            <w:tcBorders>
              <w:top w:val="nil"/>
              <w:left w:val="nil"/>
              <w:bottom w:val="single" w:sz="12" w:space="0" w:color="00B050"/>
              <w:right w:val="nil"/>
            </w:tcBorders>
            <w:shd w:val="clear" w:color="auto" w:fill="auto"/>
            <w:vAlign w:val="center"/>
            <w:hideMark/>
          </w:tcPr>
          <w:p w14:paraId="5C45F703"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629</w:t>
            </w:r>
          </w:p>
        </w:tc>
        <w:tc>
          <w:tcPr>
            <w:tcW w:w="960" w:type="dxa"/>
            <w:tcBorders>
              <w:top w:val="nil"/>
              <w:left w:val="single" w:sz="4" w:space="0" w:color="00B050"/>
              <w:bottom w:val="single" w:sz="12" w:space="0" w:color="00B050"/>
              <w:right w:val="single" w:sz="4" w:space="0" w:color="00B050"/>
            </w:tcBorders>
            <w:shd w:val="clear" w:color="auto" w:fill="auto"/>
            <w:vAlign w:val="center"/>
            <w:hideMark/>
          </w:tcPr>
          <w:p w14:paraId="032213B2"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22 899</w:t>
            </w:r>
          </w:p>
        </w:tc>
        <w:tc>
          <w:tcPr>
            <w:tcW w:w="960" w:type="dxa"/>
            <w:tcBorders>
              <w:top w:val="nil"/>
              <w:left w:val="nil"/>
              <w:bottom w:val="single" w:sz="12" w:space="0" w:color="00B050"/>
              <w:right w:val="single" w:sz="12" w:space="0" w:color="00B050"/>
            </w:tcBorders>
            <w:shd w:val="clear" w:color="auto" w:fill="auto"/>
            <w:vAlign w:val="center"/>
            <w:hideMark/>
          </w:tcPr>
          <w:p w14:paraId="4D5A52D4"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36,39</w:t>
            </w:r>
          </w:p>
        </w:tc>
        <w:tc>
          <w:tcPr>
            <w:tcW w:w="960" w:type="dxa"/>
            <w:tcBorders>
              <w:top w:val="nil"/>
              <w:left w:val="nil"/>
              <w:bottom w:val="single" w:sz="12" w:space="0" w:color="00B050"/>
              <w:right w:val="nil"/>
            </w:tcBorders>
            <w:shd w:val="clear" w:color="auto" w:fill="auto"/>
            <w:vAlign w:val="center"/>
            <w:hideMark/>
          </w:tcPr>
          <w:p w14:paraId="1D286D94"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132</w:t>
            </w:r>
          </w:p>
        </w:tc>
        <w:tc>
          <w:tcPr>
            <w:tcW w:w="960" w:type="dxa"/>
            <w:tcBorders>
              <w:top w:val="nil"/>
              <w:left w:val="single" w:sz="4" w:space="0" w:color="00B050"/>
              <w:bottom w:val="single" w:sz="12" w:space="0" w:color="00B050"/>
              <w:right w:val="single" w:sz="4" w:space="0" w:color="00B050"/>
            </w:tcBorders>
            <w:shd w:val="clear" w:color="auto" w:fill="auto"/>
            <w:vAlign w:val="center"/>
            <w:hideMark/>
          </w:tcPr>
          <w:p w14:paraId="33009A16"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3 582</w:t>
            </w:r>
          </w:p>
        </w:tc>
        <w:tc>
          <w:tcPr>
            <w:tcW w:w="960" w:type="dxa"/>
            <w:tcBorders>
              <w:top w:val="nil"/>
              <w:left w:val="nil"/>
              <w:bottom w:val="single" w:sz="12" w:space="0" w:color="00B050"/>
              <w:right w:val="single" w:sz="12" w:space="0" w:color="00B050"/>
            </w:tcBorders>
            <w:shd w:val="clear" w:color="auto" w:fill="auto"/>
            <w:vAlign w:val="center"/>
            <w:hideMark/>
          </w:tcPr>
          <w:p w14:paraId="3924173C"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27,20</w:t>
            </w:r>
          </w:p>
        </w:tc>
        <w:tc>
          <w:tcPr>
            <w:tcW w:w="960" w:type="dxa"/>
            <w:tcBorders>
              <w:top w:val="nil"/>
              <w:left w:val="nil"/>
              <w:bottom w:val="single" w:sz="12" w:space="0" w:color="00B050"/>
              <w:right w:val="nil"/>
            </w:tcBorders>
            <w:shd w:val="clear" w:color="auto" w:fill="auto"/>
            <w:vAlign w:val="center"/>
            <w:hideMark/>
          </w:tcPr>
          <w:p w14:paraId="389C1916"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498</w:t>
            </w:r>
          </w:p>
        </w:tc>
        <w:tc>
          <w:tcPr>
            <w:tcW w:w="960" w:type="dxa"/>
            <w:tcBorders>
              <w:top w:val="nil"/>
              <w:left w:val="single" w:sz="4" w:space="0" w:color="00B050"/>
              <w:bottom w:val="single" w:sz="12" w:space="0" w:color="00B050"/>
              <w:right w:val="single" w:sz="4" w:space="0" w:color="00B050"/>
            </w:tcBorders>
            <w:shd w:val="clear" w:color="auto" w:fill="auto"/>
            <w:vAlign w:val="center"/>
            <w:hideMark/>
          </w:tcPr>
          <w:p w14:paraId="577B34FC"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19 317</w:t>
            </w:r>
          </w:p>
        </w:tc>
        <w:tc>
          <w:tcPr>
            <w:tcW w:w="960" w:type="dxa"/>
            <w:tcBorders>
              <w:top w:val="nil"/>
              <w:left w:val="nil"/>
              <w:bottom w:val="single" w:sz="12" w:space="0" w:color="00B050"/>
              <w:right w:val="single" w:sz="12" w:space="0" w:color="00B050"/>
            </w:tcBorders>
            <w:shd w:val="clear" w:color="auto" w:fill="auto"/>
            <w:vAlign w:val="center"/>
            <w:hideMark/>
          </w:tcPr>
          <w:p w14:paraId="2CAC9924"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9,19</w:t>
            </w:r>
          </w:p>
        </w:tc>
      </w:tr>
    </w:tbl>
    <w:p w14:paraId="49DA59F2" w14:textId="13BFAEE5" w:rsidR="00A16DDB" w:rsidRPr="00D95127" w:rsidRDefault="00A16DDB" w:rsidP="00A37B3C">
      <w:pPr>
        <w:pStyle w:val="UZEIZdroj"/>
        <w:rPr>
          <w:i w:val="0"/>
          <w:iCs w:val="0"/>
          <w:sz w:val="16"/>
          <w:szCs w:val="16"/>
        </w:rPr>
      </w:pPr>
      <w:r w:rsidRPr="00D95127">
        <w:t>Zdroj: Celní statistika MZe</w:t>
      </w:r>
    </w:p>
    <w:p w14:paraId="58B96AF6" w14:textId="4F9D2CFC" w:rsidR="00A16DDB" w:rsidRPr="00D95127" w:rsidRDefault="00A16DDB" w:rsidP="00A37B3C">
      <w:pPr>
        <w:pStyle w:val="UZEIGraf"/>
      </w:pPr>
      <w:bookmarkStart w:id="728" w:name="_Toc81738801"/>
      <w:r w:rsidRPr="00D95127">
        <w:t>Zahraniční obchod - lněná semena, k setí (t)</w:t>
      </w:r>
      <w:bookmarkEnd w:id="728"/>
    </w:p>
    <w:p w14:paraId="5C49353C" w14:textId="77777777" w:rsidR="00A16DDB" w:rsidRPr="00D95127" w:rsidRDefault="00A16DDB" w:rsidP="00A16DDB">
      <w:pPr>
        <w:rPr>
          <w:rFonts w:cs="Times New Roman"/>
          <w:lang w:val="cs-CZ"/>
        </w:rPr>
      </w:pPr>
      <w:r w:rsidRPr="00D95127">
        <w:rPr>
          <w:rFonts w:cs="Times New Roman"/>
          <w:noProof/>
          <w:lang w:val="cs-CZ"/>
        </w:rPr>
        <w:drawing>
          <wp:inline distT="0" distB="0" distL="0" distR="0" wp14:anchorId="606D3257" wp14:editId="5831281E">
            <wp:extent cx="5554639" cy="2743200"/>
            <wp:effectExtent l="0" t="0" r="8255" b="0"/>
            <wp:docPr id="95" name="Graf 95">
              <a:extLst xmlns:a="http://schemas.openxmlformats.org/drawingml/2006/main">
                <a:ext uri="{FF2B5EF4-FFF2-40B4-BE49-F238E27FC236}">
                  <a16:creationId xmlns:a16="http://schemas.microsoft.com/office/drawing/2014/main" id="{2EFDBD08-D0D9-4DAA-82D4-A8B6ED686B0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14:paraId="7F8C1EC7" w14:textId="77777777" w:rsidR="00A16DDB" w:rsidRPr="00D95127" w:rsidRDefault="00A16DDB" w:rsidP="00A37B3C">
      <w:pPr>
        <w:pStyle w:val="UZEIZdroj"/>
        <w:rPr>
          <w:i w:val="0"/>
          <w:iCs w:val="0"/>
          <w:sz w:val="16"/>
          <w:szCs w:val="16"/>
        </w:rPr>
      </w:pPr>
      <w:r w:rsidRPr="00D95127">
        <w:t>Zdroj: Celní statistika MZe</w:t>
      </w:r>
    </w:p>
    <w:p w14:paraId="4C2F26E3" w14:textId="25DF3CE1" w:rsidR="00A16DDB" w:rsidRPr="00D95127" w:rsidRDefault="00A16DDB" w:rsidP="00A37B3C">
      <w:pPr>
        <w:pStyle w:val="UZEIGraf"/>
      </w:pPr>
      <w:bookmarkStart w:id="729" w:name="_Toc81738802"/>
      <w:r w:rsidRPr="00D95127">
        <w:t>Zahraniční obchod - lněná semena, k setí (mil. Kč)</w:t>
      </w:r>
      <w:bookmarkEnd w:id="729"/>
    </w:p>
    <w:p w14:paraId="47F3BF69" w14:textId="77777777" w:rsidR="00A16DDB" w:rsidRPr="00D95127" w:rsidRDefault="00A16DDB" w:rsidP="00A16DDB">
      <w:pPr>
        <w:rPr>
          <w:rFonts w:cs="Times New Roman"/>
          <w:i/>
          <w:iCs/>
          <w:sz w:val="16"/>
          <w:szCs w:val="16"/>
          <w:lang w:val="cs-CZ"/>
        </w:rPr>
      </w:pPr>
      <w:r w:rsidRPr="00D95127">
        <w:rPr>
          <w:rFonts w:cs="Times New Roman"/>
          <w:noProof/>
          <w:lang w:val="cs-CZ"/>
        </w:rPr>
        <w:drawing>
          <wp:inline distT="0" distB="0" distL="0" distR="0" wp14:anchorId="70DCF20B" wp14:editId="673E8675">
            <wp:extent cx="5554345" cy="2743200"/>
            <wp:effectExtent l="0" t="0" r="8255" b="0"/>
            <wp:docPr id="100" name="Graf 100">
              <a:extLst xmlns:a="http://schemas.openxmlformats.org/drawingml/2006/main">
                <a:ext uri="{FF2B5EF4-FFF2-40B4-BE49-F238E27FC236}">
                  <a16:creationId xmlns:a16="http://schemas.microsoft.com/office/drawing/2014/main" id="{96D4AB07-07E6-4EF2-8B66-D01D651E375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14:paraId="6D02FD07" w14:textId="77777777" w:rsidR="00A16DDB" w:rsidRPr="00D95127" w:rsidRDefault="00A16DDB" w:rsidP="00A37B3C">
      <w:pPr>
        <w:pStyle w:val="UZEIZdroj"/>
        <w:rPr>
          <w:i w:val="0"/>
          <w:iCs w:val="0"/>
          <w:sz w:val="16"/>
          <w:szCs w:val="16"/>
        </w:rPr>
      </w:pPr>
      <w:r w:rsidRPr="00D95127">
        <w:t>Zdroj: Celní statistika MZe</w:t>
      </w:r>
    </w:p>
    <w:p w14:paraId="26B1E63D" w14:textId="77777777" w:rsidR="00A16DDB" w:rsidRPr="00D95127" w:rsidRDefault="00A16DDB" w:rsidP="00A16DDB">
      <w:pPr>
        <w:rPr>
          <w:rFonts w:cs="Times New Roman"/>
          <w:i/>
          <w:iCs/>
          <w:sz w:val="16"/>
          <w:szCs w:val="16"/>
          <w:lang w:val="cs-CZ"/>
        </w:rPr>
      </w:pPr>
    </w:p>
    <w:p w14:paraId="11DA6CD5" w14:textId="77777777" w:rsidR="00A16DDB" w:rsidRPr="00D95127" w:rsidRDefault="00A16DDB" w:rsidP="00A16DDB">
      <w:pPr>
        <w:rPr>
          <w:rFonts w:cs="Times New Roman"/>
          <w:i/>
          <w:iCs/>
          <w:sz w:val="16"/>
          <w:szCs w:val="16"/>
          <w:lang w:val="cs-CZ"/>
        </w:rPr>
      </w:pPr>
    </w:p>
    <w:p w14:paraId="1733A050" w14:textId="77777777" w:rsidR="00A37B3C" w:rsidRDefault="00A37B3C">
      <w:pPr>
        <w:spacing w:after="160" w:line="259" w:lineRule="auto"/>
        <w:jc w:val="left"/>
        <w:rPr>
          <w:rFonts w:eastAsia="Times New Roman" w:cs="Arial"/>
          <w:b/>
          <w:color w:val="000000" w:themeColor="text1"/>
          <w:sz w:val="20"/>
          <w:szCs w:val="20"/>
          <w:lang w:val="cs-CZ" w:eastAsia="cs-CZ"/>
        </w:rPr>
      </w:pPr>
      <w:r>
        <w:br w:type="page"/>
      </w:r>
    </w:p>
    <w:p w14:paraId="038DE37A" w14:textId="4F53BA0B" w:rsidR="00A16DDB" w:rsidRPr="00D95127" w:rsidRDefault="00A16DDB" w:rsidP="00A37B3C">
      <w:pPr>
        <w:pStyle w:val="UZEITaB"/>
      </w:pPr>
      <w:bookmarkStart w:id="730" w:name="_Toc81738501"/>
      <w:r w:rsidRPr="00D95127">
        <w:t xml:space="preserve">Zahraniční obchod </w:t>
      </w:r>
      <w:r w:rsidR="00A37B3C">
        <w:t>–</w:t>
      </w:r>
      <w:r w:rsidRPr="00D95127">
        <w:t xml:space="preserve"> </w:t>
      </w:r>
      <w:r>
        <w:t>lněná</w:t>
      </w:r>
      <w:r w:rsidRPr="00D95127">
        <w:t xml:space="preserve"> semena, k setí – hlavní obchodní partneři</w:t>
      </w:r>
      <w:bookmarkEnd w:id="730"/>
    </w:p>
    <w:p w14:paraId="755C665B" w14:textId="77777777" w:rsidR="00A16DDB" w:rsidRPr="00D95127" w:rsidRDefault="00A16DDB" w:rsidP="00A16DDB">
      <w:pPr>
        <w:rPr>
          <w:rFonts w:cs="Times New Roman"/>
          <w:i/>
          <w:iCs/>
          <w:sz w:val="16"/>
          <w:szCs w:val="16"/>
          <w:lang w:val="cs-CZ"/>
        </w:rPr>
      </w:pPr>
      <w:r w:rsidRPr="00D95127">
        <w:rPr>
          <w:rFonts w:cs="Times New Roman"/>
          <w:noProof/>
          <w:lang w:val="cs-CZ"/>
        </w:rPr>
        <w:drawing>
          <wp:inline distT="0" distB="0" distL="0" distR="0" wp14:anchorId="64B91716" wp14:editId="2BB78601">
            <wp:extent cx="4497070" cy="4667250"/>
            <wp:effectExtent l="0" t="0" r="0" b="0"/>
            <wp:docPr id="101" name="Obráze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497070" cy="4667250"/>
                    </a:xfrm>
                    <a:prstGeom prst="rect">
                      <a:avLst/>
                    </a:prstGeom>
                    <a:noFill/>
                    <a:ln>
                      <a:noFill/>
                    </a:ln>
                  </pic:spPr>
                </pic:pic>
              </a:graphicData>
            </a:graphic>
          </wp:inline>
        </w:drawing>
      </w:r>
    </w:p>
    <w:p w14:paraId="74CFA33F" w14:textId="77777777" w:rsidR="00A16DDB" w:rsidRPr="00D95127" w:rsidRDefault="00A16DDB" w:rsidP="00A16DDB">
      <w:pPr>
        <w:rPr>
          <w:rFonts w:cs="Times New Roman"/>
          <w:lang w:val="cs-CZ"/>
        </w:rPr>
      </w:pPr>
    </w:p>
    <w:p w14:paraId="5CB6A132" w14:textId="09A6A8F6" w:rsidR="00A16DDB" w:rsidRPr="00D95127" w:rsidRDefault="00A16DDB" w:rsidP="00A37B3C">
      <w:pPr>
        <w:pStyle w:val="UZEITaB"/>
      </w:pPr>
      <w:r>
        <w:t xml:space="preserve"> </w:t>
      </w:r>
      <w:bookmarkStart w:id="731" w:name="_Toc81738502"/>
      <w:r w:rsidRPr="00D95127">
        <w:t>Zahraniční obchod - lněná semena (kromě semen k setí)</w:t>
      </w:r>
      <w:bookmarkEnd w:id="731"/>
    </w:p>
    <w:tbl>
      <w:tblPr>
        <w:tblW w:w="9600" w:type="dxa"/>
        <w:tblCellMar>
          <w:left w:w="70" w:type="dxa"/>
          <w:right w:w="70" w:type="dxa"/>
        </w:tblCellMar>
        <w:tblLook w:val="04A0" w:firstRow="1" w:lastRow="0" w:firstColumn="1" w:lastColumn="0" w:noHBand="0" w:noVBand="1"/>
      </w:tblPr>
      <w:tblGrid>
        <w:gridCol w:w="960"/>
        <w:gridCol w:w="960"/>
        <w:gridCol w:w="960"/>
        <w:gridCol w:w="960"/>
        <w:gridCol w:w="960"/>
        <w:gridCol w:w="960"/>
        <w:gridCol w:w="960"/>
        <w:gridCol w:w="960"/>
        <w:gridCol w:w="960"/>
        <w:gridCol w:w="960"/>
      </w:tblGrid>
      <w:tr w:rsidR="00A16DDB" w:rsidRPr="00D95127" w14:paraId="6E694246" w14:textId="77777777" w:rsidTr="007A627A">
        <w:trPr>
          <w:trHeight w:val="270"/>
        </w:trPr>
        <w:tc>
          <w:tcPr>
            <w:tcW w:w="960" w:type="dxa"/>
            <w:vMerge w:val="restart"/>
            <w:tcBorders>
              <w:top w:val="single" w:sz="12" w:space="0" w:color="00B050"/>
              <w:left w:val="single" w:sz="12" w:space="0" w:color="00B050"/>
              <w:bottom w:val="nil"/>
              <w:right w:val="single" w:sz="12" w:space="0" w:color="00B050"/>
            </w:tcBorders>
            <w:shd w:val="clear" w:color="000000" w:fill="00B050"/>
            <w:vAlign w:val="center"/>
            <w:hideMark/>
          </w:tcPr>
          <w:p w14:paraId="6552D800" w14:textId="77777777" w:rsidR="00A16DDB" w:rsidRPr="00A37B3C" w:rsidRDefault="00A16DDB" w:rsidP="007A627A">
            <w:pPr>
              <w:keepNext/>
              <w:keepLines/>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Rok</w:t>
            </w:r>
          </w:p>
        </w:tc>
        <w:tc>
          <w:tcPr>
            <w:tcW w:w="2880" w:type="dxa"/>
            <w:gridSpan w:val="3"/>
            <w:tcBorders>
              <w:top w:val="single" w:sz="12" w:space="0" w:color="00B050"/>
              <w:left w:val="nil"/>
              <w:bottom w:val="nil"/>
              <w:right w:val="single" w:sz="12" w:space="0" w:color="00B050"/>
            </w:tcBorders>
            <w:shd w:val="clear" w:color="000000" w:fill="00B050"/>
            <w:vAlign w:val="center"/>
            <w:hideMark/>
          </w:tcPr>
          <w:p w14:paraId="363553DD" w14:textId="77777777" w:rsidR="00A16DDB" w:rsidRPr="00A37B3C" w:rsidRDefault="00A16DDB" w:rsidP="007A627A">
            <w:pPr>
              <w:keepNext/>
              <w:keepLines/>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Vývoz</w:t>
            </w:r>
          </w:p>
        </w:tc>
        <w:tc>
          <w:tcPr>
            <w:tcW w:w="2880" w:type="dxa"/>
            <w:gridSpan w:val="3"/>
            <w:tcBorders>
              <w:top w:val="single" w:sz="12" w:space="0" w:color="00B050"/>
              <w:left w:val="nil"/>
              <w:bottom w:val="nil"/>
              <w:right w:val="nil"/>
            </w:tcBorders>
            <w:shd w:val="clear" w:color="000000" w:fill="00B050"/>
            <w:vAlign w:val="center"/>
            <w:hideMark/>
          </w:tcPr>
          <w:p w14:paraId="36DF1349" w14:textId="77777777" w:rsidR="00A16DDB" w:rsidRPr="00A37B3C" w:rsidRDefault="00A16DDB" w:rsidP="007A627A">
            <w:pPr>
              <w:keepNext/>
              <w:keepLines/>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Dovoz</w:t>
            </w:r>
          </w:p>
        </w:tc>
        <w:tc>
          <w:tcPr>
            <w:tcW w:w="2880" w:type="dxa"/>
            <w:gridSpan w:val="3"/>
            <w:tcBorders>
              <w:top w:val="single" w:sz="12" w:space="0" w:color="00B050"/>
              <w:left w:val="nil"/>
              <w:bottom w:val="nil"/>
              <w:right w:val="single" w:sz="12" w:space="0" w:color="00B050"/>
            </w:tcBorders>
            <w:shd w:val="clear" w:color="000000" w:fill="00B050"/>
            <w:vAlign w:val="center"/>
            <w:hideMark/>
          </w:tcPr>
          <w:p w14:paraId="26F3B4BB" w14:textId="77777777" w:rsidR="00A16DDB" w:rsidRPr="00A37B3C" w:rsidRDefault="00A16DDB" w:rsidP="007A627A">
            <w:pPr>
              <w:keepNext/>
              <w:keepLines/>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Saldo</w:t>
            </w:r>
          </w:p>
        </w:tc>
      </w:tr>
      <w:tr w:rsidR="00A16DDB" w:rsidRPr="00D95127" w14:paraId="3A912F93" w14:textId="77777777" w:rsidTr="007A627A">
        <w:trPr>
          <w:trHeight w:val="315"/>
        </w:trPr>
        <w:tc>
          <w:tcPr>
            <w:tcW w:w="960" w:type="dxa"/>
            <w:vMerge/>
            <w:tcBorders>
              <w:top w:val="single" w:sz="12" w:space="0" w:color="00B050"/>
              <w:left w:val="single" w:sz="12" w:space="0" w:color="00B050"/>
              <w:bottom w:val="nil"/>
              <w:right w:val="single" w:sz="12" w:space="0" w:color="00B050"/>
            </w:tcBorders>
            <w:vAlign w:val="center"/>
            <w:hideMark/>
          </w:tcPr>
          <w:p w14:paraId="57205730" w14:textId="77777777" w:rsidR="00A16DDB" w:rsidRPr="00A37B3C" w:rsidRDefault="00A16DDB" w:rsidP="007A627A">
            <w:pPr>
              <w:keepNext/>
              <w:keepLines/>
              <w:rPr>
                <w:rFonts w:eastAsia="Times New Roman" w:cs="Times New Roman"/>
                <w:b/>
                <w:color w:val="FFFFFF"/>
                <w:sz w:val="22"/>
                <w:lang w:val="cs-CZ" w:eastAsia="cs-CZ"/>
              </w:rPr>
            </w:pPr>
          </w:p>
        </w:tc>
        <w:tc>
          <w:tcPr>
            <w:tcW w:w="960" w:type="dxa"/>
            <w:tcBorders>
              <w:top w:val="nil"/>
              <w:left w:val="nil"/>
              <w:bottom w:val="nil"/>
              <w:right w:val="nil"/>
            </w:tcBorders>
            <w:shd w:val="clear" w:color="000000" w:fill="00B050"/>
            <w:vAlign w:val="center"/>
            <w:hideMark/>
          </w:tcPr>
          <w:p w14:paraId="0EBDABAD" w14:textId="77777777" w:rsidR="00A16DDB" w:rsidRPr="00A37B3C" w:rsidRDefault="00A16DDB" w:rsidP="007A627A">
            <w:pPr>
              <w:keepNext/>
              <w:keepLines/>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tun</w:t>
            </w:r>
          </w:p>
        </w:tc>
        <w:tc>
          <w:tcPr>
            <w:tcW w:w="960" w:type="dxa"/>
            <w:tcBorders>
              <w:top w:val="nil"/>
              <w:left w:val="nil"/>
              <w:bottom w:val="nil"/>
              <w:right w:val="nil"/>
            </w:tcBorders>
            <w:shd w:val="clear" w:color="000000" w:fill="00B050"/>
            <w:vAlign w:val="center"/>
            <w:hideMark/>
          </w:tcPr>
          <w:p w14:paraId="1D6FBA28" w14:textId="77777777" w:rsidR="00A16DDB" w:rsidRPr="00A37B3C" w:rsidRDefault="00A16DDB" w:rsidP="007A627A">
            <w:pPr>
              <w:keepNext/>
              <w:keepLines/>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mil. Kč</w:t>
            </w:r>
          </w:p>
        </w:tc>
        <w:tc>
          <w:tcPr>
            <w:tcW w:w="960" w:type="dxa"/>
            <w:tcBorders>
              <w:top w:val="nil"/>
              <w:left w:val="nil"/>
              <w:bottom w:val="nil"/>
              <w:right w:val="single" w:sz="12" w:space="0" w:color="00B050"/>
            </w:tcBorders>
            <w:shd w:val="clear" w:color="000000" w:fill="00B050"/>
            <w:vAlign w:val="center"/>
            <w:hideMark/>
          </w:tcPr>
          <w:p w14:paraId="62454DBF" w14:textId="77777777" w:rsidR="00A16DDB" w:rsidRPr="00A37B3C" w:rsidRDefault="00A16DDB" w:rsidP="007A627A">
            <w:pPr>
              <w:keepNext/>
              <w:keepLines/>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Kč/kg</w:t>
            </w:r>
          </w:p>
        </w:tc>
        <w:tc>
          <w:tcPr>
            <w:tcW w:w="960" w:type="dxa"/>
            <w:tcBorders>
              <w:top w:val="nil"/>
              <w:left w:val="nil"/>
              <w:bottom w:val="nil"/>
              <w:right w:val="nil"/>
            </w:tcBorders>
            <w:shd w:val="clear" w:color="000000" w:fill="00B050"/>
            <w:vAlign w:val="center"/>
            <w:hideMark/>
          </w:tcPr>
          <w:p w14:paraId="17C48197" w14:textId="77777777" w:rsidR="00A16DDB" w:rsidRPr="00A37B3C" w:rsidRDefault="00A16DDB" w:rsidP="007A627A">
            <w:pPr>
              <w:keepNext/>
              <w:keepLines/>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tun</w:t>
            </w:r>
          </w:p>
        </w:tc>
        <w:tc>
          <w:tcPr>
            <w:tcW w:w="960" w:type="dxa"/>
            <w:tcBorders>
              <w:top w:val="nil"/>
              <w:left w:val="nil"/>
              <w:bottom w:val="nil"/>
              <w:right w:val="nil"/>
            </w:tcBorders>
            <w:shd w:val="clear" w:color="000000" w:fill="00B050"/>
            <w:vAlign w:val="center"/>
            <w:hideMark/>
          </w:tcPr>
          <w:p w14:paraId="68AC323A" w14:textId="77777777" w:rsidR="00A16DDB" w:rsidRPr="00A37B3C" w:rsidRDefault="00A16DDB" w:rsidP="007A627A">
            <w:pPr>
              <w:keepNext/>
              <w:keepLines/>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mil. Kč</w:t>
            </w:r>
          </w:p>
        </w:tc>
        <w:tc>
          <w:tcPr>
            <w:tcW w:w="960" w:type="dxa"/>
            <w:tcBorders>
              <w:top w:val="nil"/>
              <w:left w:val="nil"/>
              <w:bottom w:val="nil"/>
              <w:right w:val="nil"/>
            </w:tcBorders>
            <w:shd w:val="clear" w:color="000000" w:fill="00B050"/>
            <w:vAlign w:val="center"/>
            <w:hideMark/>
          </w:tcPr>
          <w:p w14:paraId="310FDA00" w14:textId="77777777" w:rsidR="00A16DDB" w:rsidRPr="00A37B3C" w:rsidRDefault="00A16DDB" w:rsidP="007A627A">
            <w:pPr>
              <w:keepNext/>
              <w:keepLines/>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Kč/kg</w:t>
            </w:r>
          </w:p>
        </w:tc>
        <w:tc>
          <w:tcPr>
            <w:tcW w:w="960" w:type="dxa"/>
            <w:tcBorders>
              <w:top w:val="nil"/>
              <w:left w:val="nil"/>
              <w:bottom w:val="nil"/>
              <w:right w:val="nil"/>
            </w:tcBorders>
            <w:shd w:val="clear" w:color="000000" w:fill="00B050"/>
            <w:vAlign w:val="center"/>
            <w:hideMark/>
          </w:tcPr>
          <w:p w14:paraId="482B004D" w14:textId="77777777" w:rsidR="00A16DDB" w:rsidRPr="00A37B3C" w:rsidRDefault="00A16DDB" w:rsidP="007A627A">
            <w:pPr>
              <w:keepNext/>
              <w:keepLines/>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tun</w:t>
            </w:r>
          </w:p>
        </w:tc>
        <w:tc>
          <w:tcPr>
            <w:tcW w:w="960" w:type="dxa"/>
            <w:tcBorders>
              <w:top w:val="nil"/>
              <w:left w:val="nil"/>
              <w:bottom w:val="nil"/>
              <w:right w:val="nil"/>
            </w:tcBorders>
            <w:shd w:val="clear" w:color="000000" w:fill="00B050"/>
            <w:vAlign w:val="center"/>
            <w:hideMark/>
          </w:tcPr>
          <w:p w14:paraId="34B75CB2" w14:textId="77777777" w:rsidR="00A16DDB" w:rsidRPr="00A37B3C" w:rsidRDefault="00A16DDB" w:rsidP="007A627A">
            <w:pPr>
              <w:keepNext/>
              <w:keepLines/>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mil. Kč</w:t>
            </w:r>
          </w:p>
        </w:tc>
        <w:tc>
          <w:tcPr>
            <w:tcW w:w="960" w:type="dxa"/>
            <w:tcBorders>
              <w:top w:val="nil"/>
              <w:left w:val="nil"/>
              <w:bottom w:val="nil"/>
              <w:right w:val="single" w:sz="12" w:space="0" w:color="00B050"/>
            </w:tcBorders>
            <w:shd w:val="clear" w:color="000000" w:fill="00B050"/>
            <w:vAlign w:val="center"/>
            <w:hideMark/>
          </w:tcPr>
          <w:p w14:paraId="796BE084" w14:textId="77777777" w:rsidR="00A16DDB" w:rsidRPr="00A37B3C" w:rsidRDefault="00A16DDB" w:rsidP="007A627A">
            <w:pPr>
              <w:keepNext/>
              <w:keepLines/>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Kč/kg</w:t>
            </w:r>
          </w:p>
        </w:tc>
      </w:tr>
      <w:tr w:rsidR="00A16DDB" w:rsidRPr="00D95127" w14:paraId="64B74975" w14:textId="77777777" w:rsidTr="007A627A">
        <w:trPr>
          <w:trHeight w:val="300"/>
        </w:trPr>
        <w:tc>
          <w:tcPr>
            <w:tcW w:w="960" w:type="dxa"/>
            <w:tcBorders>
              <w:top w:val="single" w:sz="12" w:space="0" w:color="00B050"/>
              <w:left w:val="single" w:sz="12" w:space="0" w:color="00B050"/>
              <w:bottom w:val="single" w:sz="4" w:space="0" w:color="000000"/>
              <w:right w:val="single" w:sz="12" w:space="0" w:color="00B050"/>
            </w:tcBorders>
            <w:shd w:val="clear" w:color="auto" w:fill="auto"/>
            <w:vAlign w:val="center"/>
            <w:hideMark/>
          </w:tcPr>
          <w:p w14:paraId="6EDAEB8C"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2014</w:t>
            </w:r>
          </w:p>
        </w:tc>
        <w:tc>
          <w:tcPr>
            <w:tcW w:w="960" w:type="dxa"/>
            <w:tcBorders>
              <w:top w:val="single" w:sz="12" w:space="0" w:color="00B050"/>
              <w:left w:val="nil"/>
              <w:bottom w:val="single" w:sz="4" w:space="0" w:color="auto"/>
              <w:right w:val="nil"/>
            </w:tcBorders>
            <w:shd w:val="clear" w:color="auto" w:fill="auto"/>
            <w:vAlign w:val="center"/>
            <w:hideMark/>
          </w:tcPr>
          <w:p w14:paraId="5F8B4F32"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3 869</w:t>
            </w:r>
          </w:p>
        </w:tc>
        <w:tc>
          <w:tcPr>
            <w:tcW w:w="960" w:type="dxa"/>
            <w:tcBorders>
              <w:top w:val="single" w:sz="12" w:space="0" w:color="00B050"/>
              <w:left w:val="single" w:sz="4" w:space="0" w:color="00B050"/>
              <w:bottom w:val="single" w:sz="4" w:space="0" w:color="auto"/>
              <w:right w:val="single" w:sz="4" w:space="0" w:color="00B050"/>
            </w:tcBorders>
            <w:shd w:val="clear" w:color="auto" w:fill="auto"/>
            <w:vAlign w:val="center"/>
            <w:hideMark/>
          </w:tcPr>
          <w:p w14:paraId="7E6A1C62"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62 818</w:t>
            </w:r>
          </w:p>
        </w:tc>
        <w:tc>
          <w:tcPr>
            <w:tcW w:w="960" w:type="dxa"/>
            <w:tcBorders>
              <w:top w:val="single" w:sz="12" w:space="0" w:color="00B050"/>
              <w:left w:val="nil"/>
              <w:bottom w:val="single" w:sz="4" w:space="0" w:color="auto"/>
              <w:right w:val="single" w:sz="12" w:space="0" w:color="00B050"/>
            </w:tcBorders>
            <w:shd w:val="clear" w:color="auto" w:fill="auto"/>
            <w:vAlign w:val="center"/>
            <w:hideMark/>
          </w:tcPr>
          <w:p w14:paraId="47CFD908"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16,24</w:t>
            </w:r>
          </w:p>
        </w:tc>
        <w:tc>
          <w:tcPr>
            <w:tcW w:w="960" w:type="dxa"/>
            <w:tcBorders>
              <w:top w:val="single" w:sz="12" w:space="0" w:color="00B050"/>
              <w:left w:val="nil"/>
              <w:bottom w:val="single" w:sz="4" w:space="0" w:color="auto"/>
              <w:right w:val="nil"/>
            </w:tcBorders>
            <w:shd w:val="clear" w:color="auto" w:fill="auto"/>
            <w:vAlign w:val="center"/>
            <w:hideMark/>
          </w:tcPr>
          <w:p w14:paraId="0BC5E472"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3 903</w:t>
            </w:r>
          </w:p>
        </w:tc>
        <w:tc>
          <w:tcPr>
            <w:tcW w:w="960" w:type="dxa"/>
            <w:tcBorders>
              <w:top w:val="single" w:sz="12" w:space="0" w:color="00B050"/>
              <w:left w:val="single" w:sz="4" w:space="0" w:color="00B050"/>
              <w:bottom w:val="single" w:sz="4" w:space="0" w:color="auto"/>
              <w:right w:val="single" w:sz="4" w:space="0" w:color="00B050"/>
            </w:tcBorders>
            <w:shd w:val="clear" w:color="auto" w:fill="auto"/>
            <w:vAlign w:val="center"/>
            <w:hideMark/>
          </w:tcPr>
          <w:p w14:paraId="41D9A967"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60 057</w:t>
            </w:r>
          </w:p>
        </w:tc>
        <w:tc>
          <w:tcPr>
            <w:tcW w:w="960" w:type="dxa"/>
            <w:tcBorders>
              <w:top w:val="single" w:sz="12" w:space="0" w:color="00B050"/>
              <w:left w:val="nil"/>
              <w:bottom w:val="single" w:sz="4" w:space="0" w:color="auto"/>
              <w:right w:val="single" w:sz="12" w:space="0" w:color="00B050"/>
            </w:tcBorders>
            <w:shd w:val="clear" w:color="auto" w:fill="auto"/>
            <w:vAlign w:val="center"/>
            <w:hideMark/>
          </w:tcPr>
          <w:p w14:paraId="5644B2E7"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15,39</w:t>
            </w:r>
          </w:p>
        </w:tc>
        <w:tc>
          <w:tcPr>
            <w:tcW w:w="960" w:type="dxa"/>
            <w:tcBorders>
              <w:top w:val="single" w:sz="12" w:space="0" w:color="00B050"/>
              <w:left w:val="nil"/>
              <w:bottom w:val="single" w:sz="4" w:space="0" w:color="auto"/>
              <w:right w:val="nil"/>
            </w:tcBorders>
            <w:shd w:val="clear" w:color="auto" w:fill="auto"/>
            <w:vAlign w:val="center"/>
            <w:hideMark/>
          </w:tcPr>
          <w:p w14:paraId="249023A2"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-35</w:t>
            </w:r>
          </w:p>
        </w:tc>
        <w:tc>
          <w:tcPr>
            <w:tcW w:w="960" w:type="dxa"/>
            <w:tcBorders>
              <w:top w:val="single" w:sz="12" w:space="0" w:color="00B050"/>
              <w:left w:val="single" w:sz="4" w:space="0" w:color="00B050"/>
              <w:bottom w:val="single" w:sz="4" w:space="0" w:color="auto"/>
              <w:right w:val="single" w:sz="4" w:space="0" w:color="00B050"/>
            </w:tcBorders>
            <w:shd w:val="clear" w:color="auto" w:fill="auto"/>
            <w:vAlign w:val="center"/>
            <w:hideMark/>
          </w:tcPr>
          <w:p w14:paraId="48B3BDEA"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2 760</w:t>
            </w:r>
          </w:p>
        </w:tc>
        <w:tc>
          <w:tcPr>
            <w:tcW w:w="960" w:type="dxa"/>
            <w:tcBorders>
              <w:top w:val="single" w:sz="12" w:space="0" w:color="00B050"/>
              <w:left w:val="nil"/>
              <w:bottom w:val="single" w:sz="4" w:space="0" w:color="auto"/>
              <w:right w:val="single" w:sz="12" w:space="0" w:color="00B050"/>
            </w:tcBorders>
            <w:shd w:val="clear" w:color="auto" w:fill="auto"/>
            <w:vAlign w:val="center"/>
            <w:hideMark/>
          </w:tcPr>
          <w:p w14:paraId="32899F76"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0,85</w:t>
            </w:r>
          </w:p>
        </w:tc>
      </w:tr>
      <w:tr w:rsidR="00A16DDB" w:rsidRPr="00D95127" w14:paraId="60710A07" w14:textId="77777777" w:rsidTr="007A627A">
        <w:trPr>
          <w:trHeight w:val="285"/>
        </w:trPr>
        <w:tc>
          <w:tcPr>
            <w:tcW w:w="960" w:type="dxa"/>
            <w:tcBorders>
              <w:top w:val="nil"/>
              <w:left w:val="single" w:sz="12" w:space="0" w:color="00B050"/>
              <w:bottom w:val="single" w:sz="4" w:space="0" w:color="000000"/>
              <w:right w:val="single" w:sz="12" w:space="0" w:color="00B050"/>
            </w:tcBorders>
            <w:shd w:val="clear" w:color="auto" w:fill="auto"/>
            <w:vAlign w:val="center"/>
            <w:hideMark/>
          </w:tcPr>
          <w:p w14:paraId="6689F44E"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2015</w:t>
            </w:r>
          </w:p>
        </w:tc>
        <w:tc>
          <w:tcPr>
            <w:tcW w:w="960" w:type="dxa"/>
            <w:tcBorders>
              <w:top w:val="nil"/>
              <w:left w:val="nil"/>
              <w:bottom w:val="single" w:sz="4" w:space="0" w:color="auto"/>
              <w:right w:val="nil"/>
            </w:tcBorders>
            <w:shd w:val="clear" w:color="auto" w:fill="auto"/>
            <w:vAlign w:val="center"/>
            <w:hideMark/>
          </w:tcPr>
          <w:p w14:paraId="556E3644"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3 570</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0024B80E"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51 542</w:t>
            </w:r>
          </w:p>
        </w:tc>
        <w:tc>
          <w:tcPr>
            <w:tcW w:w="960" w:type="dxa"/>
            <w:tcBorders>
              <w:top w:val="nil"/>
              <w:left w:val="nil"/>
              <w:bottom w:val="single" w:sz="4" w:space="0" w:color="auto"/>
              <w:right w:val="single" w:sz="12" w:space="0" w:color="00B050"/>
            </w:tcBorders>
            <w:shd w:val="clear" w:color="auto" w:fill="auto"/>
            <w:vAlign w:val="center"/>
            <w:hideMark/>
          </w:tcPr>
          <w:p w14:paraId="1BB5B366"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14,44</w:t>
            </w:r>
          </w:p>
        </w:tc>
        <w:tc>
          <w:tcPr>
            <w:tcW w:w="960" w:type="dxa"/>
            <w:tcBorders>
              <w:top w:val="nil"/>
              <w:left w:val="nil"/>
              <w:bottom w:val="single" w:sz="4" w:space="0" w:color="auto"/>
              <w:right w:val="nil"/>
            </w:tcBorders>
            <w:shd w:val="clear" w:color="auto" w:fill="auto"/>
            <w:vAlign w:val="center"/>
            <w:hideMark/>
          </w:tcPr>
          <w:p w14:paraId="24B02062"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4 239</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13D706AD"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63 739</w:t>
            </w:r>
          </w:p>
        </w:tc>
        <w:tc>
          <w:tcPr>
            <w:tcW w:w="960" w:type="dxa"/>
            <w:tcBorders>
              <w:top w:val="nil"/>
              <w:left w:val="nil"/>
              <w:bottom w:val="single" w:sz="4" w:space="0" w:color="auto"/>
              <w:right w:val="single" w:sz="12" w:space="0" w:color="00B050"/>
            </w:tcBorders>
            <w:shd w:val="clear" w:color="auto" w:fill="auto"/>
            <w:vAlign w:val="center"/>
            <w:hideMark/>
          </w:tcPr>
          <w:p w14:paraId="3B27E1BB"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15,03</w:t>
            </w:r>
          </w:p>
        </w:tc>
        <w:tc>
          <w:tcPr>
            <w:tcW w:w="960" w:type="dxa"/>
            <w:tcBorders>
              <w:top w:val="nil"/>
              <w:left w:val="nil"/>
              <w:bottom w:val="single" w:sz="4" w:space="0" w:color="auto"/>
              <w:right w:val="nil"/>
            </w:tcBorders>
            <w:shd w:val="clear" w:color="auto" w:fill="auto"/>
            <w:vAlign w:val="center"/>
            <w:hideMark/>
          </w:tcPr>
          <w:p w14:paraId="040B9655"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-669</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4B92F4B9"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-12 196</w:t>
            </w:r>
          </w:p>
        </w:tc>
        <w:tc>
          <w:tcPr>
            <w:tcW w:w="960" w:type="dxa"/>
            <w:tcBorders>
              <w:top w:val="nil"/>
              <w:left w:val="nil"/>
              <w:bottom w:val="single" w:sz="4" w:space="0" w:color="auto"/>
              <w:right w:val="single" w:sz="12" w:space="0" w:color="00B050"/>
            </w:tcBorders>
            <w:shd w:val="clear" w:color="auto" w:fill="auto"/>
            <w:vAlign w:val="center"/>
            <w:hideMark/>
          </w:tcPr>
          <w:p w14:paraId="5FC33FBC"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-0,59</w:t>
            </w:r>
          </w:p>
        </w:tc>
      </w:tr>
      <w:tr w:rsidR="00A16DDB" w:rsidRPr="00D95127" w14:paraId="6B61D46A" w14:textId="77777777" w:rsidTr="007A627A">
        <w:trPr>
          <w:trHeight w:val="255"/>
        </w:trPr>
        <w:tc>
          <w:tcPr>
            <w:tcW w:w="960" w:type="dxa"/>
            <w:tcBorders>
              <w:top w:val="nil"/>
              <w:left w:val="single" w:sz="12" w:space="0" w:color="00B050"/>
              <w:bottom w:val="single" w:sz="4" w:space="0" w:color="000000"/>
              <w:right w:val="single" w:sz="12" w:space="0" w:color="00B050"/>
            </w:tcBorders>
            <w:shd w:val="clear" w:color="auto" w:fill="auto"/>
            <w:vAlign w:val="center"/>
            <w:hideMark/>
          </w:tcPr>
          <w:p w14:paraId="6B9A9C9C"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2016</w:t>
            </w:r>
          </w:p>
        </w:tc>
        <w:tc>
          <w:tcPr>
            <w:tcW w:w="960" w:type="dxa"/>
            <w:tcBorders>
              <w:top w:val="nil"/>
              <w:left w:val="nil"/>
              <w:bottom w:val="single" w:sz="4" w:space="0" w:color="auto"/>
              <w:right w:val="nil"/>
            </w:tcBorders>
            <w:shd w:val="clear" w:color="auto" w:fill="auto"/>
            <w:vAlign w:val="center"/>
            <w:hideMark/>
          </w:tcPr>
          <w:p w14:paraId="2577065B"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7 529</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623BAA4C"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125 246</w:t>
            </w:r>
          </w:p>
        </w:tc>
        <w:tc>
          <w:tcPr>
            <w:tcW w:w="960" w:type="dxa"/>
            <w:tcBorders>
              <w:top w:val="nil"/>
              <w:left w:val="nil"/>
              <w:bottom w:val="single" w:sz="4" w:space="0" w:color="auto"/>
              <w:right w:val="single" w:sz="12" w:space="0" w:color="00B050"/>
            </w:tcBorders>
            <w:shd w:val="clear" w:color="auto" w:fill="auto"/>
            <w:vAlign w:val="center"/>
            <w:hideMark/>
          </w:tcPr>
          <w:p w14:paraId="26010C43"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16,63</w:t>
            </w:r>
          </w:p>
        </w:tc>
        <w:tc>
          <w:tcPr>
            <w:tcW w:w="960" w:type="dxa"/>
            <w:tcBorders>
              <w:top w:val="nil"/>
              <w:left w:val="nil"/>
              <w:bottom w:val="single" w:sz="4" w:space="0" w:color="auto"/>
              <w:right w:val="nil"/>
            </w:tcBorders>
            <w:shd w:val="clear" w:color="auto" w:fill="auto"/>
            <w:vAlign w:val="center"/>
            <w:hideMark/>
          </w:tcPr>
          <w:p w14:paraId="11403A56"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6 755</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680AC078"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90 012</w:t>
            </w:r>
          </w:p>
        </w:tc>
        <w:tc>
          <w:tcPr>
            <w:tcW w:w="960" w:type="dxa"/>
            <w:tcBorders>
              <w:top w:val="nil"/>
              <w:left w:val="nil"/>
              <w:bottom w:val="single" w:sz="4" w:space="0" w:color="auto"/>
              <w:right w:val="single" w:sz="12" w:space="0" w:color="00B050"/>
            </w:tcBorders>
            <w:shd w:val="clear" w:color="auto" w:fill="auto"/>
            <w:vAlign w:val="center"/>
            <w:hideMark/>
          </w:tcPr>
          <w:p w14:paraId="7F86A384"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13,33</w:t>
            </w:r>
          </w:p>
        </w:tc>
        <w:tc>
          <w:tcPr>
            <w:tcW w:w="960" w:type="dxa"/>
            <w:tcBorders>
              <w:top w:val="nil"/>
              <w:left w:val="nil"/>
              <w:bottom w:val="single" w:sz="4" w:space="0" w:color="auto"/>
              <w:right w:val="nil"/>
            </w:tcBorders>
            <w:shd w:val="clear" w:color="auto" w:fill="auto"/>
            <w:vAlign w:val="center"/>
            <w:hideMark/>
          </w:tcPr>
          <w:p w14:paraId="6B3BFCAE"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774</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7759979E"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35 235</w:t>
            </w:r>
          </w:p>
        </w:tc>
        <w:tc>
          <w:tcPr>
            <w:tcW w:w="960" w:type="dxa"/>
            <w:tcBorders>
              <w:top w:val="nil"/>
              <w:left w:val="nil"/>
              <w:bottom w:val="single" w:sz="4" w:space="0" w:color="auto"/>
              <w:right w:val="single" w:sz="12" w:space="0" w:color="00B050"/>
            </w:tcBorders>
            <w:shd w:val="clear" w:color="auto" w:fill="auto"/>
            <w:vAlign w:val="center"/>
            <w:hideMark/>
          </w:tcPr>
          <w:p w14:paraId="431A84B4"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3,30</w:t>
            </w:r>
          </w:p>
        </w:tc>
      </w:tr>
      <w:tr w:rsidR="00A16DDB" w:rsidRPr="00D95127" w14:paraId="69232A83" w14:textId="77777777" w:rsidTr="007A627A">
        <w:trPr>
          <w:trHeight w:val="255"/>
        </w:trPr>
        <w:tc>
          <w:tcPr>
            <w:tcW w:w="960" w:type="dxa"/>
            <w:tcBorders>
              <w:top w:val="nil"/>
              <w:left w:val="single" w:sz="12" w:space="0" w:color="00B050"/>
              <w:bottom w:val="single" w:sz="4" w:space="0" w:color="000000"/>
              <w:right w:val="single" w:sz="12" w:space="0" w:color="00B050"/>
            </w:tcBorders>
            <w:shd w:val="clear" w:color="auto" w:fill="auto"/>
            <w:vAlign w:val="center"/>
            <w:hideMark/>
          </w:tcPr>
          <w:p w14:paraId="231EDD59"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2017</w:t>
            </w:r>
          </w:p>
        </w:tc>
        <w:tc>
          <w:tcPr>
            <w:tcW w:w="960" w:type="dxa"/>
            <w:tcBorders>
              <w:top w:val="nil"/>
              <w:left w:val="nil"/>
              <w:bottom w:val="single" w:sz="4" w:space="0" w:color="auto"/>
              <w:right w:val="nil"/>
            </w:tcBorders>
            <w:shd w:val="clear" w:color="auto" w:fill="auto"/>
            <w:vAlign w:val="center"/>
            <w:hideMark/>
          </w:tcPr>
          <w:p w14:paraId="721E561A"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11 076</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10DA1B2F"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196 327</w:t>
            </w:r>
          </w:p>
        </w:tc>
        <w:tc>
          <w:tcPr>
            <w:tcW w:w="960" w:type="dxa"/>
            <w:tcBorders>
              <w:top w:val="nil"/>
              <w:left w:val="nil"/>
              <w:bottom w:val="single" w:sz="4" w:space="0" w:color="auto"/>
              <w:right w:val="single" w:sz="12" w:space="0" w:color="00B050"/>
            </w:tcBorders>
            <w:shd w:val="clear" w:color="auto" w:fill="auto"/>
            <w:vAlign w:val="center"/>
            <w:hideMark/>
          </w:tcPr>
          <w:p w14:paraId="1A5197BE"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17,73</w:t>
            </w:r>
          </w:p>
        </w:tc>
        <w:tc>
          <w:tcPr>
            <w:tcW w:w="960" w:type="dxa"/>
            <w:tcBorders>
              <w:top w:val="nil"/>
              <w:left w:val="nil"/>
              <w:bottom w:val="single" w:sz="4" w:space="0" w:color="auto"/>
              <w:right w:val="nil"/>
            </w:tcBorders>
            <w:shd w:val="clear" w:color="auto" w:fill="auto"/>
            <w:vAlign w:val="center"/>
            <w:hideMark/>
          </w:tcPr>
          <w:p w14:paraId="47371A4E"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8 881</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27F90AB6"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118 339</w:t>
            </w:r>
          </w:p>
        </w:tc>
        <w:tc>
          <w:tcPr>
            <w:tcW w:w="960" w:type="dxa"/>
            <w:tcBorders>
              <w:top w:val="nil"/>
              <w:left w:val="nil"/>
              <w:bottom w:val="single" w:sz="4" w:space="0" w:color="auto"/>
              <w:right w:val="single" w:sz="12" w:space="0" w:color="00B050"/>
            </w:tcBorders>
            <w:shd w:val="clear" w:color="auto" w:fill="auto"/>
            <w:vAlign w:val="center"/>
            <w:hideMark/>
          </w:tcPr>
          <w:p w14:paraId="181CC2EF"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13,32</w:t>
            </w:r>
          </w:p>
        </w:tc>
        <w:tc>
          <w:tcPr>
            <w:tcW w:w="960" w:type="dxa"/>
            <w:tcBorders>
              <w:top w:val="nil"/>
              <w:left w:val="nil"/>
              <w:bottom w:val="single" w:sz="4" w:space="0" w:color="auto"/>
              <w:right w:val="nil"/>
            </w:tcBorders>
            <w:shd w:val="clear" w:color="auto" w:fill="auto"/>
            <w:vAlign w:val="center"/>
            <w:hideMark/>
          </w:tcPr>
          <w:p w14:paraId="226F03FF"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2 194</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17F917D2"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77 987</w:t>
            </w:r>
          </w:p>
        </w:tc>
        <w:tc>
          <w:tcPr>
            <w:tcW w:w="960" w:type="dxa"/>
            <w:tcBorders>
              <w:top w:val="nil"/>
              <w:left w:val="nil"/>
              <w:bottom w:val="single" w:sz="4" w:space="0" w:color="auto"/>
              <w:right w:val="single" w:sz="12" w:space="0" w:color="00B050"/>
            </w:tcBorders>
            <w:shd w:val="clear" w:color="auto" w:fill="auto"/>
            <w:vAlign w:val="center"/>
            <w:hideMark/>
          </w:tcPr>
          <w:p w14:paraId="4A138005"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4,41</w:t>
            </w:r>
          </w:p>
        </w:tc>
      </w:tr>
      <w:tr w:rsidR="00A16DDB" w:rsidRPr="00D95127" w14:paraId="00673906" w14:textId="77777777" w:rsidTr="007A627A">
        <w:trPr>
          <w:trHeight w:val="255"/>
        </w:trPr>
        <w:tc>
          <w:tcPr>
            <w:tcW w:w="960" w:type="dxa"/>
            <w:tcBorders>
              <w:top w:val="nil"/>
              <w:left w:val="single" w:sz="12" w:space="0" w:color="00B050"/>
              <w:bottom w:val="single" w:sz="4" w:space="0" w:color="000000"/>
              <w:right w:val="single" w:sz="12" w:space="0" w:color="00B050"/>
            </w:tcBorders>
            <w:shd w:val="clear" w:color="auto" w:fill="auto"/>
            <w:vAlign w:val="center"/>
            <w:hideMark/>
          </w:tcPr>
          <w:p w14:paraId="0522D69C"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2018</w:t>
            </w:r>
          </w:p>
        </w:tc>
        <w:tc>
          <w:tcPr>
            <w:tcW w:w="960" w:type="dxa"/>
            <w:tcBorders>
              <w:top w:val="nil"/>
              <w:left w:val="nil"/>
              <w:bottom w:val="single" w:sz="4" w:space="0" w:color="auto"/>
              <w:right w:val="nil"/>
            </w:tcBorders>
            <w:shd w:val="clear" w:color="auto" w:fill="auto"/>
            <w:vAlign w:val="center"/>
            <w:hideMark/>
          </w:tcPr>
          <w:p w14:paraId="248FCB2E"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6 677</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3B727981"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111 450</w:t>
            </w:r>
          </w:p>
        </w:tc>
        <w:tc>
          <w:tcPr>
            <w:tcW w:w="960" w:type="dxa"/>
            <w:tcBorders>
              <w:top w:val="nil"/>
              <w:left w:val="nil"/>
              <w:bottom w:val="single" w:sz="4" w:space="0" w:color="auto"/>
              <w:right w:val="single" w:sz="12" w:space="0" w:color="00B050"/>
            </w:tcBorders>
            <w:shd w:val="clear" w:color="auto" w:fill="auto"/>
            <w:vAlign w:val="center"/>
            <w:hideMark/>
          </w:tcPr>
          <w:p w14:paraId="31AC22E1"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16,69</w:t>
            </w:r>
          </w:p>
        </w:tc>
        <w:tc>
          <w:tcPr>
            <w:tcW w:w="960" w:type="dxa"/>
            <w:tcBorders>
              <w:top w:val="nil"/>
              <w:left w:val="nil"/>
              <w:bottom w:val="single" w:sz="4" w:space="0" w:color="auto"/>
              <w:right w:val="nil"/>
            </w:tcBorders>
            <w:shd w:val="clear" w:color="auto" w:fill="auto"/>
            <w:vAlign w:val="center"/>
            <w:hideMark/>
          </w:tcPr>
          <w:p w14:paraId="33C2E37C"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10 222</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569DEC67"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102 565</w:t>
            </w:r>
          </w:p>
        </w:tc>
        <w:tc>
          <w:tcPr>
            <w:tcW w:w="960" w:type="dxa"/>
            <w:tcBorders>
              <w:top w:val="nil"/>
              <w:left w:val="nil"/>
              <w:bottom w:val="single" w:sz="4" w:space="0" w:color="auto"/>
              <w:right w:val="single" w:sz="12" w:space="0" w:color="00B050"/>
            </w:tcBorders>
            <w:shd w:val="clear" w:color="auto" w:fill="auto"/>
            <w:vAlign w:val="center"/>
            <w:hideMark/>
          </w:tcPr>
          <w:p w14:paraId="03831BE4"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10,03</w:t>
            </w:r>
          </w:p>
        </w:tc>
        <w:tc>
          <w:tcPr>
            <w:tcW w:w="960" w:type="dxa"/>
            <w:tcBorders>
              <w:top w:val="nil"/>
              <w:left w:val="nil"/>
              <w:bottom w:val="single" w:sz="4" w:space="0" w:color="auto"/>
              <w:right w:val="nil"/>
            </w:tcBorders>
            <w:shd w:val="clear" w:color="auto" w:fill="auto"/>
            <w:vAlign w:val="center"/>
            <w:hideMark/>
          </w:tcPr>
          <w:p w14:paraId="57D19F97"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-3 545</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1FE452AD"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8 885</w:t>
            </w:r>
          </w:p>
        </w:tc>
        <w:tc>
          <w:tcPr>
            <w:tcW w:w="960" w:type="dxa"/>
            <w:tcBorders>
              <w:top w:val="nil"/>
              <w:left w:val="nil"/>
              <w:bottom w:val="single" w:sz="4" w:space="0" w:color="auto"/>
              <w:right w:val="single" w:sz="12" w:space="0" w:color="00B050"/>
            </w:tcBorders>
            <w:shd w:val="clear" w:color="auto" w:fill="auto"/>
            <w:vAlign w:val="center"/>
            <w:hideMark/>
          </w:tcPr>
          <w:p w14:paraId="15448321"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6,66</w:t>
            </w:r>
          </w:p>
        </w:tc>
      </w:tr>
      <w:tr w:rsidR="00A16DDB" w:rsidRPr="00D95127" w14:paraId="4D136836" w14:textId="77777777" w:rsidTr="007A627A">
        <w:trPr>
          <w:trHeight w:val="255"/>
        </w:trPr>
        <w:tc>
          <w:tcPr>
            <w:tcW w:w="960" w:type="dxa"/>
            <w:tcBorders>
              <w:top w:val="nil"/>
              <w:left w:val="single" w:sz="12" w:space="0" w:color="00B050"/>
              <w:bottom w:val="single" w:sz="4" w:space="0" w:color="000000"/>
              <w:right w:val="single" w:sz="12" w:space="0" w:color="00B050"/>
            </w:tcBorders>
            <w:shd w:val="clear" w:color="auto" w:fill="auto"/>
            <w:vAlign w:val="center"/>
            <w:hideMark/>
          </w:tcPr>
          <w:p w14:paraId="130338DB"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2019</w:t>
            </w:r>
          </w:p>
        </w:tc>
        <w:tc>
          <w:tcPr>
            <w:tcW w:w="960" w:type="dxa"/>
            <w:tcBorders>
              <w:top w:val="nil"/>
              <w:left w:val="nil"/>
              <w:bottom w:val="single" w:sz="4" w:space="0" w:color="auto"/>
              <w:right w:val="nil"/>
            </w:tcBorders>
            <w:shd w:val="clear" w:color="auto" w:fill="auto"/>
            <w:vAlign w:val="center"/>
            <w:hideMark/>
          </w:tcPr>
          <w:p w14:paraId="7DA8DA56"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6 917</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51CD06F7"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127 622</w:t>
            </w:r>
          </w:p>
        </w:tc>
        <w:tc>
          <w:tcPr>
            <w:tcW w:w="960" w:type="dxa"/>
            <w:tcBorders>
              <w:top w:val="nil"/>
              <w:left w:val="nil"/>
              <w:bottom w:val="single" w:sz="4" w:space="0" w:color="auto"/>
              <w:right w:val="single" w:sz="12" w:space="0" w:color="00B050"/>
            </w:tcBorders>
            <w:shd w:val="clear" w:color="auto" w:fill="auto"/>
            <w:vAlign w:val="center"/>
            <w:hideMark/>
          </w:tcPr>
          <w:p w14:paraId="4191092C"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18,45</w:t>
            </w:r>
          </w:p>
        </w:tc>
        <w:tc>
          <w:tcPr>
            <w:tcW w:w="960" w:type="dxa"/>
            <w:tcBorders>
              <w:top w:val="nil"/>
              <w:left w:val="nil"/>
              <w:bottom w:val="single" w:sz="4" w:space="0" w:color="auto"/>
              <w:right w:val="nil"/>
            </w:tcBorders>
            <w:shd w:val="clear" w:color="auto" w:fill="auto"/>
            <w:vAlign w:val="center"/>
            <w:hideMark/>
          </w:tcPr>
          <w:p w14:paraId="7419B5D9"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10 637</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19623002"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149 014</w:t>
            </w:r>
          </w:p>
        </w:tc>
        <w:tc>
          <w:tcPr>
            <w:tcW w:w="960" w:type="dxa"/>
            <w:tcBorders>
              <w:top w:val="nil"/>
              <w:left w:val="nil"/>
              <w:bottom w:val="single" w:sz="4" w:space="0" w:color="auto"/>
              <w:right w:val="single" w:sz="12" w:space="0" w:color="00B050"/>
            </w:tcBorders>
            <w:shd w:val="clear" w:color="auto" w:fill="auto"/>
            <w:vAlign w:val="center"/>
            <w:hideMark/>
          </w:tcPr>
          <w:p w14:paraId="66D87F09"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14,01</w:t>
            </w:r>
          </w:p>
        </w:tc>
        <w:tc>
          <w:tcPr>
            <w:tcW w:w="960" w:type="dxa"/>
            <w:tcBorders>
              <w:top w:val="nil"/>
              <w:left w:val="nil"/>
              <w:bottom w:val="single" w:sz="4" w:space="0" w:color="auto"/>
              <w:right w:val="nil"/>
            </w:tcBorders>
            <w:shd w:val="clear" w:color="auto" w:fill="auto"/>
            <w:vAlign w:val="center"/>
            <w:hideMark/>
          </w:tcPr>
          <w:p w14:paraId="1A8E72F5"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-3 720</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65DCF00D"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-21 392</w:t>
            </w:r>
          </w:p>
        </w:tc>
        <w:tc>
          <w:tcPr>
            <w:tcW w:w="960" w:type="dxa"/>
            <w:tcBorders>
              <w:top w:val="nil"/>
              <w:left w:val="nil"/>
              <w:bottom w:val="single" w:sz="4" w:space="0" w:color="auto"/>
              <w:right w:val="single" w:sz="12" w:space="0" w:color="00B050"/>
            </w:tcBorders>
            <w:shd w:val="clear" w:color="auto" w:fill="auto"/>
            <w:vAlign w:val="center"/>
            <w:hideMark/>
          </w:tcPr>
          <w:p w14:paraId="67F214C3"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4,44</w:t>
            </w:r>
          </w:p>
        </w:tc>
      </w:tr>
      <w:tr w:rsidR="00A16DDB" w:rsidRPr="00D95127" w14:paraId="2A8040D1" w14:textId="77777777" w:rsidTr="007A627A">
        <w:trPr>
          <w:trHeight w:val="270"/>
        </w:trPr>
        <w:tc>
          <w:tcPr>
            <w:tcW w:w="960" w:type="dxa"/>
            <w:tcBorders>
              <w:top w:val="nil"/>
              <w:left w:val="single" w:sz="12" w:space="0" w:color="00B050"/>
              <w:bottom w:val="single" w:sz="12" w:space="0" w:color="00B050"/>
              <w:right w:val="single" w:sz="12" w:space="0" w:color="00B050"/>
            </w:tcBorders>
            <w:shd w:val="clear" w:color="auto" w:fill="auto"/>
            <w:vAlign w:val="center"/>
            <w:hideMark/>
          </w:tcPr>
          <w:p w14:paraId="7C91C49E"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2020</w:t>
            </w:r>
          </w:p>
        </w:tc>
        <w:tc>
          <w:tcPr>
            <w:tcW w:w="960" w:type="dxa"/>
            <w:tcBorders>
              <w:top w:val="nil"/>
              <w:left w:val="nil"/>
              <w:bottom w:val="single" w:sz="12" w:space="0" w:color="00B050"/>
              <w:right w:val="nil"/>
            </w:tcBorders>
            <w:shd w:val="clear" w:color="auto" w:fill="auto"/>
            <w:vAlign w:val="center"/>
            <w:hideMark/>
          </w:tcPr>
          <w:p w14:paraId="7F30DBE7"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6 048</w:t>
            </w:r>
          </w:p>
        </w:tc>
        <w:tc>
          <w:tcPr>
            <w:tcW w:w="960" w:type="dxa"/>
            <w:tcBorders>
              <w:top w:val="nil"/>
              <w:left w:val="single" w:sz="4" w:space="0" w:color="00B050"/>
              <w:bottom w:val="single" w:sz="12" w:space="0" w:color="00B050"/>
              <w:right w:val="single" w:sz="4" w:space="0" w:color="00B050"/>
            </w:tcBorders>
            <w:shd w:val="clear" w:color="auto" w:fill="auto"/>
            <w:vAlign w:val="center"/>
            <w:hideMark/>
          </w:tcPr>
          <w:p w14:paraId="10712C86"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131 147</w:t>
            </w:r>
          </w:p>
        </w:tc>
        <w:tc>
          <w:tcPr>
            <w:tcW w:w="960" w:type="dxa"/>
            <w:tcBorders>
              <w:top w:val="nil"/>
              <w:left w:val="nil"/>
              <w:bottom w:val="single" w:sz="12" w:space="0" w:color="00B050"/>
              <w:right w:val="single" w:sz="12" w:space="0" w:color="00B050"/>
            </w:tcBorders>
            <w:shd w:val="clear" w:color="auto" w:fill="auto"/>
            <w:vAlign w:val="center"/>
            <w:hideMark/>
          </w:tcPr>
          <w:p w14:paraId="60C5D10B"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21,68</w:t>
            </w:r>
          </w:p>
        </w:tc>
        <w:tc>
          <w:tcPr>
            <w:tcW w:w="960" w:type="dxa"/>
            <w:tcBorders>
              <w:top w:val="nil"/>
              <w:left w:val="nil"/>
              <w:bottom w:val="single" w:sz="12" w:space="0" w:color="00B050"/>
              <w:right w:val="nil"/>
            </w:tcBorders>
            <w:shd w:val="clear" w:color="auto" w:fill="auto"/>
            <w:vAlign w:val="center"/>
            <w:hideMark/>
          </w:tcPr>
          <w:p w14:paraId="1FF16DF6"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10 735</w:t>
            </w:r>
          </w:p>
        </w:tc>
        <w:tc>
          <w:tcPr>
            <w:tcW w:w="960" w:type="dxa"/>
            <w:tcBorders>
              <w:top w:val="nil"/>
              <w:left w:val="single" w:sz="4" w:space="0" w:color="00B050"/>
              <w:bottom w:val="single" w:sz="12" w:space="0" w:color="00B050"/>
              <w:right w:val="single" w:sz="4" w:space="0" w:color="00B050"/>
            </w:tcBorders>
            <w:shd w:val="clear" w:color="auto" w:fill="auto"/>
            <w:vAlign w:val="center"/>
            <w:hideMark/>
          </w:tcPr>
          <w:p w14:paraId="0C143D7A"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176 044</w:t>
            </w:r>
          </w:p>
        </w:tc>
        <w:tc>
          <w:tcPr>
            <w:tcW w:w="960" w:type="dxa"/>
            <w:tcBorders>
              <w:top w:val="nil"/>
              <w:left w:val="nil"/>
              <w:bottom w:val="single" w:sz="12" w:space="0" w:color="00B050"/>
              <w:right w:val="single" w:sz="12" w:space="0" w:color="00B050"/>
            </w:tcBorders>
            <w:shd w:val="clear" w:color="auto" w:fill="auto"/>
            <w:vAlign w:val="center"/>
            <w:hideMark/>
          </w:tcPr>
          <w:p w14:paraId="7F873341"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16,40</w:t>
            </w:r>
          </w:p>
        </w:tc>
        <w:tc>
          <w:tcPr>
            <w:tcW w:w="960" w:type="dxa"/>
            <w:tcBorders>
              <w:top w:val="nil"/>
              <w:left w:val="nil"/>
              <w:bottom w:val="single" w:sz="12" w:space="0" w:color="00B050"/>
              <w:right w:val="nil"/>
            </w:tcBorders>
            <w:shd w:val="clear" w:color="auto" w:fill="auto"/>
            <w:vAlign w:val="center"/>
            <w:hideMark/>
          </w:tcPr>
          <w:p w14:paraId="00C63ED3"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-4 686</w:t>
            </w:r>
          </w:p>
        </w:tc>
        <w:tc>
          <w:tcPr>
            <w:tcW w:w="960" w:type="dxa"/>
            <w:tcBorders>
              <w:top w:val="nil"/>
              <w:left w:val="single" w:sz="4" w:space="0" w:color="00B050"/>
              <w:bottom w:val="single" w:sz="12" w:space="0" w:color="00B050"/>
              <w:right w:val="single" w:sz="4" w:space="0" w:color="00B050"/>
            </w:tcBorders>
            <w:shd w:val="clear" w:color="auto" w:fill="auto"/>
            <w:vAlign w:val="center"/>
            <w:hideMark/>
          </w:tcPr>
          <w:p w14:paraId="5064E205"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-44 897</w:t>
            </w:r>
          </w:p>
        </w:tc>
        <w:tc>
          <w:tcPr>
            <w:tcW w:w="960" w:type="dxa"/>
            <w:tcBorders>
              <w:top w:val="nil"/>
              <w:left w:val="nil"/>
              <w:bottom w:val="single" w:sz="12" w:space="0" w:color="00B050"/>
              <w:right w:val="single" w:sz="12" w:space="0" w:color="00B050"/>
            </w:tcBorders>
            <w:shd w:val="clear" w:color="auto" w:fill="auto"/>
            <w:vAlign w:val="center"/>
            <w:hideMark/>
          </w:tcPr>
          <w:p w14:paraId="493FAA97" w14:textId="77777777" w:rsidR="00A16DDB" w:rsidRPr="00A37B3C" w:rsidRDefault="00A16DDB" w:rsidP="007A627A">
            <w:pPr>
              <w:keepNext/>
              <w:keepLines/>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5,28</w:t>
            </w:r>
          </w:p>
        </w:tc>
      </w:tr>
    </w:tbl>
    <w:p w14:paraId="1543633A" w14:textId="77777777" w:rsidR="00A16DDB" w:rsidRPr="00D95127" w:rsidRDefault="00A16DDB" w:rsidP="00A37B3C">
      <w:pPr>
        <w:pStyle w:val="UZEIZdroj"/>
        <w:rPr>
          <w:i w:val="0"/>
          <w:iCs w:val="0"/>
          <w:szCs w:val="20"/>
        </w:rPr>
      </w:pPr>
      <w:r w:rsidRPr="00D95127">
        <w:t>Zdroj: Celní statistika MZe</w:t>
      </w:r>
    </w:p>
    <w:p w14:paraId="55425E9E" w14:textId="77777777" w:rsidR="00A16DDB" w:rsidRPr="00D95127" w:rsidRDefault="00A16DDB" w:rsidP="00A16DDB">
      <w:pPr>
        <w:rPr>
          <w:rFonts w:cs="Times New Roman"/>
          <w:lang w:val="cs-CZ"/>
        </w:rPr>
      </w:pPr>
    </w:p>
    <w:p w14:paraId="6FEE13E0" w14:textId="77777777" w:rsidR="00A37B3C" w:rsidRDefault="00A37B3C">
      <w:pPr>
        <w:spacing w:after="160" w:line="259" w:lineRule="auto"/>
        <w:jc w:val="left"/>
        <w:rPr>
          <w:rFonts w:eastAsia="Times New Roman" w:cs="Arial"/>
          <w:b/>
          <w:sz w:val="20"/>
          <w:szCs w:val="20"/>
          <w:lang w:val="cs-CZ" w:eastAsia="cs-CZ"/>
        </w:rPr>
      </w:pPr>
      <w:r>
        <w:br w:type="page"/>
      </w:r>
    </w:p>
    <w:p w14:paraId="6E34B63A" w14:textId="6E8498FD" w:rsidR="00A16DDB" w:rsidRPr="00467D08" w:rsidRDefault="00A16DDB" w:rsidP="00467D08">
      <w:pPr>
        <w:pStyle w:val="UZEIGraf"/>
      </w:pPr>
      <w:bookmarkStart w:id="732" w:name="_Toc81738803"/>
      <w:r w:rsidRPr="00467D08">
        <w:t>Zahraniční obchod - lněná semena (kromě semen k setí) (t)</w:t>
      </w:r>
      <w:bookmarkEnd w:id="732"/>
    </w:p>
    <w:p w14:paraId="773FBF4F" w14:textId="77777777" w:rsidR="00A16DDB" w:rsidRPr="00D95127" w:rsidRDefault="00A16DDB" w:rsidP="00A16DDB">
      <w:pPr>
        <w:rPr>
          <w:rFonts w:cs="Times New Roman"/>
          <w:lang w:val="cs-CZ"/>
        </w:rPr>
      </w:pPr>
      <w:r w:rsidRPr="00D95127">
        <w:rPr>
          <w:rFonts w:cs="Times New Roman"/>
          <w:noProof/>
          <w:lang w:val="cs-CZ"/>
        </w:rPr>
        <w:drawing>
          <wp:inline distT="0" distB="0" distL="0" distR="0" wp14:anchorId="3A9C9421" wp14:editId="23EB7F92">
            <wp:extent cx="5206621" cy="2743200"/>
            <wp:effectExtent l="0" t="0" r="13335" b="0"/>
            <wp:docPr id="112" name="Graf 112">
              <a:extLst xmlns:a="http://schemas.openxmlformats.org/drawingml/2006/main">
                <a:ext uri="{FF2B5EF4-FFF2-40B4-BE49-F238E27FC236}">
                  <a16:creationId xmlns:a16="http://schemas.microsoft.com/office/drawing/2014/main" id="{3074EA67-31C5-4D53-B5F5-DDA477EC13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14:paraId="559E9DF0" w14:textId="5B7DF04D" w:rsidR="00A16DDB" w:rsidRPr="00D95127" w:rsidRDefault="00A16DDB" w:rsidP="00467D08">
      <w:pPr>
        <w:pStyle w:val="UZEIZdroj"/>
        <w:rPr>
          <w:i w:val="0"/>
          <w:iCs w:val="0"/>
          <w:sz w:val="16"/>
          <w:szCs w:val="16"/>
        </w:rPr>
      </w:pPr>
      <w:r w:rsidRPr="00D95127">
        <w:t>Zdroj: Celní statistika MZe</w:t>
      </w:r>
    </w:p>
    <w:p w14:paraId="411DF06E" w14:textId="6884A829" w:rsidR="00A16DDB" w:rsidRPr="00467D08" w:rsidRDefault="00A16DDB" w:rsidP="00467D08">
      <w:pPr>
        <w:pStyle w:val="UZEIGraf"/>
      </w:pPr>
      <w:bookmarkStart w:id="733" w:name="_Toc81738804"/>
      <w:r w:rsidRPr="00467D08">
        <w:t>Zahraniční obchod - lněná semena (kromě semen k setí) (mil. Kč)</w:t>
      </w:r>
      <w:bookmarkEnd w:id="733"/>
    </w:p>
    <w:p w14:paraId="349D898C" w14:textId="77777777" w:rsidR="00A16DDB" w:rsidRPr="00D95127" w:rsidRDefault="00A16DDB" w:rsidP="00A16DDB">
      <w:pPr>
        <w:rPr>
          <w:rFonts w:cs="Times New Roman"/>
          <w:i/>
          <w:iCs/>
          <w:sz w:val="16"/>
          <w:szCs w:val="16"/>
          <w:lang w:val="cs-CZ"/>
        </w:rPr>
      </w:pPr>
      <w:r w:rsidRPr="00D95127">
        <w:rPr>
          <w:rFonts w:cs="Times New Roman"/>
          <w:noProof/>
          <w:lang w:val="cs-CZ"/>
        </w:rPr>
        <w:drawing>
          <wp:inline distT="0" distB="0" distL="0" distR="0" wp14:anchorId="1C89C5C1" wp14:editId="6C743C0D">
            <wp:extent cx="5206365" cy="2743200"/>
            <wp:effectExtent l="0" t="0" r="13335" b="0"/>
            <wp:docPr id="113" name="Graf 113">
              <a:extLst xmlns:a="http://schemas.openxmlformats.org/drawingml/2006/main">
                <a:ext uri="{FF2B5EF4-FFF2-40B4-BE49-F238E27FC236}">
                  <a16:creationId xmlns:a16="http://schemas.microsoft.com/office/drawing/2014/main" id="{ADD0761F-535A-40CA-BB59-04C013EADB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14:paraId="1AB294AE" w14:textId="77777777" w:rsidR="00A16DDB" w:rsidRPr="00D95127" w:rsidRDefault="00A16DDB" w:rsidP="00A37B3C">
      <w:pPr>
        <w:pStyle w:val="UZEIZdroj"/>
        <w:rPr>
          <w:i w:val="0"/>
          <w:iCs w:val="0"/>
          <w:sz w:val="16"/>
          <w:szCs w:val="16"/>
        </w:rPr>
      </w:pPr>
      <w:r w:rsidRPr="00D95127">
        <w:t>Zdroj: Celní statistika MZe</w:t>
      </w:r>
    </w:p>
    <w:p w14:paraId="4FFEA25D" w14:textId="77777777" w:rsidR="00A16DDB" w:rsidRPr="00D95127" w:rsidRDefault="00A16DDB" w:rsidP="00A16DDB">
      <w:pPr>
        <w:rPr>
          <w:rFonts w:cs="Times New Roman"/>
          <w:i/>
          <w:iCs/>
          <w:sz w:val="16"/>
          <w:szCs w:val="16"/>
          <w:lang w:val="cs-CZ"/>
        </w:rPr>
      </w:pPr>
    </w:p>
    <w:p w14:paraId="76A7AABD" w14:textId="77777777" w:rsidR="00A16DDB" w:rsidRPr="00D95127" w:rsidRDefault="00A16DDB" w:rsidP="00A16DDB">
      <w:pPr>
        <w:rPr>
          <w:rFonts w:cs="Times New Roman"/>
          <w:i/>
          <w:iCs/>
          <w:sz w:val="16"/>
          <w:szCs w:val="16"/>
          <w:lang w:val="cs-CZ"/>
        </w:rPr>
      </w:pPr>
    </w:p>
    <w:p w14:paraId="329C9938" w14:textId="77777777" w:rsidR="00A37B3C" w:rsidRDefault="00A37B3C">
      <w:pPr>
        <w:spacing w:after="160" w:line="259" w:lineRule="auto"/>
        <w:jc w:val="left"/>
        <w:rPr>
          <w:rFonts w:eastAsia="Times New Roman" w:cs="Arial"/>
          <w:b/>
          <w:color w:val="000000" w:themeColor="text1"/>
          <w:sz w:val="20"/>
          <w:szCs w:val="20"/>
          <w:lang w:val="cs-CZ" w:eastAsia="cs-CZ"/>
        </w:rPr>
      </w:pPr>
      <w:r>
        <w:br w:type="page"/>
      </w:r>
    </w:p>
    <w:p w14:paraId="194E1683" w14:textId="7A51E3C9" w:rsidR="00A16DDB" w:rsidRPr="00467D08" w:rsidRDefault="00A16DDB" w:rsidP="00467D08">
      <w:pPr>
        <w:pStyle w:val="UZEITaB"/>
      </w:pPr>
      <w:bookmarkStart w:id="734" w:name="_Toc81738503"/>
      <w:r w:rsidRPr="00467D08">
        <w:t>Zahraniční obchod - lněná semena, kromě semen k setí – hlavní obchodní partneři</w:t>
      </w:r>
      <w:bookmarkEnd w:id="734"/>
    </w:p>
    <w:p w14:paraId="357D10DC" w14:textId="04D470F3" w:rsidR="00A16DDB" w:rsidRPr="00D95127" w:rsidRDefault="00A16DDB" w:rsidP="00A16DDB">
      <w:pPr>
        <w:rPr>
          <w:rFonts w:cs="Times New Roman"/>
          <w:i/>
          <w:iCs/>
          <w:sz w:val="16"/>
          <w:szCs w:val="16"/>
          <w:lang w:val="cs-CZ"/>
        </w:rPr>
      </w:pPr>
      <w:r w:rsidRPr="00D95127">
        <w:rPr>
          <w:rFonts w:cs="Times New Roman"/>
          <w:noProof/>
          <w:lang w:val="cs-CZ"/>
        </w:rPr>
        <w:drawing>
          <wp:inline distT="0" distB="0" distL="0" distR="0" wp14:anchorId="4230AEBE" wp14:editId="60AC77C7">
            <wp:extent cx="5158854" cy="4879340"/>
            <wp:effectExtent l="0" t="0" r="0" b="0"/>
            <wp:docPr id="124" name="Obrázek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160240" cy="4880651"/>
                    </a:xfrm>
                    <a:prstGeom prst="rect">
                      <a:avLst/>
                    </a:prstGeom>
                    <a:noFill/>
                    <a:ln>
                      <a:noFill/>
                    </a:ln>
                  </pic:spPr>
                </pic:pic>
              </a:graphicData>
            </a:graphic>
          </wp:inline>
        </w:drawing>
      </w:r>
    </w:p>
    <w:p w14:paraId="19FC9A45" w14:textId="77777777" w:rsidR="00A16DDB" w:rsidRPr="00D95127" w:rsidRDefault="00A16DDB" w:rsidP="00A16DDB">
      <w:pPr>
        <w:rPr>
          <w:rFonts w:cs="Times New Roman"/>
          <w:i/>
          <w:iCs/>
          <w:sz w:val="16"/>
          <w:szCs w:val="16"/>
          <w:lang w:val="cs-CZ"/>
        </w:rPr>
      </w:pPr>
    </w:p>
    <w:p w14:paraId="0AB71473" w14:textId="4AE10557" w:rsidR="00A16DDB" w:rsidRPr="00D95127" w:rsidRDefault="00A16DDB" w:rsidP="00A37B3C">
      <w:pPr>
        <w:pStyle w:val="UZEITaB"/>
      </w:pPr>
      <w:r>
        <w:t xml:space="preserve"> </w:t>
      </w:r>
      <w:bookmarkStart w:id="735" w:name="_Toc81738504"/>
      <w:r w:rsidRPr="00D95127">
        <w:t>Zahraniční obchod - Len ostatní</w:t>
      </w:r>
      <w:bookmarkEnd w:id="735"/>
    </w:p>
    <w:tbl>
      <w:tblPr>
        <w:tblW w:w="9600" w:type="dxa"/>
        <w:tblCellMar>
          <w:left w:w="70" w:type="dxa"/>
          <w:right w:w="70" w:type="dxa"/>
        </w:tblCellMar>
        <w:tblLook w:val="04A0" w:firstRow="1" w:lastRow="0" w:firstColumn="1" w:lastColumn="0" w:noHBand="0" w:noVBand="1"/>
      </w:tblPr>
      <w:tblGrid>
        <w:gridCol w:w="960"/>
        <w:gridCol w:w="960"/>
        <w:gridCol w:w="960"/>
        <w:gridCol w:w="960"/>
        <w:gridCol w:w="960"/>
        <w:gridCol w:w="960"/>
        <w:gridCol w:w="960"/>
        <w:gridCol w:w="960"/>
        <w:gridCol w:w="960"/>
        <w:gridCol w:w="960"/>
      </w:tblGrid>
      <w:tr w:rsidR="00A16DDB" w:rsidRPr="00D95127" w14:paraId="532134D8" w14:textId="77777777" w:rsidTr="007A627A">
        <w:trPr>
          <w:trHeight w:val="270"/>
        </w:trPr>
        <w:tc>
          <w:tcPr>
            <w:tcW w:w="960" w:type="dxa"/>
            <w:vMerge w:val="restart"/>
            <w:tcBorders>
              <w:top w:val="single" w:sz="12" w:space="0" w:color="00B050"/>
              <w:left w:val="single" w:sz="12" w:space="0" w:color="00B050"/>
              <w:bottom w:val="nil"/>
              <w:right w:val="single" w:sz="12" w:space="0" w:color="00B050"/>
            </w:tcBorders>
            <w:shd w:val="clear" w:color="000000" w:fill="00B050"/>
            <w:vAlign w:val="center"/>
            <w:hideMark/>
          </w:tcPr>
          <w:p w14:paraId="2C9828EA"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Rok</w:t>
            </w:r>
          </w:p>
        </w:tc>
        <w:tc>
          <w:tcPr>
            <w:tcW w:w="2880" w:type="dxa"/>
            <w:gridSpan w:val="3"/>
            <w:tcBorders>
              <w:top w:val="single" w:sz="12" w:space="0" w:color="00B050"/>
              <w:left w:val="nil"/>
              <w:bottom w:val="nil"/>
              <w:right w:val="single" w:sz="12" w:space="0" w:color="00B050"/>
            </w:tcBorders>
            <w:shd w:val="clear" w:color="000000" w:fill="00B050"/>
            <w:vAlign w:val="center"/>
            <w:hideMark/>
          </w:tcPr>
          <w:p w14:paraId="64666821"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Vývoz</w:t>
            </w:r>
          </w:p>
        </w:tc>
        <w:tc>
          <w:tcPr>
            <w:tcW w:w="2880" w:type="dxa"/>
            <w:gridSpan w:val="3"/>
            <w:tcBorders>
              <w:top w:val="single" w:sz="12" w:space="0" w:color="00B050"/>
              <w:left w:val="nil"/>
              <w:bottom w:val="nil"/>
              <w:right w:val="nil"/>
            </w:tcBorders>
            <w:shd w:val="clear" w:color="000000" w:fill="00B050"/>
            <w:vAlign w:val="center"/>
            <w:hideMark/>
          </w:tcPr>
          <w:p w14:paraId="47B5B2FF"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Dovoz</w:t>
            </w:r>
          </w:p>
        </w:tc>
        <w:tc>
          <w:tcPr>
            <w:tcW w:w="2880" w:type="dxa"/>
            <w:gridSpan w:val="3"/>
            <w:tcBorders>
              <w:top w:val="single" w:sz="12" w:space="0" w:color="00B050"/>
              <w:left w:val="nil"/>
              <w:bottom w:val="nil"/>
              <w:right w:val="single" w:sz="12" w:space="0" w:color="00B050"/>
            </w:tcBorders>
            <w:shd w:val="clear" w:color="000000" w:fill="00B050"/>
            <w:vAlign w:val="center"/>
            <w:hideMark/>
          </w:tcPr>
          <w:p w14:paraId="20A0C7E4"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Saldo</w:t>
            </w:r>
          </w:p>
        </w:tc>
      </w:tr>
      <w:tr w:rsidR="00A16DDB" w:rsidRPr="00D95127" w14:paraId="1047207D" w14:textId="77777777" w:rsidTr="007A627A">
        <w:trPr>
          <w:trHeight w:val="270"/>
        </w:trPr>
        <w:tc>
          <w:tcPr>
            <w:tcW w:w="960" w:type="dxa"/>
            <w:vMerge/>
            <w:tcBorders>
              <w:top w:val="single" w:sz="12" w:space="0" w:color="00B050"/>
              <w:left w:val="single" w:sz="12" w:space="0" w:color="00B050"/>
              <w:bottom w:val="nil"/>
              <w:right w:val="single" w:sz="12" w:space="0" w:color="00B050"/>
            </w:tcBorders>
            <w:vAlign w:val="center"/>
            <w:hideMark/>
          </w:tcPr>
          <w:p w14:paraId="3BF51318" w14:textId="77777777" w:rsidR="00A16DDB" w:rsidRPr="00A37B3C" w:rsidRDefault="00A16DDB" w:rsidP="007A627A">
            <w:pPr>
              <w:rPr>
                <w:rFonts w:eastAsia="Times New Roman" w:cs="Times New Roman"/>
                <w:b/>
                <w:color w:val="FFFFFF"/>
                <w:sz w:val="22"/>
                <w:lang w:val="cs-CZ" w:eastAsia="cs-CZ"/>
              </w:rPr>
            </w:pPr>
          </w:p>
        </w:tc>
        <w:tc>
          <w:tcPr>
            <w:tcW w:w="960" w:type="dxa"/>
            <w:tcBorders>
              <w:top w:val="nil"/>
              <w:left w:val="nil"/>
              <w:bottom w:val="nil"/>
              <w:right w:val="nil"/>
            </w:tcBorders>
            <w:shd w:val="clear" w:color="000000" w:fill="00B050"/>
            <w:vAlign w:val="center"/>
            <w:hideMark/>
          </w:tcPr>
          <w:p w14:paraId="43EA4447"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tun</w:t>
            </w:r>
          </w:p>
        </w:tc>
        <w:tc>
          <w:tcPr>
            <w:tcW w:w="960" w:type="dxa"/>
            <w:tcBorders>
              <w:top w:val="nil"/>
              <w:left w:val="nil"/>
              <w:bottom w:val="nil"/>
              <w:right w:val="nil"/>
            </w:tcBorders>
            <w:shd w:val="clear" w:color="000000" w:fill="00B050"/>
            <w:vAlign w:val="center"/>
            <w:hideMark/>
          </w:tcPr>
          <w:p w14:paraId="0D4A395A"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mil. Kč</w:t>
            </w:r>
          </w:p>
        </w:tc>
        <w:tc>
          <w:tcPr>
            <w:tcW w:w="960" w:type="dxa"/>
            <w:tcBorders>
              <w:top w:val="nil"/>
              <w:left w:val="nil"/>
              <w:bottom w:val="nil"/>
              <w:right w:val="single" w:sz="12" w:space="0" w:color="00B050"/>
            </w:tcBorders>
            <w:shd w:val="clear" w:color="000000" w:fill="00B050"/>
            <w:vAlign w:val="center"/>
            <w:hideMark/>
          </w:tcPr>
          <w:p w14:paraId="7386F833"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Kč/kg</w:t>
            </w:r>
          </w:p>
        </w:tc>
        <w:tc>
          <w:tcPr>
            <w:tcW w:w="960" w:type="dxa"/>
            <w:tcBorders>
              <w:top w:val="nil"/>
              <w:left w:val="nil"/>
              <w:bottom w:val="nil"/>
              <w:right w:val="nil"/>
            </w:tcBorders>
            <w:shd w:val="clear" w:color="000000" w:fill="00B050"/>
            <w:vAlign w:val="center"/>
            <w:hideMark/>
          </w:tcPr>
          <w:p w14:paraId="1BECB9CF"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tun</w:t>
            </w:r>
          </w:p>
        </w:tc>
        <w:tc>
          <w:tcPr>
            <w:tcW w:w="960" w:type="dxa"/>
            <w:tcBorders>
              <w:top w:val="nil"/>
              <w:left w:val="nil"/>
              <w:bottom w:val="nil"/>
              <w:right w:val="nil"/>
            </w:tcBorders>
            <w:shd w:val="clear" w:color="000000" w:fill="00B050"/>
            <w:vAlign w:val="center"/>
            <w:hideMark/>
          </w:tcPr>
          <w:p w14:paraId="63A108A6"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mil. Kč</w:t>
            </w:r>
          </w:p>
        </w:tc>
        <w:tc>
          <w:tcPr>
            <w:tcW w:w="960" w:type="dxa"/>
            <w:tcBorders>
              <w:top w:val="nil"/>
              <w:left w:val="nil"/>
              <w:bottom w:val="nil"/>
              <w:right w:val="nil"/>
            </w:tcBorders>
            <w:shd w:val="clear" w:color="000000" w:fill="00B050"/>
            <w:vAlign w:val="center"/>
            <w:hideMark/>
          </w:tcPr>
          <w:p w14:paraId="33D5A8F7"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Kč/kg</w:t>
            </w:r>
          </w:p>
        </w:tc>
        <w:tc>
          <w:tcPr>
            <w:tcW w:w="960" w:type="dxa"/>
            <w:tcBorders>
              <w:top w:val="nil"/>
              <w:left w:val="nil"/>
              <w:bottom w:val="nil"/>
              <w:right w:val="nil"/>
            </w:tcBorders>
            <w:shd w:val="clear" w:color="000000" w:fill="00B050"/>
            <w:vAlign w:val="center"/>
            <w:hideMark/>
          </w:tcPr>
          <w:p w14:paraId="26BFCB59"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tun</w:t>
            </w:r>
          </w:p>
        </w:tc>
        <w:tc>
          <w:tcPr>
            <w:tcW w:w="960" w:type="dxa"/>
            <w:tcBorders>
              <w:top w:val="nil"/>
              <w:left w:val="nil"/>
              <w:bottom w:val="nil"/>
              <w:right w:val="nil"/>
            </w:tcBorders>
            <w:shd w:val="clear" w:color="000000" w:fill="00B050"/>
            <w:vAlign w:val="center"/>
            <w:hideMark/>
          </w:tcPr>
          <w:p w14:paraId="26E8D0FA"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mil. Kč</w:t>
            </w:r>
          </w:p>
        </w:tc>
        <w:tc>
          <w:tcPr>
            <w:tcW w:w="960" w:type="dxa"/>
            <w:tcBorders>
              <w:top w:val="nil"/>
              <w:left w:val="nil"/>
              <w:bottom w:val="nil"/>
              <w:right w:val="single" w:sz="12" w:space="0" w:color="00B050"/>
            </w:tcBorders>
            <w:shd w:val="clear" w:color="000000" w:fill="00B050"/>
            <w:vAlign w:val="center"/>
            <w:hideMark/>
          </w:tcPr>
          <w:p w14:paraId="4CA5D0C6"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Kč/kg</w:t>
            </w:r>
          </w:p>
        </w:tc>
      </w:tr>
      <w:tr w:rsidR="00A16DDB" w:rsidRPr="00D95127" w14:paraId="0C4D4821" w14:textId="77777777" w:rsidTr="007A627A">
        <w:trPr>
          <w:trHeight w:val="270"/>
        </w:trPr>
        <w:tc>
          <w:tcPr>
            <w:tcW w:w="960" w:type="dxa"/>
            <w:tcBorders>
              <w:top w:val="single" w:sz="12" w:space="0" w:color="00B050"/>
              <w:left w:val="single" w:sz="12" w:space="0" w:color="00B050"/>
              <w:bottom w:val="single" w:sz="4" w:space="0" w:color="000000"/>
              <w:right w:val="single" w:sz="12" w:space="0" w:color="00B050"/>
            </w:tcBorders>
            <w:shd w:val="clear" w:color="auto" w:fill="auto"/>
            <w:vAlign w:val="center"/>
            <w:hideMark/>
          </w:tcPr>
          <w:p w14:paraId="13B605BF"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2014</w:t>
            </w:r>
          </w:p>
        </w:tc>
        <w:tc>
          <w:tcPr>
            <w:tcW w:w="960" w:type="dxa"/>
            <w:tcBorders>
              <w:top w:val="single" w:sz="12" w:space="0" w:color="00B050"/>
              <w:left w:val="nil"/>
              <w:bottom w:val="single" w:sz="4" w:space="0" w:color="auto"/>
              <w:right w:val="nil"/>
            </w:tcBorders>
            <w:shd w:val="clear" w:color="auto" w:fill="auto"/>
            <w:vAlign w:val="center"/>
            <w:hideMark/>
          </w:tcPr>
          <w:p w14:paraId="49073BEA"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120,63</w:t>
            </w:r>
          </w:p>
        </w:tc>
        <w:tc>
          <w:tcPr>
            <w:tcW w:w="960" w:type="dxa"/>
            <w:tcBorders>
              <w:top w:val="single" w:sz="12" w:space="0" w:color="00B050"/>
              <w:left w:val="single" w:sz="4" w:space="0" w:color="00B050"/>
              <w:bottom w:val="single" w:sz="4" w:space="0" w:color="auto"/>
              <w:right w:val="single" w:sz="4" w:space="0" w:color="00B050"/>
            </w:tcBorders>
            <w:shd w:val="clear" w:color="auto" w:fill="auto"/>
            <w:vAlign w:val="center"/>
            <w:hideMark/>
          </w:tcPr>
          <w:p w14:paraId="35925D72"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5 620</w:t>
            </w:r>
          </w:p>
        </w:tc>
        <w:tc>
          <w:tcPr>
            <w:tcW w:w="960" w:type="dxa"/>
            <w:tcBorders>
              <w:top w:val="single" w:sz="12" w:space="0" w:color="00B050"/>
              <w:left w:val="nil"/>
              <w:bottom w:val="single" w:sz="4" w:space="0" w:color="auto"/>
              <w:right w:val="single" w:sz="12" w:space="0" w:color="00B050"/>
            </w:tcBorders>
            <w:shd w:val="clear" w:color="auto" w:fill="auto"/>
            <w:vAlign w:val="center"/>
            <w:hideMark/>
          </w:tcPr>
          <w:p w14:paraId="4B17A54C"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46,59</w:t>
            </w:r>
          </w:p>
        </w:tc>
        <w:tc>
          <w:tcPr>
            <w:tcW w:w="960" w:type="dxa"/>
            <w:tcBorders>
              <w:top w:val="single" w:sz="12" w:space="0" w:color="00B050"/>
              <w:left w:val="nil"/>
              <w:bottom w:val="single" w:sz="4" w:space="0" w:color="auto"/>
              <w:right w:val="nil"/>
            </w:tcBorders>
            <w:shd w:val="clear" w:color="auto" w:fill="auto"/>
            <w:vAlign w:val="center"/>
            <w:hideMark/>
          </w:tcPr>
          <w:p w14:paraId="652D2801"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2 979</w:t>
            </w:r>
          </w:p>
        </w:tc>
        <w:tc>
          <w:tcPr>
            <w:tcW w:w="960" w:type="dxa"/>
            <w:tcBorders>
              <w:top w:val="single" w:sz="12" w:space="0" w:color="00B050"/>
              <w:left w:val="single" w:sz="4" w:space="0" w:color="00B050"/>
              <w:bottom w:val="single" w:sz="4" w:space="0" w:color="auto"/>
              <w:right w:val="single" w:sz="4" w:space="0" w:color="00B050"/>
            </w:tcBorders>
            <w:shd w:val="clear" w:color="auto" w:fill="auto"/>
            <w:vAlign w:val="center"/>
            <w:hideMark/>
          </w:tcPr>
          <w:p w14:paraId="10648E93"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51 581</w:t>
            </w:r>
          </w:p>
        </w:tc>
        <w:tc>
          <w:tcPr>
            <w:tcW w:w="960" w:type="dxa"/>
            <w:tcBorders>
              <w:top w:val="single" w:sz="12" w:space="0" w:color="00B050"/>
              <w:left w:val="nil"/>
              <w:bottom w:val="single" w:sz="4" w:space="0" w:color="auto"/>
              <w:right w:val="single" w:sz="12" w:space="0" w:color="00B050"/>
            </w:tcBorders>
            <w:shd w:val="clear" w:color="auto" w:fill="auto"/>
            <w:vAlign w:val="center"/>
            <w:hideMark/>
          </w:tcPr>
          <w:p w14:paraId="7CBE5991"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17,32</w:t>
            </w:r>
          </w:p>
        </w:tc>
        <w:tc>
          <w:tcPr>
            <w:tcW w:w="960" w:type="dxa"/>
            <w:tcBorders>
              <w:top w:val="single" w:sz="12" w:space="0" w:color="00B050"/>
              <w:left w:val="nil"/>
              <w:bottom w:val="single" w:sz="4" w:space="0" w:color="auto"/>
              <w:right w:val="nil"/>
            </w:tcBorders>
            <w:shd w:val="clear" w:color="auto" w:fill="auto"/>
            <w:vAlign w:val="center"/>
            <w:hideMark/>
          </w:tcPr>
          <w:p w14:paraId="2D7F0A69"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-2 858</w:t>
            </w:r>
          </w:p>
        </w:tc>
        <w:tc>
          <w:tcPr>
            <w:tcW w:w="960" w:type="dxa"/>
            <w:tcBorders>
              <w:top w:val="single" w:sz="12" w:space="0" w:color="00B050"/>
              <w:left w:val="single" w:sz="4" w:space="0" w:color="00B050"/>
              <w:bottom w:val="single" w:sz="4" w:space="0" w:color="auto"/>
              <w:right w:val="single" w:sz="4" w:space="0" w:color="00B050"/>
            </w:tcBorders>
            <w:shd w:val="clear" w:color="auto" w:fill="auto"/>
            <w:vAlign w:val="center"/>
            <w:hideMark/>
          </w:tcPr>
          <w:p w14:paraId="7DBF25FF"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-45 961</w:t>
            </w:r>
          </w:p>
        </w:tc>
        <w:tc>
          <w:tcPr>
            <w:tcW w:w="960" w:type="dxa"/>
            <w:tcBorders>
              <w:top w:val="single" w:sz="12" w:space="0" w:color="00B050"/>
              <w:left w:val="nil"/>
              <w:bottom w:val="single" w:sz="4" w:space="0" w:color="auto"/>
              <w:right w:val="single" w:sz="12" w:space="0" w:color="00B050"/>
            </w:tcBorders>
            <w:shd w:val="clear" w:color="auto" w:fill="auto"/>
            <w:vAlign w:val="center"/>
            <w:hideMark/>
          </w:tcPr>
          <w:p w14:paraId="2921AF42"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29,27</w:t>
            </w:r>
          </w:p>
        </w:tc>
      </w:tr>
      <w:tr w:rsidR="00A16DDB" w:rsidRPr="00D95127" w14:paraId="11861BD5" w14:textId="77777777" w:rsidTr="007A627A">
        <w:trPr>
          <w:trHeight w:val="255"/>
        </w:trPr>
        <w:tc>
          <w:tcPr>
            <w:tcW w:w="960" w:type="dxa"/>
            <w:tcBorders>
              <w:top w:val="nil"/>
              <w:left w:val="single" w:sz="12" w:space="0" w:color="00B050"/>
              <w:bottom w:val="single" w:sz="4" w:space="0" w:color="000000"/>
              <w:right w:val="single" w:sz="12" w:space="0" w:color="00B050"/>
            </w:tcBorders>
            <w:shd w:val="clear" w:color="auto" w:fill="auto"/>
            <w:vAlign w:val="center"/>
            <w:hideMark/>
          </w:tcPr>
          <w:p w14:paraId="0BD4C29A"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2015</w:t>
            </w:r>
          </w:p>
        </w:tc>
        <w:tc>
          <w:tcPr>
            <w:tcW w:w="960" w:type="dxa"/>
            <w:tcBorders>
              <w:top w:val="nil"/>
              <w:left w:val="nil"/>
              <w:bottom w:val="single" w:sz="4" w:space="0" w:color="auto"/>
              <w:right w:val="nil"/>
            </w:tcBorders>
            <w:shd w:val="clear" w:color="auto" w:fill="auto"/>
            <w:vAlign w:val="center"/>
            <w:hideMark/>
          </w:tcPr>
          <w:p w14:paraId="7C3A52A7"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10,19</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6481C029"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279</w:t>
            </w:r>
          </w:p>
        </w:tc>
        <w:tc>
          <w:tcPr>
            <w:tcW w:w="960" w:type="dxa"/>
            <w:tcBorders>
              <w:top w:val="nil"/>
              <w:left w:val="nil"/>
              <w:bottom w:val="single" w:sz="4" w:space="0" w:color="auto"/>
              <w:right w:val="single" w:sz="12" w:space="0" w:color="00B050"/>
            </w:tcBorders>
            <w:shd w:val="clear" w:color="auto" w:fill="auto"/>
            <w:vAlign w:val="center"/>
            <w:hideMark/>
          </w:tcPr>
          <w:p w14:paraId="60B5C986"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27,38</w:t>
            </w:r>
          </w:p>
        </w:tc>
        <w:tc>
          <w:tcPr>
            <w:tcW w:w="960" w:type="dxa"/>
            <w:tcBorders>
              <w:top w:val="nil"/>
              <w:left w:val="nil"/>
              <w:bottom w:val="single" w:sz="4" w:space="0" w:color="auto"/>
              <w:right w:val="nil"/>
            </w:tcBorders>
            <w:shd w:val="clear" w:color="auto" w:fill="auto"/>
            <w:vAlign w:val="center"/>
            <w:hideMark/>
          </w:tcPr>
          <w:p w14:paraId="3900F159"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2 861</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7437AABC"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55 387</w:t>
            </w:r>
          </w:p>
        </w:tc>
        <w:tc>
          <w:tcPr>
            <w:tcW w:w="960" w:type="dxa"/>
            <w:tcBorders>
              <w:top w:val="nil"/>
              <w:left w:val="nil"/>
              <w:bottom w:val="single" w:sz="4" w:space="0" w:color="auto"/>
              <w:right w:val="single" w:sz="12" w:space="0" w:color="00B050"/>
            </w:tcBorders>
            <w:shd w:val="clear" w:color="auto" w:fill="auto"/>
            <w:vAlign w:val="center"/>
            <w:hideMark/>
          </w:tcPr>
          <w:p w14:paraId="169DF279"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19,36</w:t>
            </w:r>
          </w:p>
        </w:tc>
        <w:tc>
          <w:tcPr>
            <w:tcW w:w="960" w:type="dxa"/>
            <w:tcBorders>
              <w:top w:val="nil"/>
              <w:left w:val="nil"/>
              <w:bottom w:val="single" w:sz="4" w:space="0" w:color="auto"/>
              <w:right w:val="nil"/>
            </w:tcBorders>
            <w:shd w:val="clear" w:color="auto" w:fill="auto"/>
            <w:vAlign w:val="center"/>
            <w:hideMark/>
          </w:tcPr>
          <w:p w14:paraId="446BCF51"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-2 851</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76FD3B93"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-55 108</w:t>
            </w:r>
          </w:p>
        </w:tc>
        <w:tc>
          <w:tcPr>
            <w:tcW w:w="960" w:type="dxa"/>
            <w:tcBorders>
              <w:top w:val="nil"/>
              <w:left w:val="nil"/>
              <w:bottom w:val="single" w:sz="4" w:space="0" w:color="auto"/>
              <w:right w:val="single" w:sz="12" w:space="0" w:color="00B050"/>
            </w:tcBorders>
            <w:shd w:val="clear" w:color="auto" w:fill="auto"/>
            <w:vAlign w:val="center"/>
            <w:hideMark/>
          </w:tcPr>
          <w:p w14:paraId="6BE37ED8"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8,02</w:t>
            </w:r>
          </w:p>
        </w:tc>
      </w:tr>
      <w:tr w:rsidR="00A16DDB" w:rsidRPr="00D95127" w14:paraId="5783558F" w14:textId="77777777" w:rsidTr="007A627A">
        <w:trPr>
          <w:trHeight w:val="255"/>
        </w:trPr>
        <w:tc>
          <w:tcPr>
            <w:tcW w:w="960" w:type="dxa"/>
            <w:tcBorders>
              <w:top w:val="nil"/>
              <w:left w:val="single" w:sz="12" w:space="0" w:color="00B050"/>
              <w:bottom w:val="single" w:sz="4" w:space="0" w:color="000000"/>
              <w:right w:val="single" w:sz="12" w:space="0" w:color="00B050"/>
            </w:tcBorders>
            <w:shd w:val="clear" w:color="auto" w:fill="auto"/>
            <w:vAlign w:val="center"/>
            <w:hideMark/>
          </w:tcPr>
          <w:p w14:paraId="60E67B7D"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2016</w:t>
            </w:r>
          </w:p>
        </w:tc>
        <w:tc>
          <w:tcPr>
            <w:tcW w:w="960" w:type="dxa"/>
            <w:tcBorders>
              <w:top w:val="nil"/>
              <w:left w:val="nil"/>
              <w:bottom w:val="single" w:sz="4" w:space="0" w:color="auto"/>
              <w:right w:val="nil"/>
            </w:tcBorders>
            <w:shd w:val="clear" w:color="auto" w:fill="auto"/>
            <w:vAlign w:val="center"/>
            <w:hideMark/>
          </w:tcPr>
          <w:p w14:paraId="051C64B2"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2,03</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2D4FC4ED"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144</w:t>
            </w:r>
          </w:p>
        </w:tc>
        <w:tc>
          <w:tcPr>
            <w:tcW w:w="960" w:type="dxa"/>
            <w:tcBorders>
              <w:top w:val="nil"/>
              <w:left w:val="nil"/>
              <w:bottom w:val="single" w:sz="4" w:space="0" w:color="auto"/>
              <w:right w:val="single" w:sz="12" w:space="0" w:color="00B050"/>
            </w:tcBorders>
            <w:shd w:val="clear" w:color="auto" w:fill="auto"/>
            <w:vAlign w:val="center"/>
            <w:hideMark/>
          </w:tcPr>
          <w:p w14:paraId="68427DC7"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71,00</w:t>
            </w:r>
          </w:p>
        </w:tc>
        <w:tc>
          <w:tcPr>
            <w:tcW w:w="960" w:type="dxa"/>
            <w:tcBorders>
              <w:top w:val="nil"/>
              <w:left w:val="nil"/>
              <w:bottom w:val="single" w:sz="4" w:space="0" w:color="auto"/>
              <w:right w:val="nil"/>
            </w:tcBorders>
            <w:shd w:val="clear" w:color="auto" w:fill="auto"/>
            <w:vAlign w:val="center"/>
            <w:hideMark/>
          </w:tcPr>
          <w:p w14:paraId="59E038A6"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3 885</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09EA0DBA"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71 350</w:t>
            </w:r>
          </w:p>
        </w:tc>
        <w:tc>
          <w:tcPr>
            <w:tcW w:w="960" w:type="dxa"/>
            <w:tcBorders>
              <w:top w:val="nil"/>
              <w:left w:val="nil"/>
              <w:bottom w:val="single" w:sz="4" w:space="0" w:color="auto"/>
              <w:right w:val="single" w:sz="12" w:space="0" w:color="00B050"/>
            </w:tcBorders>
            <w:shd w:val="clear" w:color="auto" w:fill="auto"/>
            <w:vAlign w:val="center"/>
            <w:hideMark/>
          </w:tcPr>
          <w:p w14:paraId="731D4EBE"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18,37</w:t>
            </w:r>
          </w:p>
        </w:tc>
        <w:tc>
          <w:tcPr>
            <w:tcW w:w="960" w:type="dxa"/>
            <w:tcBorders>
              <w:top w:val="nil"/>
              <w:left w:val="nil"/>
              <w:bottom w:val="single" w:sz="4" w:space="0" w:color="auto"/>
              <w:right w:val="nil"/>
            </w:tcBorders>
            <w:shd w:val="clear" w:color="auto" w:fill="auto"/>
            <w:vAlign w:val="center"/>
            <w:hideMark/>
          </w:tcPr>
          <w:p w14:paraId="4662B560"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-3 883</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53D50282"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-71 206</w:t>
            </w:r>
          </w:p>
        </w:tc>
        <w:tc>
          <w:tcPr>
            <w:tcW w:w="960" w:type="dxa"/>
            <w:tcBorders>
              <w:top w:val="nil"/>
              <w:left w:val="nil"/>
              <w:bottom w:val="single" w:sz="4" w:space="0" w:color="auto"/>
              <w:right w:val="single" w:sz="12" w:space="0" w:color="00B050"/>
            </w:tcBorders>
            <w:shd w:val="clear" w:color="auto" w:fill="auto"/>
            <w:vAlign w:val="center"/>
            <w:hideMark/>
          </w:tcPr>
          <w:p w14:paraId="2DCE1EE0"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52,63</w:t>
            </w:r>
          </w:p>
        </w:tc>
      </w:tr>
      <w:tr w:rsidR="00A16DDB" w:rsidRPr="00D95127" w14:paraId="0A208B99" w14:textId="77777777" w:rsidTr="007A627A">
        <w:trPr>
          <w:trHeight w:val="255"/>
        </w:trPr>
        <w:tc>
          <w:tcPr>
            <w:tcW w:w="960" w:type="dxa"/>
            <w:tcBorders>
              <w:top w:val="nil"/>
              <w:left w:val="single" w:sz="12" w:space="0" w:color="00B050"/>
              <w:bottom w:val="single" w:sz="4" w:space="0" w:color="000000"/>
              <w:right w:val="single" w:sz="12" w:space="0" w:color="00B050"/>
            </w:tcBorders>
            <w:shd w:val="clear" w:color="auto" w:fill="auto"/>
            <w:vAlign w:val="center"/>
            <w:hideMark/>
          </w:tcPr>
          <w:p w14:paraId="64763526"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2017</w:t>
            </w:r>
          </w:p>
        </w:tc>
        <w:tc>
          <w:tcPr>
            <w:tcW w:w="960" w:type="dxa"/>
            <w:tcBorders>
              <w:top w:val="nil"/>
              <w:left w:val="nil"/>
              <w:bottom w:val="single" w:sz="4" w:space="0" w:color="auto"/>
              <w:right w:val="nil"/>
            </w:tcBorders>
            <w:shd w:val="clear" w:color="auto" w:fill="auto"/>
            <w:vAlign w:val="center"/>
            <w:hideMark/>
          </w:tcPr>
          <w:p w14:paraId="25E1E9B8"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1,63</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66CFF56F"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164</w:t>
            </w:r>
          </w:p>
        </w:tc>
        <w:tc>
          <w:tcPr>
            <w:tcW w:w="960" w:type="dxa"/>
            <w:tcBorders>
              <w:top w:val="nil"/>
              <w:left w:val="nil"/>
              <w:bottom w:val="single" w:sz="4" w:space="0" w:color="auto"/>
              <w:right w:val="single" w:sz="12" w:space="0" w:color="00B050"/>
            </w:tcBorders>
            <w:shd w:val="clear" w:color="auto" w:fill="auto"/>
            <w:vAlign w:val="center"/>
            <w:hideMark/>
          </w:tcPr>
          <w:p w14:paraId="53078900"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100,88</w:t>
            </w:r>
          </w:p>
        </w:tc>
        <w:tc>
          <w:tcPr>
            <w:tcW w:w="960" w:type="dxa"/>
            <w:tcBorders>
              <w:top w:val="nil"/>
              <w:left w:val="nil"/>
              <w:bottom w:val="single" w:sz="4" w:space="0" w:color="auto"/>
              <w:right w:val="nil"/>
            </w:tcBorders>
            <w:shd w:val="clear" w:color="auto" w:fill="auto"/>
            <w:vAlign w:val="center"/>
            <w:hideMark/>
          </w:tcPr>
          <w:p w14:paraId="631FB17F"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4 373</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51E92F93"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65 453</w:t>
            </w:r>
          </w:p>
        </w:tc>
        <w:tc>
          <w:tcPr>
            <w:tcW w:w="960" w:type="dxa"/>
            <w:tcBorders>
              <w:top w:val="nil"/>
              <w:left w:val="nil"/>
              <w:bottom w:val="single" w:sz="4" w:space="0" w:color="auto"/>
              <w:right w:val="single" w:sz="12" w:space="0" w:color="00B050"/>
            </w:tcBorders>
            <w:shd w:val="clear" w:color="auto" w:fill="auto"/>
            <w:vAlign w:val="center"/>
            <w:hideMark/>
          </w:tcPr>
          <w:p w14:paraId="79D2FD74"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14,97</w:t>
            </w:r>
          </w:p>
        </w:tc>
        <w:tc>
          <w:tcPr>
            <w:tcW w:w="960" w:type="dxa"/>
            <w:tcBorders>
              <w:top w:val="nil"/>
              <w:left w:val="nil"/>
              <w:bottom w:val="single" w:sz="4" w:space="0" w:color="auto"/>
              <w:right w:val="nil"/>
            </w:tcBorders>
            <w:shd w:val="clear" w:color="auto" w:fill="auto"/>
            <w:vAlign w:val="center"/>
            <w:hideMark/>
          </w:tcPr>
          <w:p w14:paraId="2E52504A"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-4 372</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26DEF82F"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-65 289</w:t>
            </w:r>
          </w:p>
        </w:tc>
        <w:tc>
          <w:tcPr>
            <w:tcW w:w="960" w:type="dxa"/>
            <w:tcBorders>
              <w:top w:val="nil"/>
              <w:left w:val="nil"/>
              <w:bottom w:val="single" w:sz="4" w:space="0" w:color="auto"/>
              <w:right w:val="single" w:sz="12" w:space="0" w:color="00B050"/>
            </w:tcBorders>
            <w:shd w:val="clear" w:color="auto" w:fill="auto"/>
            <w:vAlign w:val="center"/>
            <w:hideMark/>
          </w:tcPr>
          <w:p w14:paraId="52E3D99F"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85,91</w:t>
            </w:r>
          </w:p>
        </w:tc>
      </w:tr>
      <w:tr w:rsidR="00A16DDB" w:rsidRPr="00D95127" w14:paraId="1146770E" w14:textId="77777777" w:rsidTr="007A627A">
        <w:trPr>
          <w:trHeight w:val="255"/>
        </w:trPr>
        <w:tc>
          <w:tcPr>
            <w:tcW w:w="960" w:type="dxa"/>
            <w:tcBorders>
              <w:top w:val="nil"/>
              <w:left w:val="single" w:sz="12" w:space="0" w:color="00B050"/>
              <w:bottom w:val="single" w:sz="4" w:space="0" w:color="000000"/>
              <w:right w:val="single" w:sz="12" w:space="0" w:color="00B050"/>
            </w:tcBorders>
            <w:shd w:val="clear" w:color="auto" w:fill="auto"/>
            <w:vAlign w:val="center"/>
            <w:hideMark/>
          </w:tcPr>
          <w:p w14:paraId="1D98101A"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2018</w:t>
            </w:r>
          </w:p>
        </w:tc>
        <w:tc>
          <w:tcPr>
            <w:tcW w:w="960" w:type="dxa"/>
            <w:tcBorders>
              <w:top w:val="nil"/>
              <w:left w:val="nil"/>
              <w:bottom w:val="single" w:sz="4" w:space="0" w:color="auto"/>
              <w:right w:val="nil"/>
            </w:tcBorders>
            <w:shd w:val="clear" w:color="auto" w:fill="auto"/>
            <w:vAlign w:val="center"/>
            <w:hideMark/>
          </w:tcPr>
          <w:p w14:paraId="6DAE6CAA"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10,33</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578BB0F0"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608</w:t>
            </w:r>
          </w:p>
        </w:tc>
        <w:tc>
          <w:tcPr>
            <w:tcW w:w="960" w:type="dxa"/>
            <w:tcBorders>
              <w:top w:val="nil"/>
              <w:left w:val="nil"/>
              <w:bottom w:val="single" w:sz="4" w:space="0" w:color="auto"/>
              <w:right w:val="single" w:sz="12" w:space="0" w:color="00B050"/>
            </w:tcBorders>
            <w:shd w:val="clear" w:color="auto" w:fill="auto"/>
            <w:vAlign w:val="center"/>
            <w:hideMark/>
          </w:tcPr>
          <w:p w14:paraId="250FD8B5"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58,83</w:t>
            </w:r>
          </w:p>
        </w:tc>
        <w:tc>
          <w:tcPr>
            <w:tcW w:w="960" w:type="dxa"/>
            <w:tcBorders>
              <w:top w:val="nil"/>
              <w:left w:val="nil"/>
              <w:bottom w:val="single" w:sz="4" w:space="0" w:color="auto"/>
              <w:right w:val="nil"/>
            </w:tcBorders>
            <w:shd w:val="clear" w:color="auto" w:fill="auto"/>
            <w:vAlign w:val="center"/>
            <w:hideMark/>
          </w:tcPr>
          <w:p w14:paraId="6BF95258"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4 376</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56D8FBD2"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66 145</w:t>
            </w:r>
          </w:p>
        </w:tc>
        <w:tc>
          <w:tcPr>
            <w:tcW w:w="960" w:type="dxa"/>
            <w:tcBorders>
              <w:top w:val="nil"/>
              <w:left w:val="nil"/>
              <w:bottom w:val="single" w:sz="4" w:space="0" w:color="auto"/>
              <w:right w:val="single" w:sz="12" w:space="0" w:color="00B050"/>
            </w:tcBorders>
            <w:shd w:val="clear" w:color="auto" w:fill="auto"/>
            <w:vAlign w:val="center"/>
            <w:hideMark/>
          </w:tcPr>
          <w:p w14:paraId="5D4178E2"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15,12</w:t>
            </w:r>
          </w:p>
        </w:tc>
        <w:tc>
          <w:tcPr>
            <w:tcW w:w="960" w:type="dxa"/>
            <w:tcBorders>
              <w:top w:val="nil"/>
              <w:left w:val="nil"/>
              <w:bottom w:val="single" w:sz="4" w:space="0" w:color="auto"/>
              <w:right w:val="nil"/>
            </w:tcBorders>
            <w:shd w:val="clear" w:color="auto" w:fill="auto"/>
            <w:vAlign w:val="center"/>
            <w:hideMark/>
          </w:tcPr>
          <w:p w14:paraId="33C76EE3"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-4 366</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04F5CCD1"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-65 538</w:t>
            </w:r>
          </w:p>
        </w:tc>
        <w:tc>
          <w:tcPr>
            <w:tcW w:w="960" w:type="dxa"/>
            <w:tcBorders>
              <w:top w:val="nil"/>
              <w:left w:val="nil"/>
              <w:bottom w:val="single" w:sz="4" w:space="0" w:color="auto"/>
              <w:right w:val="single" w:sz="12" w:space="0" w:color="00B050"/>
            </w:tcBorders>
            <w:shd w:val="clear" w:color="auto" w:fill="auto"/>
            <w:vAlign w:val="center"/>
            <w:hideMark/>
          </w:tcPr>
          <w:p w14:paraId="64BF12F0"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43,71</w:t>
            </w:r>
          </w:p>
        </w:tc>
      </w:tr>
      <w:tr w:rsidR="00A16DDB" w:rsidRPr="00D95127" w14:paraId="2F078E3D" w14:textId="77777777" w:rsidTr="007A627A">
        <w:trPr>
          <w:trHeight w:val="255"/>
        </w:trPr>
        <w:tc>
          <w:tcPr>
            <w:tcW w:w="960" w:type="dxa"/>
            <w:tcBorders>
              <w:top w:val="nil"/>
              <w:left w:val="single" w:sz="12" w:space="0" w:color="00B050"/>
              <w:bottom w:val="single" w:sz="4" w:space="0" w:color="000000"/>
              <w:right w:val="single" w:sz="12" w:space="0" w:color="00B050"/>
            </w:tcBorders>
            <w:shd w:val="clear" w:color="auto" w:fill="auto"/>
            <w:vAlign w:val="center"/>
            <w:hideMark/>
          </w:tcPr>
          <w:p w14:paraId="5751FCD9"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2019</w:t>
            </w:r>
          </w:p>
        </w:tc>
        <w:tc>
          <w:tcPr>
            <w:tcW w:w="960" w:type="dxa"/>
            <w:tcBorders>
              <w:top w:val="nil"/>
              <w:left w:val="nil"/>
              <w:bottom w:val="single" w:sz="4" w:space="0" w:color="auto"/>
              <w:right w:val="nil"/>
            </w:tcBorders>
            <w:shd w:val="clear" w:color="auto" w:fill="auto"/>
            <w:vAlign w:val="center"/>
            <w:hideMark/>
          </w:tcPr>
          <w:p w14:paraId="7F5DE379"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16,26</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4FECA692"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391</w:t>
            </w:r>
          </w:p>
        </w:tc>
        <w:tc>
          <w:tcPr>
            <w:tcW w:w="960" w:type="dxa"/>
            <w:tcBorders>
              <w:top w:val="nil"/>
              <w:left w:val="nil"/>
              <w:bottom w:val="single" w:sz="4" w:space="0" w:color="auto"/>
              <w:right w:val="single" w:sz="12" w:space="0" w:color="00B050"/>
            </w:tcBorders>
            <w:shd w:val="clear" w:color="auto" w:fill="auto"/>
            <w:vAlign w:val="center"/>
            <w:hideMark/>
          </w:tcPr>
          <w:p w14:paraId="44BF1491"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24,04</w:t>
            </w:r>
          </w:p>
        </w:tc>
        <w:tc>
          <w:tcPr>
            <w:tcW w:w="960" w:type="dxa"/>
            <w:tcBorders>
              <w:top w:val="nil"/>
              <w:left w:val="nil"/>
              <w:bottom w:val="single" w:sz="4" w:space="0" w:color="auto"/>
              <w:right w:val="nil"/>
            </w:tcBorders>
            <w:shd w:val="clear" w:color="auto" w:fill="auto"/>
            <w:vAlign w:val="center"/>
            <w:hideMark/>
          </w:tcPr>
          <w:p w14:paraId="7184DD3C"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4 135</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1128297B"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71 333</w:t>
            </w:r>
          </w:p>
        </w:tc>
        <w:tc>
          <w:tcPr>
            <w:tcW w:w="960" w:type="dxa"/>
            <w:tcBorders>
              <w:top w:val="nil"/>
              <w:left w:val="nil"/>
              <w:bottom w:val="single" w:sz="4" w:space="0" w:color="auto"/>
              <w:right w:val="single" w:sz="12" w:space="0" w:color="00B050"/>
            </w:tcBorders>
            <w:shd w:val="clear" w:color="auto" w:fill="auto"/>
            <w:vAlign w:val="center"/>
            <w:hideMark/>
          </w:tcPr>
          <w:p w14:paraId="4CCC0FB3"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17,25</w:t>
            </w:r>
          </w:p>
        </w:tc>
        <w:tc>
          <w:tcPr>
            <w:tcW w:w="960" w:type="dxa"/>
            <w:tcBorders>
              <w:top w:val="nil"/>
              <w:left w:val="nil"/>
              <w:bottom w:val="single" w:sz="4" w:space="0" w:color="auto"/>
              <w:right w:val="nil"/>
            </w:tcBorders>
            <w:shd w:val="clear" w:color="auto" w:fill="auto"/>
            <w:vAlign w:val="center"/>
            <w:hideMark/>
          </w:tcPr>
          <w:p w14:paraId="4B8332D3"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-4 119</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0341989B"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-70 942</w:t>
            </w:r>
          </w:p>
        </w:tc>
        <w:tc>
          <w:tcPr>
            <w:tcW w:w="960" w:type="dxa"/>
            <w:tcBorders>
              <w:top w:val="nil"/>
              <w:left w:val="nil"/>
              <w:bottom w:val="single" w:sz="4" w:space="0" w:color="auto"/>
              <w:right w:val="single" w:sz="12" w:space="0" w:color="00B050"/>
            </w:tcBorders>
            <w:shd w:val="clear" w:color="auto" w:fill="auto"/>
            <w:vAlign w:val="center"/>
            <w:hideMark/>
          </w:tcPr>
          <w:p w14:paraId="06881E85"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6,79</w:t>
            </w:r>
          </w:p>
        </w:tc>
      </w:tr>
      <w:tr w:rsidR="00A16DDB" w:rsidRPr="00D95127" w14:paraId="4014E432" w14:textId="77777777" w:rsidTr="007A627A">
        <w:trPr>
          <w:trHeight w:val="270"/>
        </w:trPr>
        <w:tc>
          <w:tcPr>
            <w:tcW w:w="960" w:type="dxa"/>
            <w:tcBorders>
              <w:top w:val="nil"/>
              <w:left w:val="single" w:sz="12" w:space="0" w:color="00B050"/>
              <w:bottom w:val="single" w:sz="12" w:space="0" w:color="00B050"/>
              <w:right w:val="single" w:sz="12" w:space="0" w:color="00B050"/>
            </w:tcBorders>
            <w:shd w:val="clear" w:color="auto" w:fill="auto"/>
            <w:vAlign w:val="center"/>
            <w:hideMark/>
          </w:tcPr>
          <w:p w14:paraId="4FE8944A"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2020</w:t>
            </w:r>
          </w:p>
        </w:tc>
        <w:tc>
          <w:tcPr>
            <w:tcW w:w="960" w:type="dxa"/>
            <w:tcBorders>
              <w:top w:val="nil"/>
              <w:left w:val="nil"/>
              <w:bottom w:val="single" w:sz="12" w:space="0" w:color="00B050"/>
              <w:right w:val="nil"/>
            </w:tcBorders>
            <w:shd w:val="clear" w:color="auto" w:fill="auto"/>
            <w:vAlign w:val="center"/>
            <w:hideMark/>
          </w:tcPr>
          <w:p w14:paraId="288DB92F"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100,03</w:t>
            </w:r>
          </w:p>
        </w:tc>
        <w:tc>
          <w:tcPr>
            <w:tcW w:w="960" w:type="dxa"/>
            <w:tcBorders>
              <w:top w:val="nil"/>
              <w:left w:val="single" w:sz="4" w:space="0" w:color="00B050"/>
              <w:bottom w:val="single" w:sz="12" w:space="0" w:color="00B050"/>
              <w:right w:val="single" w:sz="4" w:space="0" w:color="00B050"/>
            </w:tcBorders>
            <w:shd w:val="clear" w:color="auto" w:fill="auto"/>
            <w:vAlign w:val="center"/>
            <w:hideMark/>
          </w:tcPr>
          <w:p w14:paraId="6005F738"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6 490</w:t>
            </w:r>
          </w:p>
        </w:tc>
        <w:tc>
          <w:tcPr>
            <w:tcW w:w="960" w:type="dxa"/>
            <w:tcBorders>
              <w:top w:val="nil"/>
              <w:left w:val="nil"/>
              <w:bottom w:val="single" w:sz="12" w:space="0" w:color="00B050"/>
              <w:right w:val="single" w:sz="12" w:space="0" w:color="00B050"/>
            </w:tcBorders>
            <w:shd w:val="clear" w:color="auto" w:fill="auto"/>
            <w:vAlign w:val="center"/>
            <w:hideMark/>
          </w:tcPr>
          <w:p w14:paraId="5FEA138E"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64,88</w:t>
            </w:r>
          </w:p>
        </w:tc>
        <w:tc>
          <w:tcPr>
            <w:tcW w:w="960" w:type="dxa"/>
            <w:tcBorders>
              <w:top w:val="nil"/>
              <w:left w:val="nil"/>
              <w:bottom w:val="single" w:sz="12" w:space="0" w:color="00B050"/>
              <w:right w:val="nil"/>
            </w:tcBorders>
            <w:shd w:val="clear" w:color="auto" w:fill="auto"/>
            <w:vAlign w:val="center"/>
            <w:hideMark/>
          </w:tcPr>
          <w:p w14:paraId="31FD2439"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3 291</w:t>
            </w:r>
          </w:p>
        </w:tc>
        <w:tc>
          <w:tcPr>
            <w:tcW w:w="960" w:type="dxa"/>
            <w:tcBorders>
              <w:top w:val="nil"/>
              <w:left w:val="single" w:sz="4" w:space="0" w:color="00B050"/>
              <w:bottom w:val="single" w:sz="12" w:space="0" w:color="00B050"/>
              <w:right w:val="single" w:sz="4" w:space="0" w:color="00B050"/>
            </w:tcBorders>
            <w:shd w:val="clear" w:color="auto" w:fill="auto"/>
            <w:vAlign w:val="center"/>
            <w:hideMark/>
          </w:tcPr>
          <w:p w14:paraId="57637F4A"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60 006</w:t>
            </w:r>
          </w:p>
        </w:tc>
        <w:tc>
          <w:tcPr>
            <w:tcW w:w="960" w:type="dxa"/>
            <w:tcBorders>
              <w:top w:val="nil"/>
              <w:left w:val="nil"/>
              <w:bottom w:val="single" w:sz="12" w:space="0" w:color="00B050"/>
              <w:right w:val="single" w:sz="12" w:space="0" w:color="00B050"/>
            </w:tcBorders>
            <w:shd w:val="clear" w:color="auto" w:fill="auto"/>
            <w:vAlign w:val="center"/>
            <w:hideMark/>
          </w:tcPr>
          <w:p w14:paraId="1F1718E5"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18,23</w:t>
            </w:r>
          </w:p>
        </w:tc>
        <w:tc>
          <w:tcPr>
            <w:tcW w:w="960" w:type="dxa"/>
            <w:tcBorders>
              <w:top w:val="nil"/>
              <w:left w:val="nil"/>
              <w:bottom w:val="single" w:sz="12" w:space="0" w:color="00B050"/>
              <w:right w:val="nil"/>
            </w:tcBorders>
            <w:shd w:val="clear" w:color="auto" w:fill="auto"/>
            <w:vAlign w:val="center"/>
            <w:hideMark/>
          </w:tcPr>
          <w:p w14:paraId="5422C8F4"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-3 191</w:t>
            </w:r>
          </w:p>
        </w:tc>
        <w:tc>
          <w:tcPr>
            <w:tcW w:w="960" w:type="dxa"/>
            <w:tcBorders>
              <w:top w:val="nil"/>
              <w:left w:val="single" w:sz="4" w:space="0" w:color="00B050"/>
              <w:bottom w:val="single" w:sz="12" w:space="0" w:color="00B050"/>
              <w:right w:val="single" w:sz="4" w:space="0" w:color="00B050"/>
            </w:tcBorders>
            <w:shd w:val="clear" w:color="auto" w:fill="auto"/>
            <w:vAlign w:val="center"/>
            <w:hideMark/>
          </w:tcPr>
          <w:p w14:paraId="55842895"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-53 516</w:t>
            </w:r>
          </w:p>
        </w:tc>
        <w:tc>
          <w:tcPr>
            <w:tcW w:w="960" w:type="dxa"/>
            <w:tcBorders>
              <w:top w:val="nil"/>
              <w:left w:val="nil"/>
              <w:bottom w:val="single" w:sz="12" w:space="0" w:color="00B050"/>
              <w:right w:val="single" w:sz="12" w:space="0" w:color="00B050"/>
            </w:tcBorders>
            <w:shd w:val="clear" w:color="auto" w:fill="auto"/>
            <w:vAlign w:val="center"/>
            <w:hideMark/>
          </w:tcPr>
          <w:p w14:paraId="4A15C434"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46,65</w:t>
            </w:r>
          </w:p>
        </w:tc>
      </w:tr>
    </w:tbl>
    <w:p w14:paraId="7C831BD1" w14:textId="77777777" w:rsidR="00A16DDB" w:rsidRPr="00D95127" w:rsidRDefault="00A16DDB" w:rsidP="00A37B3C">
      <w:pPr>
        <w:pStyle w:val="UZEIZdroj"/>
        <w:rPr>
          <w:i w:val="0"/>
          <w:iCs w:val="0"/>
          <w:sz w:val="16"/>
          <w:szCs w:val="16"/>
        </w:rPr>
      </w:pPr>
      <w:r w:rsidRPr="00D95127">
        <w:t>Zdroj: Celní statistika MZe</w:t>
      </w:r>
    </w:p>
    <w:p w14:paraId="4CCF0FF8" w14:textId="77777777" w:rsidR="00A16DDB" w:rsidRPr="00D95127" w:rsidRDefault="00A16DDB" w:rsidP="00A37B3C">
      <w:pPr>
        <w:pStyle w:val="UZEIZdroj"/>
        <w:rPr>
          <w:i w:val="0"/>
          <w:iCs w:val="0"/>
          <w:sz w:val="16"/>
          <w:szCs w:val="16"/>
        </w:rPr>
      </w:pPr>
      <w:r w:rsidRPr="00D95127">
        <w:t>Poznámka: Len ostatní: Len, vochlovaný nebo jinak zpracovaný, avšak nespředený (kromě lámaného nebo třeného); Lněná koudel a lněný odpad, včetně niťového odpadu a rozvlákněného materiálu</w:t>
      </w:r>
    </w:p>
    <w:p w14:paraId="3EA47E6D" w14:textId="77777777" w:rsidR="00A16DDB" w:rsidRPr="00D95127" w:rsidRDefault="00A16DDB" w:rsidP="00A16DDB">
      <w:pPr>
        <w:rPr>
          <w:rFonts w:cs="Times New Roman"/>
          <w:i/>
          <w:iCs/>
          <w:sz w:val="16"/>
          <w:szCs w:val="16"/>
          <w:lang w:val="cs-CZ"/>
        </w:rPr>
      </w:pPr>
    </w:p>
    <w:p w14:paraId="413C5C28" w14:textId="77777777" w:rsidR="00A37B3C" w:rsidRDefault="00A37B3C">
      <w:pPr>
        <w:spacing w:after="160" w:line="259" w:lineRule="auto"/>
        <w:jc w:val="left"/>
        <w:rPr>
          <w:rFonts w:eastAsia="Times New Roman" w:cs="Arial"/>
          <w:b/>
          <w:sz w:val="20"/>
          <w:szCs w:val="20"/>
          <w:lang w:val="cs-CZ" w:eastAsia="cs-CZ"/>
        </w:rPr>
      </w:pPr>
      <w:r>
        <w:br w:type="page"/>
      </w:r>
    </w:p>
    <w:p w14:paraId="4792F390" w14:textId="434B77B6" w:rsidR="00A16DDB" w:rsidRPr="00467D08" w:rsidRDefault="00A16DDB" w:rsidP="00467D08">
      <w:pPr>
        <w:pStyle w:val="UZEIGraf"/>
      </w:pPr>
      <w:bookmarkStart w:id="736" w:name="_Toc81738805"/>
      <w:r w:rsidRPr="00467D08">
        <w:t>Zahraniční obchod – len ostatní (t)</w:t>
      </w:r>
      <w:bookmarkEnd w:id="736"/>
    </w:p>
    <w:p w14:paraId="6B96BE97" w14:textId="77777777" w:rsidR="00A16DDB" w:rsidRPr="00D95127" w:rsidRDefault="00A16DDB" w:rsidP="00A16DDB">
      <w:pPr>
        <w:rPr>
          <w:rFonts w:cs="Times New Roman"/>
          <w:i/>
          <w:iCs/>
          <w:sz w:val="16"/>
          <w:szCs w:val="16"/>
          <w:lang w:val="cs-CZ"/>
        </w:rPr>
      </w:pPr>
      <w:r w:rsidRPr="00D95127">
        <w:rPr>
          <w:rFonts w:cs="Times New Roman"/>
          <w:noProof/>
          <w:lang w:val="cs-CZ"/>
        </w:rPr>
        <w:drawing>
          <wp:inline distT="0" distB="0" distL="0" distR="0" wp14:anchorId="537BF571" wp14:editId="5583DC52">
            <wp:extent cx="5356747" cy="2743200"/>
            <wp:effectExtent l="0" t="0" r="15875" b="0"/>
            <wp:docPr id="128" name="Graf 128">
              <a:extLst xmlns:a="http://schemas.openxmlformats.org/drawingml/2006/main">
                <a:ext uri="{FF2B5EF4-FFF2-40B4-BE49-F238E27FC236}">
                  <a16:creationId xmlns:a16="http://schemas.microsoft.com/office/drawing/2014/main" id="{8214A9FA-167F-4BE0-99E6-8989DB76A7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14:paraId="111A9A8C" w14:textId="77777777" w:rsidR="00A16DDB" w:rsidRPr="00D95127" w:rsidRDefault="00A16DDB" w:rsidP="00A37B3C">
      <w:pPr>
        <w:pStyle w:val="UZEIZdroj"/>
        <w:rPr>
          <w:i w:val="0"/>
          <w:iCs w:val="0"/>
          <w:sz w:val="16"/>
          <w:szCs w:val="16"/>
        </w:rPr>
      </w:pPr>
      <w:r w:rsidRPr="00D95127">
        <w:t>Zdroj: Celní statistika MZe</w:t>
      </w:r>
    </w:p>
    <w:p w14:paraId="7059B6E8" w14:textId="440EB001" w:rsidR="00A16DDB" w:rsidRPr="00D95127" w:rsidRDefault="00A16DDB" w:rsidP="00467D08">
      <w:pPr>
        <w:pStyle w:val="UZEIZdroj"/>
        <w:rPr>
          <w:i w:val="0"/>
          <w:iCs w:val="0"/>
          <w:sz w:val="16"/>
          <w:szCs w:val="16"/>
        </w:rPr>
      </w:pPr>
      <w:r w:rsidRPr="00D95127">
        <w:t xml:space="preserve">Poznámka: Len ostatní: Len, vochlovaný nebo jinak zpracovaný, avšak nespředený (kromě lámaného nebo třeného); Lněná koudel a lněný odpad, včetně niťového </w:t>
      </w:r>
      <w:r w:rsidRPr="00D95127">
        <w:rPr>
          <w:sz w:val="16"/>
          <w:szCs w:val="16"/>
        </w:rPr>
        <w:t>odpadu a rozvlákněného materiálu</w:t>
      </w:r>
    </w:p>
    <w:p w14:paraId="3CCAE508" w14:textId="31664B1D" w:rsidR="00A16DDB" w:rsidRPr="00467D08" w:rsidRDefault="00A16DDB" w:rsidP="00467D08">
      <w:pPr>
        <w:pStyle w:val="UZEIGraf"/>
      </w:pPr>
      <w:bookmarkStart w:id="737" w:name="_Toc81738806"/>
      <w:r w:rsidRPr="00467D08">
        <w:t>Zahraniční obchod – len ostatní (mil. Kč)</w:t>
      </w:r>
      <w:bookmarkEnd w:id="737"/>
    </w:p>
    <w:p w14:paraId="4EC13C65" w14:textId="77777777" w:rsidR="00A16DDB" w:rsidRPr="00D95127" w:rsidRDefault="00A16DDB" w:rsidP="00A16DDB">
      <w:pPr>
        <w:rPr>
          <w:rFonts w:cs="Times New Roman"/>
          <w:i/>
          <w:iCs/>
          <w:sz w:val="16"/>
          <w:szCs w:val="16"/>
          <w:lang w:val="cs-CZ"/>
        </w:rPr>
      </w:pPr>
      <w:r w:rsidRPr="00D95127">
        <w:rPr>
          <w:rFonts w:cs="Times New Roman"/>
          <w:noProof/>
          <w:lang w:val="cs-CZ"/>
        </w:rPr>
        <w:drawing>
          <wp:inline distT="0" distB="0" distL="0" distR="0" wp14:anchorId="3EA821B0" wp14:editId="532125FE">
            <wp:extent cx="5384042" cy="2743200"/>
            <wp:effectExtent l="0" t="0" r="7620" b="0"/>
            <wp:docPr id="129" name="Graf 129">
              <a:extLst xmlns:a="http://schemas.openxmlformats.org/drawingml/2006/main">
                <a:ext uri="{FF2B5EF4-FFF2-40B4-BE49-F238E27FC236}">
                  <a16:creationId xmlns:a16="http://schemas.microsoft.com/office/drawing/2014/main" id="{52828694-5C15-4CA3-8960-E923238553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14:paraId="6636DC62" w14:textId="77777777" w:rsidR="00A16DDB" w:rsidRPr="00D95127" w:rsidRDefault="00A16DDB" w:rsidP="00A37B3C">
      <w:pPr>
        <w:pStyle w:val="UZEIZdroj"/>
        <w:rPr>
          <w:i w:val="0"/>
          <w:iCs w:val="0"/>
          <w:sz w:val="16"/>
          <w:szCs w:val="16"/>
        </w:rPr>
      </w:pPr>
      <w:r w:rsidRPr="00D95127">
        <w:t>Zdroj: Celní statistika MZe</w:t>
      </w:r>
    </w:p>
    <w:p w14:paraId="61B198CE" w14:textId="77777777" w:rsidR="00A16DDB" w:rsidRPr="00D95127" w:rsidRDefault="00A16DDB" w:rsidP="00A37B3C">
      <w:pPr>
        <w:pStyle w:val="UZEIZdroj"/>
        <w:rPr>
          <w:i w:val="0"/>
          <w:iCs w:val="0"/>
          <w:sz w:val="16"/>
          <w:szCs w:val="16"/>
        </w:rPr>
      </w:pPr>
      <w:r w:rsidRPr="00D95127">
        <w:t>Poznámka: Len ostatní: Len, vochlovaný nebo jinak zpracovaný, avšak nespředený (kromě lámaného nebo třeného); Lněná koudel a lněný odpad, včetně niťového odpadu a rozvlákněného materiálu</w:t>
      </w:r>
    </w:p>
    <w:p w14:paraId="754004AE" w14:textId="77777777" w:rsidR="00A16DDB" w:rsidRPr="00D95127" w:rsidRDefault="00A16DDB" w:rsidP="00A16DDB">
      <w:pPr>
        <w:rPr>
          <w:rFonts w:cs="Times New Roman"/>
          <w:i/>
          <w:iCs/>
          <w:sz w:val="16"/>
          <w:szCs w:val="16"/>
          <w:lang w:val="cs-CZ"/>
        </w:rPr>
      </w:pPr>
    </w:p>
    <w:p w14:paraId="34006BFE" w14:textId="77777777" w:rsidR="00A16DDB" w:rsidRPr="00D95127" w:rsidRDefault="00A16DDB" w:rsidP="00A16DDB">
      <w:pPr>
        <w:rPr>
          <w:rFonts w:cs="Times New Roman"/>
          <w:i/>
          <w:iCs/>
          <w:sz w:val="16"/>
          <w:szCs w:val="16"/>
          <w:lang w:val="cs-CZ"/>
        </w:rPr>
      </w:pPr>
      <w:r w:rsidRPr="00D95127">
        <w:rPr>
          <w:rFonts w:cs="Times New Roman"/>
          <w:i/>
          <w:iCs/>
          <w:sz w:val="16"/>
          <w:szCs w:val="16"/>
          <w:lang w:val="cs-CZ"/>
        </w:rPr>
        <w:br w:type="page"/>
      </w:r>
    </w:p>
    <w:p w14:paraId="0F3BAE97" w14:textId="0CB2E2A3" w:rsidR="00A16DDB" w:rsidRPr="00D95127" w:rsidRDefault="00A16DDB" w:rsidP="00A37B3C">
      <w:pPr>
        <w:pStyle w:val="UZEITaB"/>
      </w:pPr>
      <w:r>
        <w:t xml:space="preserve"> </w:t>
      </w:r>
      <w:bookmarkStart w:id="738" w:name="_Toc81738505"/>
      <w:r w:rsidRPr="00D95127">
        <w:t>Zahraniční obchod – len ostatní – hlavní obchodní partneři</w:t>
      </w:r>
      <w:bookmarkEnd w:id="738"/>
    </w:p>
    <w:p w14:paraId="7FA59CFC" w14:textId="77777777" w:rsidR="00A16DDB" w:rsidRPr="00D95127" w:rsidRDefault="00A16DDB" w:rsidP="00A16DDB">
      <w:pPr>
        <w:rPr>
          <w:rFonts w:cs="Times New Roman"/>
          <w:i/>
          <w:iCs/>
          <w:sz w:val="16"/>
          <w:szCs w:val="16"/>
          <w:lang w:val="cs-CZ"/>
        </w:rPr>
      </w:pPr>
      <w:r w:rsidRPr="00D95127">
        <w:rPr>
          <w:rFonts w:cs="Times New Roman"/>
          <w:noProof/>
          <w:lang w:val="cs-CZ"/>
        </w:rPr>
        <w:drawing>
          <wp:inline distT="0" distB="0" distL="0" distR="0" wp14:anchorId="39BB5EEF" wp14:editId="6435D29C">
            <wp:extent cx="5083791" cy="5267960"/>
            <wp:effectExtent l="0" t="0" r="0" b="0"/>
            <wp:docPr id="131" name="Obrázek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085044" cy="5269259"/>
                    </a:xfrm>
                    <a:prstGeom prst="rect">
                      <a:avLst/>
                    </a:prstGeom>
                    <a:noFill/>
                    <a:ln>
                      <a:noFill/>
                    </a:ln>
                  </pic:spPr>
                </pic:pic>
              </a:graphicData>
            </a:graphic>
          </wp:inline>
        </w:drawing>
      </w:r>
    </w:p>
    <w:p w14:paraId="5DC7399E" w14:textId="40AB5684" w:rsidR="00A16DDB" w:rsidRPr="00467D08" w:rsidRDefault="00A16DDB" w:rsidP="00467D08">
      <w:pPr>
        <w:pStyle w:val="UZEINormaln"/>
      </w:pPr>
      <w:r w:rsidRPr="00D95127">
        <w:rPr>
          <w:bCs/>
        </w:rPr>
        <w:t>Dovoz konopí (Pravé konopí, surové nebo máčené a Pravé konopí) v období 2014-2020 vysoce převyšoval export. Dovezlo se 39,1 tis.</w:t>
      </w:r>
      <w:r w:rsidRPr="00D95127">
        <w:t>t konopí. Vývoz byl minimální, a to 39,4 t.</w:t>
      </w:r>
    </w:p>
    <w:p w14:paraId="3EFA55DD" w14:textId="466AC80C" w:rsidR="00A16DDB" w:rsidRPr="00D95127" w:rsidRDefault="00A16DDB" w:rsidP="00A37B3C">
      <w:pPr>
        <w:pStyle w:val="UZEITaB"/>
      </w:pPr>
      <w:r>
        <w:t xml:space="preserve"> </w:t>
      </w:r>
      <w:bookmarkStart w:id="739" w:name="_Toc81738506"/>
      <w:r w:rsidRPr="00D95127">
        <w:t>Zahraniční obchod – Konopí</w:t>
      </w:r>
      <w:bookmarkEnd w:id="739"/>
    </w:p>
    <w:tbl>
      <w:tblPr>
        <w:tblW w:w="9600" w:type="dxa"/>
        <w:tblCellMar>
          <w:left w:w="70" w:type="dxa"/>
          <w:right w:w="70" w:type="dxa"/>
        </w:tblCellMar>
        <w:tblLook w:val="04A0" w:firstRow="1" w:lastRow="0" w:firstColumn="1" w:lastColumn="0" w:noHBand="0" w:noVBand="1"/>
      </w:tblPr>
      <w:tblGrid>
        <w:gridCol w:w="960"/>
        <w:gridCol w:w="960"/>
        <w:gridCol w:w="960"/>
        <w:gridCol w:w="960"/>
        <w:gridCol w:w="960"/>
        <w:gridCol w:w="960"/>
        <w:gridCol w:w="960"/>
        <w:gridCol w:w="960"/>
        <w:gridCol w:w="960"/>
        <w:gridCol w:w="960"/>
      </w:tblGrid>
      <w:tr w:rsidR="00A16DDB" w:rsidRPr="00D95127" w14:paraId="165BA74D" w14:textId="77777777" w:rsidTr="007A627A">
        <w:trPr>
          <w:trHeight w:val="270"/>
        </w:trPr>
        <w:tc>
          <w:tcPr>
            <w:tcW w:w="960" w:type="dxa"/>
            <w:vMerge w:val="restart"/>
            <w:tcBorders>
              <w:top w:val="single" w:sz="12" w:space="0" w:color="00B050"/>
              <w:left w:val="single" w:sz="12" w:space="0" w:color="00B050"/>
              <w:bottom w:val="nil"/>
              <w:right w:val="single" w:sz="12" w:space="0" w:color="00B050"/>
            </w:tcBorders>
            <w:shd w:val="clear" w:color="000000" w:fill="00B050"/>
            <w:vAlign w:val="center"/>
            <w:hideMark/>
          </w:tcPr>
          <w:p w14:paraId="24BCD59B"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Rok</w:t>
            </w:r>
          </w:p>
        </w:tc>
        <w:tc>
          <w:tcPr>
            <w:tcW w:w="2880" w:type="dxa"/>
            <w:gridSpan w:val="3"/>
            <w:tcBorders>
              <w:top w:val="single" w:sz="12" w:space="0" w:color="00B050"/>
              <w:left w:val="nil"/>
              <w:bottom w:val="nil"/>
              <w:right w:val="single" w:sz="12" w:space="0" w:color="00B050"/>
            </w:tcBorders>
            <w:shd w:val="clear" w:color="000000" w:fill="00B050"/>
            <w:vAlign w:val="center"/>
            <w:hideMark/>
          </w:tcPr>
          <w:p w14:paraId="7B5B585F"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Vývoz</w:t>
            </w:r>
          </w:p>
        </w:tc>
        <w:tc>
          <w:tcPr>
            <w:tcW w:w="2880" w:type="dxa"/>
            <w:gridSpan w:val="3"/>
            <w:tcBorders>
              <w:top w:val="single" w:sz="12" w:space="0" w:color="00B050"/>
              <w:left w:val="nil"/>
              <w:bottom w:val="nil"/>
              <w:right w:val="nil"/>
            </w:tcBorders>
            <w:shd w:val="clear" w:color="000000" w:fill="00B050"/>
            <w:vAlign w:val="center"/>
            <w:hideMark/>
          </w:tcPr>
          <w:p w14:paraId="7A5A3622"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Dovoz</w:t>
            </w:r>
          </w:p>
        </w:tc>
        <w:tc>
          <w:tcPr>
            <w:tcW w:w="2880" w:type="dxa"/>
            <w:gridSpan w:val="3"/>
            <w:tcBorders>
              <w:top w:val="single" w:sz="12" w:space="0" w:color="00B050"/>
              <w:left w:val="nil"/>
              <w:bottom w:val="nil"/>
              <w:right w:val="single" w:sz="12" w:space="0" w:color="00B050"/>
            </w:tcBorders>
            <w:shd w:val="clear" w:color="000000" w:fill="00B050"/>
            <w:vAlign w:val="center"/>
            <w:hideMark/>
          </w:tcPr>
          <w:p w14:paraId="71DBBFD8"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Saldo</w:t>
            </w:r>
          </w:p>
        </w:tc>
      </w:tr>
      <w:tr w:rsidR="00A16DDB" w:rsidRPr="00D95127" w14:paraId="76265E89" w14:textId="77777777" w:rsidTr="007A627A">
        <w:trPr>
          <w:trHeight w:val="270"/>
        </w:trPr>
        <w:tc>
          <w:tcPr>
            <w:tcW w:w="960" w:type="dxa"/>
            <w:vMerge/>
            <w:tcBorders>
              <w:top w:val="single" w:sz="12" w:space="0" w:color="00B050"/>
              <w:left w:val="single" w:sz="12" w:space="0" w:color="00B050"/>
              <w:bottom w:val="nil"/>
              <w:right w:val="single" w:sz="12" w:space="0" w:color="00B050"/>
            </w:tcBorders>
            <w:vAlign w:val="center"/>
            <w:hideMark/>
          </w:tcPr>
          <w:p w14:paraId="552DE2C1" w14:textId="77777777" w:rsidR="00A16DDB" w:rsidRPr="00A37B3C" w:rsidRDefault="00A16DDB" w:rsidP="007A627A">
            <w:pPr>
              <w:rPr>
                <w:rFonts w:eastAsia="Times New Roman" w:cs="Times New Roman"/>
                <w:b/>
                <w:color w:val="FFFFFF"/>
                <w:sz w:val="22"/>
                <w:lang w:val="cs-CZ" w:eastAsia="cs-CZ"/>
              </w:rPr>
            </w:pPr>
          </w:p>
        </w:tc>
        <w:tc>
          <w:tcPr>
            <w:tcW w:w="960" w:type="dxa"/>
            <w:tcBorders>
              <w:top w:val="nil"/>
              <w:left w:val="nil"/>
              <w:bottom w:val="nil"/>
              <w:right w:val="nil"/>
            </w:tcBorders>
            <w:shd w:val="clear" w:color="000000" w:fill="00B050"/>
            <w:vAlign w:val="center"/>
            <w:hideMark/>
          </w:tcPr>
          <w:p w14:paraId="5C60DF47"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tun</w:t>
            </w:r>
          </w:p>
        </w:tc>
        <w:tc>
          <w:tcPr>
            <w:tcW w:w="960" w:type="dxa"/>
            <w:tcBorders>
              <w:top w:val="nil"/>
              <w:left w:val="nil"/>
              <w:bottom w:val="nil"/>
              <w:right w:val="nil"/>
            </w:tcBorders>
            <w:shd w:val="clear" w:color="000000" w:fill="00B050"/>
            <w:vAlign w:val="center"/>
            <w:hideMark/>
          </w:tcPr>
          <w:p w14:paraId="0B62867B"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mil. Kč</w:t>
            </w:r>
          </w:p>
        </w:tc>
        <w:tc>
          <w:tcPr>
            <w:tcW w:w="960" w:type="dxa"/>
            <w:tcBorders>
              <w:top w:val="nil"/>
              <w:left w:val="nil"/>
              <w:bottom w:val="nil"/>
              <w:right w:val="single" w:sz="12" w:space="0" w:color="00B050"/>
            </w:tcBorders>
            <w:shd w:val="clear" w:color="000000" w:fill="00B050"/>
            <w:vAlign w:val="center"/>
            <w:hideMark/>
          </w:tcPr>
          <w:p w14:paraId="5DCDCE6F"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Kč/kg</w:t>
            </w:r>
          </w:p>
        </w:tc>
        <w:tc>
          <w:tcPr>
            <w:tcW w:w="960" w:type="dxa"/>
            <w:tcBorders>
              <w:top w:val="nil"/>
              <w:left w:val="nil"/>
              <w:bottom w:val="nil"/>
              <w:right w:val="nil"/>
            </w:tcBorders>
            <w:shd w:val="clear" w:color="000000" w:fill="00B050"/>
            <w:vAlign w:val="center"/>
            <w:hideMark/>
          </w:tcPr>
          <w:p w14:paraId="3B75698B"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tun</w:t>
            </w:r>
          </w:p>
        </w:tc>
        <w:tc>
          <w:tcPr>
            <w:tcW w:w="960" w:type="dxa"/>
            <w:tcBorders>
              <w:top w:val="nil"/>
              <w:left w:val="nil"/>
              <w:bottom w:val="nil"/>
              <w:right w:val="nil"/>
            </w:tcBorders>
            <w:shd w:val="clear" w:color="000000" w:fill="00B050"/>
            <w:vAlign w:val="center"/>
            <w:hideMark/>
          </w:tcPr>
          <w:p w14:paraId="225EBE95"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mil. Kč</w:t>
            </w:r>
          </w:p>
        </w:tc>
        <w:tc>
          <w:tcPr>
            <w:tcW w:w="960" w:type="dxa"/>
            <w:tcBorders>
              <w:top w:val="nil"/>
              <w:left w:val="nil"/>
              <w:bottom w:val="nil"/>
              <w:right w:val="nil"/>
            </w:tcBorders>
            <w:shd w:val="clear" w:color="000000" w:fill="00B050"/>
            <w:vAlign w:val="center"/>
            <w:hideMark/>
          </w:tcPr>
          <w:p w14:paraId="27C21FBD"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Kč/kg</w:t>
            </w:r>
          </w:p>
        </w:tc>
        <w:tc>
          <w:tcPr>
            <w:tcW w:w="960" w:type="dxa"/>
            <w:tcBorders>
              <w:top w:val="nil"/>
              <w:left w:val="nil"/>
              <w:bottom w:val="nil"/>
              <w:right w:val="nil"/>
            </w:tcBorders>
            <w:shd w:val="clear" w:color="000000" w:fill="00B050"/>
            <w:vAlign w:val="center"/>
            <w:hideMark/>
          </w:tcPr>
          <w:p w14:paraId="5D4865AF"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tun</w:t>
            </w:r>
          </w:p>
        </w:tc>
        <w:tc>
          <w:tcPr>
            <w:tcW w:w="960" w:type="dxa"/>
            <w:tcBorders>
              <w:top w:val="nil"/>
              <w:left w:val="nil"/>
              <w:bottom w:val="nil"/>
              <w:right w:val="nil"/>
            </w:tcBorders>
            <w:shd w:val="clear" w:color="000000" w:fill="00B050"/>
            <w:vAlign w:val="center"/>
            <w:hideMark/>
          </w:tcPr>
          <w:p w14:paraId="3D71C41D"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mil. Kč</w:t>
            </w:r>
          </w:p>
        </w:tc>
        <w:tc>
          <w:tcPr>
            <w:tcW w:w="960" w:type="dxa"/>
            <w:tcBorders>
              <w:top w:val="nil"/>
              <w:left w:val="nil"/>
              <w:bottom w:val="nil"/>
              <w:right w:val="single" w:sz="12" w:space="0" w:color="00B050"/>
            </w:tcBorders>
            <w:shd w:val="clear" w:color="000000" w:fill="00B050"/>
            <w:vAlign w:val="center"/>
            <w:hideMark/>
          </w:tcPr>
          <w:p w14:paraId="507D68B2"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Kč/kg</w:t>
            </w:r>
          </w:p>
        </w:tc>
      </w:tr>
      <w:tr w:rsidR="00A16DDB" w:rsidRPr="00D95127" w14:paraId="175D5725" w14:textId="77777777" w:rsidTr="007A627A">
        <w:trPr>
          <w:trHeight w:val="270"/>
        </w:trPr>
        <w:tc>
          <w:tcPr>
            <w:tcW w:w="960" w:type="dxa"/>
            <w:tcBorders>
              <w:top w:val="single" w:sz="12" w:space="0" w:color="00B050"/>
              <w:left w:val="single" w:sz="12" w:space="0" w:color="00B050"/>
              <w:bottom w:val="single" w:sz="4" w:space="0" w:color="000000"/>
              <w:right w:val="single" w:sz="12" w:space="0" w:color="00B050"/>
            </w:tcBorders>
            <w:shd w:val="clear" w:color="auto" w:fill="auto"/>
            <w:vAlign w:val="center"/>
            <w:hideMark/>
          </w:tcPr>
          <w:p w14:paraId="3905A0DC"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2014</w:t>
            </w:r>
          </w:p>
        </w:tc>
        <w:tc>
          <w:tcPr>
            <w:tcW w:w="960" w:type="dxa"/>
            <w:tcBorders>
              <w:top w:val="single" w:sz="12" w:space="0" w:color="00B050"/>
              <w:left w:val="nil"/>
              <w:bottom w:val="single" w:sz="4" w:space="0" w:color="auto"/>
              <w:right w:val="nil"/>
            </w:tcBorders>
            <w:shd w:val="clear" w:color="auto" w:fill="auto"/>
            <w:vAlign w:val="center"/>
            <w:hideMark/>
          </w:tcPr>
          <w:p w14:paraId="27F8F1C3"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1,43</w:t>
            </w:r>
          </w:p>
        </w:tc>
        <w:tc>
          <w:tcPr>
            <w:tcW w:w="960" w:type="dxa"/>
            <w:tcBorders>
              <w:top w:val="single" w:sz="12" w:space="0" w:color="00B050"/>
              <w:left w:val="single" w:sz="4" w:space="0" w:color="00B050"/>
              <w:bottom w:val="single" w:sz="4" w:space="0" w:color="auto"/>
              <w:right w:val="single" w:sz="4" w:space="0" w:color="00B050"/>
            </w:tcBorders>
            <w:shd w:val="clear" w:color="auto" w:fill="auto"/>
            <w:vAlign w:val="center"/>
            <w:hideMark/>
          </w:tcPr>
          <w:p w14:paraId="145F9784"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157</w:t>
            </w:r>
          </w:p>
        </w:tc>
        <w:tc>
          <w:tcPr>
            <w:tcW w:w="960" w:type="dxa"/>
            <w:tcBorders>
              <w:top w:val="single" w:sz="12" w:space="0" w:color="00B050"/>
              <w:left w:val="nil"/>
              <w:bottom w:val="single" w:sz="4" w:space="0" w:color="auto"/>
              <w:right w:val="single" w:sz="12" w:space="0" w:color="00B050"/>
            </w:tcBorders>
            <w:shd w:val="clear" w:color="auto" w:fill="auto"/>
            <w:vAlign w:val="center"/>
            <w:hideMark/>
          </w:tcPr>
          <w:p w14:paraId="324455FB"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109,80</w:t>
            </w:r>
          </w:p>
        </w:tc>
        <w:tc>
          <w:tcPr>
            <w:tcW w:w="960" w:type="dxa"/>
            <w:tcBorders>
              <w:top w:val="single" w:sz="12" w:space="0" w:color="00B050"/>
              <w:left w:val="nil"/>
              <w:bottom w:val="single" w:sz="4" w:space="0" w:color="auto"/>
              <w:right w:val="nil"/>
            </w:tcBorders>
            <w:shd w:val="clear" w:color="auto" w:fill="auto"/>
            <w:vAlign w:val="center"/>
            <w:hideMark/>
          </w:tcPr>
          <w:p w14:paraId="02A34C6A"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5 289</w:t>
            </w:r>
          </w:p>
        </w:tc>
        <w:tc>
          <w:tcPr>
            <w:tcW w:w="960" w:type="dxa"/>
            <w:tcBorders>
              <w:top w:val="single" w:sz="12" w:space="0" w:color="00B050"/>
              <w:left w:val="single" w:sz="4" w:space="0" w:color="00B050"/>
              <w:bottom w:val="single" w:sz="4" w:space="0" w:color="auto"/>
              <w:right w:val="single" w:sz="4" w:space="0" w:color="00B050"/>
            </w:tcBorders>
            <w:shd w:val="clear" w:color="auto" w:fill="auto"/>
            <w:vAlign w:val="center"/>
            <w:hideMark/>
          </w:tcPr>
          <w:p w14:paraId="4DB723E6"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74 854</w:t>
            </w:r>
          </w:p>
        </w:tc>
        <w:tc>
          <w:tcPr>
            <w:tcW w:w="960" w:type="dxa"/>
            <w:tcBorders>
              <w:top w:val="single" w:sz="12" w:space="0" w:color="00B050"/>
              <w:left w:val="nil"/>
              <w:bottom w:val="single" w:sz="4" w:space="0" w:color="auto"/>
              <w:right w:val="single" w:sz="12" w:space="0" w:color="00B050"/>
            </w:tcBorders>
            <w:shd w:val="clear" w:color="auto" w:fill="auto"/>
            <w:vAlign w:val="center"/>
            <w:hideMark/>
          </w:tcPr>
          <w:p w14:paraId="05E8FA8A"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14,15</w:t>
            </w:r>
          </w:p>
        </w:tc>
        <w:tc>
          <w:tcPr>
            <w:tcW w:w="960" w:type="dxa"/>
            <w:tcBorders>
              <w:top w:val="single" w:sz="12" w:space="0" w:color="00B050"/>
              <w:left w:val="nil"/>
              <w:bottom w:val="single" w:sz="4" w:space="0" w:color="auto"/>
              <w:right w:val="nil"/>
            </w:tcBorders>
            <w:shd w:val="clear" w:color="auto" w:fill="auto"/>
            <w:vAlign w:val="center"/>
            <w:hideMark/>
          </w:tcPr>
          <w:p w14:paraId="55E02B4A"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-5 288</w:t>
            </w:r>
          </w:p>
        </w:tc>
        <w:tc>
          <w:tcPr>
            <w:tcW w:w="960" w:type="dxa"/>
            <w:tcBorders>
              <w:top w:val="single" w:sz="12" w:space="0" w:color="00B050"/>
              <w:left w:val="single" w:sz="4" w:space="0" w:color="00B050"/>
              <w:bottom w:val="single" w:sz="4" w:space="0" w:color="auto"/>
              <w:right w:val="single" w:sz="4" w:space="0" w:color="00B050"/>
            </w:tcBorders>
            <w:shd w:val="clear" w:color="auto" w:fill="auto"/>
            <w:vAlign w:val="center"/>
            <w:hideMark/>
          </w:tcPr>
          <w:p w14:paraId="13E9A7B4"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-74 697</w:t>
            </w:r>
          </w:p>
        </w:tc>
        <w:tc>
          <w:tcPr>
            <w:tcW w:w="960" w:type="dxa"/>
            <w:tcBorders>
              <w:top w:val="single" w:sz="12" w:space="0" w:color="00B050"/>
              <w:left w:val="nil"/>
              <w:bottom w:val="single" w:sz="4" w:space="0" w:color="auto"/>
              <w:right w:val="single" w:sz="12" w:space="0" w:color="00B050"/>
            </w:tcBorders>
            <w:shd w:val="clear" w:color="auto" w:fill="auto"/>
            <w:vAlign w:val="center"/>
            <w:hideMark/>
          </w:tcPr>
          <w:p w14:paraId="05D35480"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95,65</w:t>
            </w:r>
          </w:p>
        </w:tc>
      </w:tr>
      <w:tr w:rsidR="00A16DDB" w:rsidRPr="00D95127" w14:paraId="37287FC6" w14:textId="77777777" w:rsidTr="007A627A">
        <w:trPr>
          <w:trHeight w:val="255"/>
        </w:trPr>
        <w:tc>
          <w:tcPr>
            <w:tcW w:w="960" w:type="dxa"/>
            <w:tcBorders>
              <w:top w:val="nil"/>
              <w:left w:val="single" w:sz="12" w:space="0" w:color="00B050"/>
              <w:bottom w:val="single" w:sz="4" w:space="0" w:color="000000"/>
              <w:right w:val="single" w:sz="12" w:space="0" w:color="00B050"/>
            </w:tcBorders>
            <w:shd w:val="clear" w:color="auto" w:fill="auto"/>
            <w:vAlign w:val="center"/>
            <w:hideMark/>
          </w:tcPr>
          <w:p w14:paraId="72E4D319"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2015</w:t>
            </w:r>
          </w:p>
        </w:tc>
        <w:tc>
          <w:tcPr>
            <w:tcW w:w="960" w:type="dxa"/>
            <w:tcBorders>
              <w:top w:val="nil"/>
              <w:left w:val="nil"/>
              <w:bottom w:val="single" w:sz="4" w:space="0" w:color="auto"/>
              <w:right w:val="nil"/>
            </w:tcBorders>
            <w:shd w:val="clear" w:color="auto" w:fill="auto"/>
            <w:vAlign w:val="center"/>
            <w:hideMark/>
          </w:tcPr>
          <w:p w14:paraId="4F8349D0"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0,75</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7AB38168"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125</w:t>
            </w:r>
          </w:p>
        </w:tc>
        <w:tc>
          <w:tcPr>
            <w:tcW w:w="960" w:type="dxa"/>
            <w:tcBorders>
              <w:top w:val="nil"/>
              <w:left w:val="nil"/>
              <w:bottom w:val="single" w:sz="4" w:space="0" w:color="auto"/>
              <w:right w:val="single" w:sz="12" w:space="0" w:color="00B050"/>
            </w:tcBorders>
            <w:shd w:val="clear" w:color="auto" w:fill="auto"/>
            <w:vAlign w:val="center"/>
            <w:hideMark/>
          </w:tcPr>
          <w:p w14:paraId="5378729C"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167,94</w:t>
            </w:r>
          </w:p>
        </w:tc>
        <w:tc>
          <w:tcPr>
            <w:tcW w:w="960" w:type="dxa"/>
            <w:tcBorders>
              <w:top w:val="nil"/>
              <w:left w:val="nil"/>
              <w:bottom w:val="single" w:sz="4" w:space="0" w:color="auto"/>
              <w:right w:val="nil"/>
            </w:tcBorders>
            <w:shd w:val="clear" w:color="auto" w:fill="auto"/>
            <w:vAlign w:val="center"/>
            <w:hideMark/>
          </w:tcPr>
          <w:p w14:paraId="4ED1A004"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5 888</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5AF48F05"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95 155</w:t>
            </w:r>
          </w:p>
        </w:tc>
        <w:tc>
          <w:tcPr>
            <w:tcW w:w="960" w:type="dxa"/>
            <w:tcBorders>
              <w:top w:val="nil"/>
              <w:left w:val="nil"/>
              <w:bottom w:val="single" w:sz="4" w:space="0" w:color="auto"/>
              <w:right w:val="single" w:sz="12" w:space="0" w:color="00B050"/>
            </w:tcBorders>
            <w:shd w:val="clear" w:color="auto" w:fill="auto"/>
            <w:vAlign w:val="center"/>
            <w:hideMark/>
          </w:tcPr>
          <w:p w14:paraId="731F9D49"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16,16</w:t>
            </w:r>
          </w:p>
        </w:tc>
        <w:tc>
          <w:tcPr>
            <w:tcW w:w="960" w:type="dxa"/>
            <w:tcBorders>
              <w:top w:val="nil"/>
              <w:left w:val="nil"/>
              <w:bottom w:val="single" w:sz="4" w:space="0" w:color="auto"/>
              <w:right w:val="nil"/>
            </w:tcBorders>
            <w:shd w:val="clear" w:color="auto" w:fill="auto"/>
            <w:vAlign w:val="center"/>
            <w:hideMark/>
          </w:tcPr>
          <w:p w14:paraId="1EE1FDFF"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-5 887</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5ED9D881"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-95 029</w:t>
            </w:r>
          </w:p>
        </w:tc>
        <w:tc>
          <w:tcPr>
            <w:tcW w:w="960" w:type="dxa"/>
            <w:tcBorders>
              <w:top w:val="nil"/>
              <w:left w:val="nil"/>
              <w:bottom w:val="single" w:sz="4" w:space="0" w:color="auto"/>
              <w:right w:val="single" w:sz="12" w:space="0" w:color="00B050"/>
            </w:tcBorders>
            <w:shd w:val="clear" w:color="auto" w:fill="auto"/>
            <w:vAlign w:val="center"/>
            <w:hideMark/>
          </w:tcPr>
          <w:p w14:paraId="6653C7E5"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151,78</w:t>
            </w:r>
          </w:p>
        </w:tc>
      </w:tr>
      <w:tr w:rsidR="00A16DDB" w:rsidRPr="00D95127" w14:paraId="5BC9C5C0" w14:textId="77777777" w:rsidTr="007A627A">
        <w:trPr>
          <w:trHeight w:val="255"/>
        </w:trPr>
        <w:tc>
          <w:tcPr>
            <w:tcW w:w="960" w:type="dxa"/>
            <w:tcBorders>
              <w:top w:val="nil"/>
              <w:left w:val="single" w:sz="12" w:space="0" w:color="00B050"/>
              <w:bottom w:val="single" w:sz="4" w:space="0" w:color="000000"/>
              <w:right w:val="single" w:sz="12" w:space="0" w:color="00B050"/>
            </w:tcBorders>
            <w:shd w:val="clear" w:color="auto" w:fill="auto"/>
            <w:vAlign w:val="center"/>
            <w:hideMark/>
          </w:tcPr>
          <w:p w14:paraId="27BA91C4"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2016</w:t>
            </w:r>
          </w:p>
        </w:tc>
        <w:tc>
          <w:tcPr>
            <w:tcW w:w="960" w:type="dxa"/>
            <w:tcBorders>
              <w:top w:val="nil"/>
              <w:left w:val="nil"/>
              <w:bottom w:val="single" w:sz="4" w:space="0" w:color="auto"/>
              <w:right w:val="nil"/>
            </w:tcBorders>
            <w:shd w:val="clear" w:color="auto" w:fill="auto"/>
            <w:vAlign w:val="center"/>
            <w:hideMark/>
          </w:tcPr>
          <w:p w14:paraId="3B76E6F1"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0,48</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5B86841D"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190</w:t>
            </w:r>
          </w:p>
        </w:tc>
        <w:tc>
          <w:tcPr>
            <w:tcW w:w="960" w:type="dxa"/>
            <w:tcBorders>
              <w:top w:val="nil"/>
              <w:left w:val="nil"/>
              <w:bottom w:val="single" w:sz="4" w:space="0" w:color="auto"/>
              <w:right w:val="single" w:sz="12" w:space="0" w:color="00B050"/>
            </w:tcBorders>
            <w:shd w:val="clear" w:color="auto" w:fill="auto"/>
            <w:vAlign w:val="center"/>
            <w:hideMark/>
          </w:tcPr>
          <w:p w14:paraId="52874133"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392,74</w:t>
            </w:r>
          </w:p>
        </w:tc>
        <w:tc>
          <w:tcPr>
            <w:tcW w:w="960" w:type="dxa"/>
            <w:tcBorders>
              <w:top w:val="nil"/>
              <w:left w:val="nil"/>
              <w:bottom w:val="single" w:sz="4" w:space="0" w:color="auto"/>
              <w:right w:val="nil"/>
            </w:tcBorders>
            <w:shd w:val="clear" w:color="auto" w:fill="auto"/>
            <w:vAlign w:val="center"/>
            <w:hideMark/>
          </w:tcPr>
          <w:p w14:paraId="29DD1440"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5 719</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215EA31C"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87 275</w:t>
            </w:r>
          </w:p>
        </w:tc>
        <w:tc>
          <w:tcPr>
            <w:tcW w:w="960" w:type="dxa"/>
            <w:tcBorders>
              <w:top w:val="nil"/>
              <w:left w:val="nil"/>
              <w:bottom w:val="single" w:sz="4" w:space="0" w:color="auto"/>
              <w:right w:val="single" w:sz="12" w:space="0" w:color="00B050"/>
            </w:tcBorders>
            <w:shd w:val="clear" w:color="auto" w:fill="auto"/>
            <w:vAlign w:val="center"/>
            <w:hideMark/>
          </w:tcPr>
          <w:p w14:paraId="46A42411"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15,26</w:t>
            </w:r>
          </w:p>
        </w:tc>
        <w:tc>
          <w:tcPr>
            <w:tcW w:w="960" w:type="dxa"/>
            <w:tcBorders>
              <w:top w:val="nil"/>
              <w:left w:val="nil"/>
              <w:bottom w:val="single" w:sz="4" w:space="0" w:color="auto"/>
              <w:right w:val="nil"/>
            </w:tcBorders>
            <w:shd w:val="clear" w:color="auto" w:fill="auto"/>
            <w:vAlign w:val="center"/>
            <w:hideMark/>
          </w:tcPr>
          <w:p w14:paraId="2208712D"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-5 719</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38EA8C63"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-87 085</w:t>
            </w:r>
          </w:p>
        </w:tc>
        <w:tc>
          <w:tcPr>
            <w:tcW w:w="960" w:type="dxa"/>
            <w:tcBorders>
              <w:top w:val="nil"/>
              <w:left w:val="nil"/>
              <w:bottom w:val="single" w:sz="4" w:space="0" w:color="auto"/>
              <w:right w:val="single" w:sz="12" w:space="0" w:color="00B050"/>
            </w:tcBorders>
            <w:shd w:val="clear" w:color="auto" w:fill="auto"/>
            <w:vAlign w:val="center"/>
            <w:hideMark/>
          </w:tcPr>
          <w:p w14:paraId="19187EEB"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377,48</w:t>
            </w:r>
          </w:p>
        </w:tc>
      </w:tr>
      <w:tr w:rsidR="00A16DDB" w:rsidRPr="00D95127" w14:paraId="465B9D6F" w14:textId="77777777" w:rsidTr="007A627A">
        <w:trPr>
          <w:trHeight w:val="255"/>
        </w:trPr>
        <w:tc>
          <w:tcPr>
            <w:tcW w:w="960" w:type="dxa"/>
            <w:tcBorders>
              <w:top w:val="nil"/>
              <w:left w:val="single" w:sz="12" w:space="0" w:color="00B050"/>
              <w:bottom w:val="single" w:sz="4" w:space="0" w:color="000000"/>
              <w:right w:val="single" w:sz="12" w:space="0" w:color="00B050"/>
            </w:tcBorders>
            <w:shd w:val="clear" w:color="auto" w:fill="auto"/>
            <w:vAlign w:val="center"/>
            <w:hideMark/>
          </w:tcPr>
          <w:p w14:paraId="66B4426B"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2017</w:t>
            </w:r>
          </w:p>
        </w:tc>
        <w:tc>
          <w:tcPr>
            <w:tcW w:w="960" w:type="dxa"/>
            <w:tcBorders>
              <w:top w:val="nil"/>
              <w:left w:val="nil"/>
              <w:bottom w:val="single" w:sz="4" w:space="0" w:color="auto"/>
              <w:right w:val="nil"/>
            </w:tcBorders>
            <w:shd w:val="clear" w:color="auto" w:fill="auto"/>
            <w:vAlign w:val="center"/>
            <w:hideMark/>
          </w:tcPr>
          <w:p w14:paraId="2C6503C0"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0,48</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3A4DA069"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65</w:t>
            </w:r>
          </w:p>
        </w:tc>
        <w:tc>
          <w:tcPr>
            <w:tcW w:w="960" w:type="dxa"/>
            <w:tcBorders>
              <w:top w:val="nil"/>
              <w:left w:val="nil"/>
              <w:bottom w:val="single" w:sz="4" w:space="0" w:color="auto"/>
              <w:right w:val="single" w:sz="12" w:space="0" w:color="00B050"/>
            </w:tcBorders>
            <w:shd w:val="clear" w:color="auto" w:fill="auto"/>
            <w:vAlign w:val="center"/>
            <w:hideMark/>
          </w:tcPr>
          <w:p w14:paraId="4F0FB6CF"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134,54</w:t>
            </w:r>
          </w:p>
        </w:tc>
        <w:tc>
          <w:tcPr>
            <w:tcW w:w="960" w:type="dxa"/>
            <w:tcBorders>
              <w:top w:val="nil"/>
              <w:left w:val="nil"/>
              <w:bottom w:val="single" w:sz="4" w:space="0" w:color="auto"/>
              <w:right w:val="nil"/>
            </w:tcBorders>
            <w:shd w:val="clear" w:color="auto" w:fill="auto"/>
            <w:vAlign w:val="center"/>
            <w:hideMark/>
          </w:tcPr>
          <w:p w14:paraId="28E4F4CC"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5 864</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72900887"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81 049</w:t>
            </w:r>
          </w:p>
        </w:tc>
        <w:tc>
          <w:tcPr>
            <w:tcW w:w="960" w:type="dxa"/>
            <w:tcBorders>
              <w:top w:val="nil"/>
              <w:left w:val="nil"/>
              <w:bottom w:val="single" w:sz="4" w:space="0" w:color="auto"/>
              <w:right w:val="single" w:sz="12" w:space="0" w:color="00B050"/>
            </w:tcBorders>
            <w:shd w:val="clear" w:color="auto" w:fill="auto"/>
            <w:vAlign w:val="center"/>
            <w:hideMark/>
          </w:tcPr>
          <w:p w14:paraId="1AA41BC1"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13,82</w:t>
            </w:r>
          </w:p>
        </w:tc>
        <w:tc>
          <w:tcPr>
            <w:tcW w:w="960" w:type="dxa"/>
            <w:tcBorders>
              <w:top w:val="nil"/>
              <w:left w:val="nil"/>
              <w:bottom w:val="single" w:sz="4" w:space="0" w:color="auto"/>
              <w:right w:val="nil"/>
            </w:tcBorders>
            <w:shd w:val="clear" w:color="auto" w:fill="auto"/>
            <w:vAlign w:val="center"/>
            <w:hideMark/>
          </w:tcPr>
          <w:p w14:paraId="24C98691"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-5 864</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623C3F24"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-80 985</w:t>
            </w:r>
          </w:p>
        </w:tc>
        <w:tc>
          <w:tcPr>
            <w:tcW w:w="960" w:type="dxa"/>
            <w:tcBorders>
              <w:top w:val="nil"/>
              <w:left w:val="nil"/>
              <w:bottom w:val="single" w:sz="4" w:space="0" w:color="auto"/>
              <w:right w:val="single" w:sz="12" w:space="0" w:color="00B050"/>
            </w:tcBorders>
            <w:shd w:val="clear" w:color="auto" w:fill="auto"/>
            <w:vAlign w:val="center"/>
            <w:hideMark/>
          </w:tcPr>
          <w:p w14:paraId="3C4F3972"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120,72</w:t>
            </w:r>
          </w:p>
        </w:tc>
      </w:tr>
      <w:tr w:rsidR="00A16DDB" w:rsidRPr="00D95127" w14:paraId="5615AC06" w14:textId="77777777" w:rsidTr="007A627A">
        <w:trPr>
          <w:trHeight w:val="255"/>
        </w:trPr>
        <w:tc>
          <w:tcPr>
            <w:tcW w:w="960" w:type="dxa"/>
            <w:tcBorders>
              <w:top w:val="nil"/>
              <w:left w:val="single" w:sz="12" w:space="0" w:color="00B050"/>
              <w:bottom w:val="single" w:sz="4" w:space="0" w:color="000000"/>
              <w:right w:val="single" w:sz="12" w:space="0" w:color="00B050"/>
            </w:tcBorders>
            <w:shd w:val="clear" w:color="auto" w:fill="auto"/>
            <w:vAlign w:val="center"/>
            <w:hideMark/>
          </w:tcPr>
          <w:p w14:paraId="43B38F0E"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2018</w:t>
            </w:r>
          </w:p>
        </w:tc>
        <w:tc>
          <w:tcPr>
            <w:tcW w:w="960" w:type="dxa"/>
            <w:tcBorders>
              <w:top w:val="nil"/>
              <w:left w:val="nil"/>
              <w:bottom w:val="single" w:sz="4" w:space="0" w:color="auto"/>
              <w:right w:val="nil"/>
            </w:tcBorders>
            <w:shd w:val="clear" w:color="auto" w:fill="auto"/>
            <w:vAlign w:val="center"/>
            <w:hideMark/>
          </w:tcPr>
          <w:p w14:paraId="5A83DCDB"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9,12</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0FBCB66C"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205</w:t>
            </w:r>
          </w:p>
        </w:tc>
        <w:tc>
          <w:tcPr>
            <w:tcW w:w="960" w:type="dxa"/>
            <w:tcBorders>
              <w:top w:val="nil"/>
              <w:left w:val="nil"/>
              <w:bottom w:val="single" w:sz="4" w:space="0" w:color="auto"/>
              <w:right w:val="single" w:sz="12" w:space="0" w:color="00B050"/>
            </w:tcBorders>
            <w:shd w:val="clear" w:color="auto" w:fill="auto"/>
            <w:vAlign w:val="center"/>
            <w:hideMark/>
          </w:tcPr>
          <w:p w14:paraId="55AF002F"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22,47</w:t>
            </w:r>
          </w:p>
        </w:tc>
        <w:tc>
          <w:tcPr>
            <w:tcW w:w="960" w:type="dxa"/>
            <w:tcBorders>
              <w:top w:val="nil"/>
              <w:left w:val="nil"/>
              <w:bottom w:val="single" w:sz="4" w:space="0" w:color="auto"/>
              <w:right w:val="nil"/>
            </w:tcBorders>
            <w:shd w:val="clear" w:color="auto" w:fill="auto"/>
            <w:vAlign w:val="center"/>
            <w:hideMark/>
          </w:tcPr>
          <w:p w14:paraId="35A6F8B2"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5 901</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619F9489"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73 618</w:t>
            </w:r>
          </w:p>
        </w:tc>
        <w:tc>
          <w:tcPr>
            <w:tcW w:w="960" w:type="dxa"/>
            <w:tcBorders>
              <w:top w:val="nil"/>
              <w:left w:val="nil"/>
              <w:bottom w:val="single" w:sz="4" w:space="0" w:color="auto"/>
              <w:right w:val="single" w:sz="12" w:space="0" w:color="00B050"/>
            </w:tcBorders>
            <w:shd w:val="clear" w:color="auto" w:fill="auto"/>
            <w:vAlign w:val="center"/>
            <w:hideMark/>
          </w:tcPr>
          <w:p w14:paraId="42123DBC"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12,48</w:t>
            </w:r>
          </w:p>
        </w:tc>
        <w:tc>
          <w:tcPr>
            <w:tcW w:w="960" w:type="dxa"/>
            <w:tcBorders>
              <w:top w:val="nil"/>
              <w:left w:val="nil"/>
              <w:bottom w:val="single" w:sz="4" w:space="0" w:color="auto"/>
              <w:right w:val="nil"/>
            </w:tcBorders>
            <w:shd w:val="clear" w:color="auto" w:fill="auto"/>
            <w:vAlign w:val="center"/>
            <w:hideMark/>
          </w:tcPr>
          <w:p w14:paraId="50D739B3"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-5 891</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6BCD7126"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-73 413</w:t>
            </w:r>
          </w:p>
        </w:tc>
        <w:tc>
          <w:tcPr>
            <w:tcW w:w="960" w:type="dxa"/>
            <w:tcBorders>
              <w:top w:val="nil"/>
              <w:left w:val="nil"/>
              <w:bottom w:val="single" w:sz="4" w:space="0" w:color="auto"/>
              <w:right w:val="single" w:sz="12" w:space="0" w:color="00B050"/>
            </w:tcBorders>
            <w:shd w:val="clear" w:color="auto" w:fill="auto"/>
            <w:vAlign w:val="center"/>
            <w:hideMark/>
          </w:tcPr>
          <w:p w14:paraId="437AB8F0"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10,00</w:t>
            </w:r>
          </w:p>
        </w:tc>
      </w:tr>
      <w:tr w:rsidR="00A16DDB" w:rsidRPr="00D95127" w14:paraId="790E3C03" w14:textId="77777777" w:rsidTr="007A627A">
        <w:trPr>
          <w:trHeight w:val="255"/>
        </w:trPr>
        <w:tc>
          <w:tcPr>
            <w:tcW w:w="960" w:type="dxa"/>
            <w:tcBorders>
              <w:top w:val="nil"/>
              <w:left w:val="single" w:sz="12" w:space="0" w:color="00B050"/>
              <w:bottom w:val="single" w:sz="4" w:space="0" w:color="000000"/>
              <w:right w:val="single" w:sz="12" w:space="0" w:color="00B050"/>
            </w:tcBorders>
            <w:shd w:val="clear" w:color="auto" w:fill="auto"/>
            <w:vAlign w:val="center"/>
            <w:hideMark/>
          </w:tcPr>
          <w:p w14:paraId="18753E0B"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2019</w:t>
            </w:r>
          </w:p>
        </w:tc>
        <w:tc>
          <w:tcPr>
            <w:tcW w:w="960" w:type="dxa"/>
            <w:tcBorders>
              <w:top w:val="nil"/>
              <w:left w:val="nil"/>
              <w:bottom w:val="single" w:sz="4" w:space="0" w:color="auto"/>
              <w:right w:val="nil"/>
            </w:tcBorders>
            <w:shd w:val="clear" w:color="auto" w:fill="auto"/>
            <w:vAlign w:val="center"/>
            <w:hideMark/>
          </w:tcPr>
          <w:p w14:paraId="64D9F9FF"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0,55</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195888DA"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159</w:t>
            </w:r>
          </w:p>
        </w:tc>
        <w:tc>
          <w:tcPr>
            <w:tcW w:w="960" w:type="dxa"/>
            <w:tcBorders>
              <w:top w:val="nil"/>
              <w:left w:val="nil"/>
              <w:bottom w:val="single" w:sz="4" w:space="0" w:color="auto"/>
              <w:right w:val="single" w:sz="12" w:space="0" w:color="00B050"/>
            </w:tcBorders>
            <w:shd w:val="clear" w:color="auto" w:fill="auto"/>
            <w:vAlign w:val="center"/>
            <w:hideMark/>
          </w:tcPr>
          <w:p w14:paraId="7486C52B"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286,62</w:t>
            </w:r>
          </w:p>
        </w:tc>
        <w:tc>
          <w:tcPr>
            <w:tcW w:w="960" w:type="dxa"/>
            <w:tcBorders>
              <w:top w:val="nil"/>
              <w:left w:val="nil"/>
              <w:bottom w:val="single" w:sz="4" w:space="0" w:color="auto"/>
              <w:right w:val="nil"/>
            </w:tcBorders>
            <w:shd w:val="clear" w:color="auto" w:fill="auto"/>
            <w:vAlign w:val="center"/>
            <w:hideMark/>
          </w:tcPr>
          <w:p w14:paraId="714708BD"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5 521</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4D274042"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72 122</w:t>
            </w:r>
          </w:p>
        </w:tc>
        <w:tc>
          <w:tcPr>
            <w:tcW w:w="960" w:type="dxa"/>
            <w:tcBorders>
              <w:top w:val="nil"/>
              <w:left w:val="nil"/>
              <w:bottom w:val="single" w:sz="4" w:space="0" w:color="auto"/>
              <w:right w:val="single" w:sz="12" w:space="0" w:color="00B050"/>
            </w:tcBorders>
            <w:shd w:val="clear" w:color="auto" w:fill="auto"/>
            <w:vAlign w:val="center"/>
            <w:hideMark/>
          </w:tcPr>
          <w:p w14:paraId="75D8F8B8"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13,06</w:t>
            </w:r>
          </w:p>
        </w:tc>
        <w:tc>
          <w:tcPr>
            <w:tcW w:w="960" w:type="dxa"/>
            <w:tcBorders>
              <w:top w:val="nil"/>
              <w:left w:val="nil"/>
              <w:bottom w:val="single" w:sz="4" w:space="0" w:color="auto"/>
              <w:right w:val="nil"/>
            </w:tcBorders>
            <w:shd w:val="clear" w:color="auto" w:fill="auto"/>
            <w:vAlign w:val="center"/>
            <w:hideMark/>
          </w:tcPr>
          <w:p w14:paraId="1FCA9565"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-5 521</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39D2028F"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-71 963</w:t>
            </w:r>
          </w:p>
        </w:tc>
        <w:tc>
          <w:tcPr>
            <w:tcW w:w="960" w:type="dxa"/>
            <w:tcBorders>
              <w:top w:val="nil"/>
              <w:left w:val="nil"/>
              <w:bottom w:val="single" w:sz="4" w:space="0" w:color="auto"/>
              <w:right w:val="single" w:sz="12" w:space="0" w:color="00B050"/>
            </w:tcBorders>
            <w:shd w:val="clear" w:color="auto" w:fill="auto"/>
            <w:vAlign w:val="center"/>
            <w:hideMark/>
          </w:tcPr>
          <w:p w14:paraId="48B8EAA3"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273,56</w:t>
            </w:r>
          </w:p>
        </w:tc>
      </w:tr>
      <w:tr w:rsidR="00A16DDB" w:rsidRPr="00D95127" w14:paraId="659E8752" w14:textId="77777777" w:rsidTr="007A627A">
        <w:trPr>
          <w:trHeight w:val="270"/>
        </w:trPr>
        <w:tc>
          <w:tcPr>
            <w:tcW w:w="960" w:type="dxa"/>
            <w:tcBorders>
              <w:top w:val="nil"/>
              <w:left w:val="single" w:sz="12" w:space="0" w:color="00B050"/>
              <w:bottom w:val="single" w:sz="12" w:space="0" w:color="00B050"/>
              <w:right w:val="single" w:sz="12" w:space="0" w:color="00B050"/>
            </w:tcBorders>
            <w:shd w:val="clear" w:color="auto" w:fill="auto"/>
            <w:vAlign w:val="center"/>
            <w:hideMark/>
          </w:tcPr>
          <w:p w14:paraId="32214643"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2020</w:t>
            </w:r>
          </w:p>
        </w:tc>
        <w:tc>
          <w:tcPr>
            <w:tcW w:w="960" w:type="dxa"/>
            <w:tcBorders>
              <w:top w:val="nil"/>
              <w:left w:val="nil"/>
              <w:bottom w:val="single" w:sz="12" w:space="0" w:color="00B050"/>
              <w:right w:val="nil"/>
            </w:tcBorders>
            <w:shd w:val="clear" w:color="auto" w:fill="auto"/>
            <w:vAlign w:val="center"/>
            <w:hideMark/>
          </w:tcPr>
          <w:p w14:paraId="419145E4"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26,55</w:t>
            </w:r>
          </w:p>
        </w:tc>
        <w:tc>
          <w:tcPr>
            <w:tcW w:w="960" w:type="dxa"/>
            <w:tcBorders>
              <w:top w:val="nil"/>
              <w:left w:val="single" w:sz="4" w:space="0" w:color="00B050"/>
              <w:bottom w:val="single" w:sz="12" w:space="0" w:color="00B050"/>
              <w:right w:val="single" w:sz="4" w:space="0" w:color="00B050"/>
            </w:tcBorders>
            <w:shd w:val="clear" w:color="auto" w:fill="auto"/>
            <w:vAlign w:val="center"/>
            <w:hideMark/>
          </w:tcPr>
          <w:p w14:paraId="7D331597"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1 601</w:t>
            </w:r>
          </w:p>
        </w:tc>
        <w:tc>
          <w:tcPr>
            <w:tcW w:w="960" w:type="dxa"/>
            <w:tcBorders>
              <w:top w:val="nil"/>
              <w:left w:val="nil"/>
              <w:bottom w:val="single" w:sz="12" w:space="0" w:color="00B050"/>
              <w:right w:val="single" w:sz="12" w:space="0" w:color="00B050"/>
            </w:tcBorders>
            <w:shd w:val="clear" w:color="auto" w:fill="auto"/>
            <w:vAlign w:val="center"/>
            <w:hideMark/>
          </w:tcPr>
          <w:p w14:paraId="2BD032EC"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60,30</w:t>
            </w:r>
          </w:p>
        </w:tc>
        <w:tc>
          <w:tcPr>
            <w:tcW w:w="960" w:type="dxa"/>
            <w:tcBorders>
              <w:top w:val="nil"/>
              <w:left w:val="nil"/>
              <w:bottom w:val="single" w:sz="12" w:space="0" w:color="00B050"/>
              <w:right w:val="nil"/>
            </w:tcBorders>
            <w:shd w:val="clear" w:color="auto" w:fill="auto"/>
            <w:vAlign w:val="center"/>
            <w:hideMark/>
          </w:tcPr>
          <w:p w14:paraId="6D3E6551"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4 893</w:t>
            </w:r>
          </w:p>
        </w:tc>
        <w:tc>
          <w:tcPr>
            <w:tcW w:w="960" w:type="dxa"/>
            <w:tcBorders>
              <w:top w:val="nil"/>
              <w:left w:val="single" w:sz="4" w:space="0" w:color="00B050"/>
              <w:bottom w:val="single" w:sz="12" w:space="0" w:color="00B050"/>
              <w:right w:val="single" w:sz="4" w:space="0" w:color="00B050"/>
            </w:tcBorders>
            <w:shd w:val="clear" w:color="auto" w:fill="auto"/>
            <w:vAlign w:val="center"/>
            <w:hideMark/>
          </w:tcPr>
          <w:p w14:paraId="0DC1CF9C"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62 634</w:t>
            </w:r>
          </w:p>
        </w:tc>
        <w:tc>
          <w:tcPr>
            <w:tcW w:w="960" w:type="dxa"/>
            <w:tcBorders>
              <w:top w:val="nil"/>
              <w:left w:val="nil"/>
              <w:bottom w:val="single" w:sz="12" w:space="0" w:color="00B050"/>
              <w:right w:val="single" w:sz="12" w:space="0" w:color="00B050"/>
            </w:tcBorders>
            <w:shd w:val="clear" w:color="auto" w:fill="auto"/>
            <w:vAlign w:val="center"/>
            <w:hideMark/>
          </w:tcPr>
          <w:p w14:paraId="5F465ED3"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12,80</w:t>
            </w:r>
          </w:p>
        </w:tc>
        <w:tc>
          <w:tcPr>
            <w:tcW w:w="960" w:type="dxa"/>
            <w:tcBorders>
              <w:top w:val="nil"/>
              <w:left w:val="nil"/>
              <w:bottom w:val="single" w:sz="12" w:space="0" w:color="00B050"/>
              <w:right w:val="nil"/>
            </w:tcBorders>
            <w:shd w:val="clear" w:color="auto" w:fill="auto"/>
            <w:vAlign w:val="center"/>
            <w:hideMark/>
          </w:tcPr>
          <w:p w14:paraId="29B0A59C"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-4 867</w:t>
            </w:r>
          </w:p>
        </w:tc>
        <w:tc>
          <w:tcPr>
            <w:tcW w:w="960" w:type="dxa"/>
            <w:tcBorders>
              <w:top w:val="nil"/>
              <w:left w:val="single" w:sz="4" w:space="0" w:color="00B050"/>
              <w:bottom w:val="single" w:sz="12" w:space="0" w:color="00B050"/>
              <w:right w:val="single" w:sz="4" w:space="0" w:color="00B050"/>
            </w:tcBorders>
            <w:shd w:val="clear" w:color="auto" w:fill="auto"/>
            <w:vAlign w:val="center"/>
            <w:hideMark/>
          </w:tcPr>
          <w:p w14:paraId="78CE2D28"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-61 033</w:t>
            </w:r>
          </w:p>
        </w:tc>
        <w:tc>
          <w:tcPr>
            <w:tcW w:w="960" w:type="dxa"/>
            <w:tcBorders>
              <w:top w:val="nil"/>
              <w:left w:val="nil"/>
              <w:bottom w:val="single" w:sz="12" w:space="0" w:color="00B050"/>
              <w:right w:val="single" w:sz="12" w:space="0" w:color="00B050"/>
            </w:tcBorders>
            <w:shd w:val="clear" w:color="auto" w:fill="auto"/>
            <w:vAlign w:val="center"/>
            <w:hideMark/>
          </w:tcPr>
          <w:p w14:paraId="18A74F6B"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47,50</w:t>
            </w:r>
          </w:p>
        </w:tc>
      </w:tr>
    </w:tbl>
    <w:p w14:paraId="0DBA519F" w14:textId="77777777" w:rsidR="00A16DDB" w:rsidRPr="00D95127" w:rsidRDefault="00A16DDB" w:rsidP="00A37B3C">
      <w:pPr>
        <w:pStyle w:val="UZEIZdroj"/>
        <w:rPr>
          <w:i w:val="0"/>
          <w:iCs w:val="0"/>
          <w:sz w:val="16"/>
          <w:szCs w:val="16"/>
        </w:rPr>
      </w:pPr>
      <w:r w:rsidRPr="00D95127">
        <w:t>Zdroj: Celní statistika MZe</w:t>
      </w:r>
    </w:p>
    <w:p w14:paraId="3FDA0BC4" w14:textId="77777777" w:rsidR="00A16DDB" w:rsidRPr="00D95127" w:rsidRDefault="00A16DDB" w:rsidP="00A37B3C">
      <w:pPr>
        <w:pStyle w:val="UZEIZdroj"/>
        <w:rPr>
          <w:i w:val="0"/>
          <w:iCs w:val="0"/>
          <w:sz w:val="16"/>
          <w:szCs w:val="16"/>
        </w:rPr>
      </w:pPr>
      <w:r w:rsidRPr="00D95127">
        <w:t xml:space="preserve">Poznámka: Pravé konopí, surové nebo </w:t>
      </w:r>
      <w:r w:rsidRPr="00D95127">
        <w:rPr>
          <w:sz w:val="16"/>
          <w:szCs w:val="16"/>
        </w:rPr>
        <w:t>máčené a Pravé konopí (Cannabis sativa L.), zpracované, avšak nespředené; koudel a odpad z pravého konopí, včetně niťového odpadu a rozvlákněného materiálu (kromě surového)</w:t>
      </w:r>
    </w:p>
    <w:p w14:paraId="2B02313A" w14:textId="0822DAB3" w:rsidR="00A16DDB" w:rsidRDefault="00A16DDB" w:rsidP="00A16DDB">
      <w:pPr>
        <w:rPr>
          <w:rFonts w:cs="Times New Roman"/>
          <w:i/>
          <w:iCs/>
          <w:sz w:val="16"/>
          <w:szCs w:val="16"/>
          <w:lang w:val="cs-CZ"/>
        </w:rPr>
      </w:pPr>
    </w:p>
    <w:p w14:paraId="3C2CC936" w14:textId="1D3001B3" w:rsidR="00467D08" w:rsidRDefault="00467D08" w:rsidP="00A16DDB">
      <w:pPr>
        <w:rPr>
          <w:rFonts w:cs="Times New Roman"/>
          <w:i/>
          <w:iCs/>
          <w:sz w:val="16"/>
          <w:szCs w:val="16"/>
          <w:lang w:val="cs-CZ"/>
        </w:rPr>
      </w:pPr>
    </w:p>
    <w:p w14:paraId="55BDE4C7" w14:textId="77777777" w:rsidR="00467D08" w:rsidRPr="00D95127" w:rsidRDefault="00467D08" w:rsidP="00A16DDB">
      <w:pPr>
        <w:rPr>
          <w:rFonts w:cs="Times New Roman"/>
          <w:i/>
          <w:iCs/>
          <w:sz w:val="16"/>
          <w:szCs w:val="16"/>
          <w:lang w:val="cs-CZ"/>
        </w:rPr>
      </w:pPr>
    </w:p>
    <w:p w14:paraId="0E273B71" w14:textId="5CBBB5C1" w:rsidR="00A16DDB" w:rsidRPr="00467D08" w:rsidRDefault="00A16DDB" w:rsidP="00467D08">
      <w:pPr>
        <w:pStyle w:val="UZEIGraf"/>
      </w:pPr>
      <w:bookmarkStart w:id="740" w:name="_Toc81738807"/>
      <w:r w:rsidRPr="00467D08">
        <w:t>Zahraniční obchod – Konopí (t)</w:t>
      </w:r>
      <w:bookmarkEnd w:id="740"/>
    </w:p>
    <w:p w14:paraId="12200877" w14:textId="77777777" w:rsidR="00A16DDB" w:rsidRPr="00D95127" w:rsidRDefault="00A16DDB" w:rsidP="00A16DDB">
      <w:pPr>
        <w:rPr>
          <w:rFonts w:cs="Times New Roman"/>
          <w:lang w:val="cs-CZ"/>
        </w:rPr>
      </w:pPr>
      <w:r w:rsidRPr="00D95127">
        <w:rPr>
          <w:rFonts w:cs="Times New Roman"/>
          <w:noProof/>
          <w:lang w:val="cs-CZ"/>
        </w:rPr>
        <w:drawing>
          <wp:inline distT="0" distB="0" distL="0" distR="0" wp14:anchorId="7FDD9810" wp14:editId="731FA581">
            <wp:extent cx="5206621" cy="2743200"/>
            <wp:effectExtent l="0" t="0" r="13335" b="0"/>
            <wp:docPr id="132" name="Graf 132">
              <a:extLst xmlns:a="http://schemas.openxmlformats.org/drawingml/2006/main">
                <a:ext uri="{FF2B5EF4-FFF2-40B4-BE49-F238E27FC236}">
                  <a16:creationId xmlns:a16="http://schemas.microsoft.com/office/drawing/2014/main" id="{3A7383B7-B15B-4FD1-84B4-C49D0513422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14:paraId="71F1695C" w14:textId="77777777" w:rsidR="00A16DDB" w:rsidRPr="00D95127" w:rsidRDefault="00A16DDB" w:rsidP="00A37B3C">
      <w:pPr>
        <w:pStyle w:val="UZEIZdroj"/>
        <w:rPr>
          <w:i w:val="0"/>
          <w:iCs w:val="0"/>
          <w:sz w:val="16"/>
          <w:szCs w:val="16"/>
        </w:rPr>
      </w:pPr>
      <w:r w:rsidRPr="00D95127">
        <w:t>Zdroj: Celní statistika MZe</w:t>
      </w:r>
    </w:p>
    <w:p w14:paraId="5563EE19" w14:textId="77777777" w:rsidR="00A16DDB" w:rsidRPr="00D95127" w:rsidRDefault="00A16DDB" w:rsidP="00A37B3C">
      <w:pPr>
        <w:pStyle w:val="UZEIZdroj"/>
        <w:rPr>
          <w:i w:val="0"/>
          <w:iCs w:val="0"/>
          <w:sz w:val="16"/>
          <w:szCs w:val="16"/>
        </w:rPr>
      </w:pPr>
      <w:r w:rsidRPr="00D95127">
        <w:t>Poznámka: Pravé konopí, surové nebo máčené a Pravé konopí (Cannabis sativa L.), zpracované, avšak nespředené; koudel a odpad z pravého konopí, včetně niťového odpadu a rozvlákněného materiálu (kromě surového)</w:t>
      </w:r>
    </w:p>
    <w:p w14:paraId="4DEA2344" w14:textId="5F9482EB" w:rsidR="00A16DDB" w:rsidRPr="00467D08" w:rsidRDefault="00A16DDB" w:rsidP="00467D08">
      <w:pPr>
        <w:pStyle w:val="UZEIGraf"/>
      </w:pPr>
      <w:bookmarkStart w:id="741" w:name="_Toc81738808"/>
      <w:r w:rsidRPr="00467D08">
        <w:t>Zahraniční obchod – Konopí (mil. Kč)</w:t>
      </w:r>
      <w:bookmarkEnd w:id="741"/>
    </w:p>
    <w:p w14:paraId="2A57B375" w14:textId="77777777" w:rsidR="00A16DDB" w:rsidRPr="00D95127" w:rsidRDefault="00A16DDB" w:rsidP="00A16DDB">
      <w:pPr>
        <w:rPr>
          <w:rFonts w:cs="Times New Roman"/>
          <w:i/>
          <w:iCs/>
          <w:sz w:val="16"/>
          <w:szCs w:val="16"/>
          <w:lang w:val="cs-CZ"/>
        </w:rPr>
      </w:pPr>
      <w:r w:rsidRPr="00D95127">
        <w:rPr>
          <w:rFonts w:cs="Times New Roman"/>
          <w:noProof/>
          <w:lang w:val="cs-CZ"/>
        </w:rPr>
        <w:drawing>
          <wp:inline distT="0" distB="0" distL="0" distR="0" wp14:anchorId="201D4445" wp14:editId="1DD0CF07">
            <wp:extent cx="5186149" cy="2743200"/>
            <wp:effectExtent l="0" t="0" r="14605" b="0"/>
            <wp:docPr id="133" name="Graf 133">
              <a:extLst xmlns:a="http://schemas.openxmlformats.org/drawingml/2006/main">
                <a:ext uri="{FF2B5EF4-FFF2-40B4-BE49-F238E27FC236}">
                  <a16:creationId xmlns:a16="http://schemas.microsoft.com/office/drawing/2014/main" id="{D5C24731-1CE2-4A50-91F3-A491674851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14:paraId="018C5B7C" w14:textId="77777777" w:rsidR="00A16DDB" w:rsidRPr="00D95127" w:rsidRDefault="00A16DDB" w:rsidP="00A37B3C">
      <w:pPr>
        <w:pStyle w:val="UZEIZdroj"/>
        <w:rPr>
          <w:i w:val="0"/>
          <w:iCs w:val="0"/>
          <w:sz w:val="16"/>
          <w:szCs w:val="16"/>
        </w:rPr>
      </w:pPr>
      <w:r w:rsidRPr="00D95127">
        <w:t>Zdroj: Celní statistika MZe</w:t>
      </w:r>
    </w:p>
    <w:p w14:paraId="009E5E92" w14:textId="77777777" w:rsidR="00A16DDB" w:rsidRPr="00D95127" w:rsidRDefault="00A16DDB" w:rsidP="00A37B3C">
      <w:pPr>
        <w:pStyle w:val="UZEIZdroj"/>
        <w:rPr>
          <w:i w:val="0"/>
          <w:iCs w:val="0"/>
          <w:sz w:val="16"/>
          <w:szCs w:val="16"/>
        </w:rPr>
      </w:pPr>
      <w:r w:rsidRPr="00D95127">
        <w:t>Poznámka: Pravé konopí, surové nebo máčené a Pravé konopí (Cannabis sativa L.), zpracované, avšak nespředené; koudel a odpad z pravého konopí, včetně niťového odpadu a rozvlákněného materiálu (kromě surového)</w:t>
      </w:r>
    </w:p>
    <w:p w14:paraId="569EB532" w14:textId="77777777" w:rsidR="00A16DDB" w:rsidRPr="00D95127" w:rsidRDefault="00A16DDB" w:rsidP="00A16DDB">
      <w:pPr>
        <w:rPr>
          <w:rFonts w:cs="Times New Roman"/>
          <w:lang w:val="cs-CZ"/>
        </w:rPr>
      </w:pPr>
    </w:p>
    <w:p w14:paraId="219A204F" w14:textId="77777777" w:rsidR="00A16DDB" w:rsidRPr="00D95127" w:rsidRDefault="00A16DDB" w:rsidP="00A16DDB">
      <w:pPr>
        <w:rPr>
          <w:rFonts w:cs="Times New Roman"/>
          <w:lang w:val="cs-CZ"/>
        </w:rPr>
      </w:pPr>
      <w:r w:rsidRPr="00D95127">
        <w:rPr>
          <w:rFonts w:cs="Times New Roman"/>
          <w:lang w:val="cs-CZ"/>
        </w:rPr>
        <w:br w:type="page"/>
      </w:r>
    </w:p>
    <w:p w14:paraId="30D63976" w14:textId="5BBA7187" w:rsidR="00A16DDB" w:rsidRPr="00D95127" w:rsidRDefault="00A16DDB" w:rsidP="00A37B3C">
      <w:pPr>
        <w:pStyle w:val="UZEITaB"/>
      </w:pPr>
      <w:r>
        <w:t xml:space="preserve"> </w:t>
      </w:r>
      <w:bookmarkStart w:id="742" w:name="_Toc81738507"/>
      <w:r w:rsidRPr="00D95127">
        <w:t>Zahraniční obchod – Konopí – obchodní partneři</w:t>
      </w:r>
      <w:bookmarkEnd w:id="742"/>
    </w:p>
    <w:p w14:paraId="256737A4" w14:textId="77777777" w:rsidR="00A16DDB" w:rsidRPr="00D95127" w:rsidRDefault="00A16DDB" w:rsidP="00A16DDB">
      <w:pPr>
        <w:rPr>
          <w:rFonts w:cs="Times New Roman"/>
          <w:lang w:val="cs-CZ"/>
        </w:rPr>
      </w:pPr>
      <w:r w:rsidRPr="00D95127">
        <w:rPr>
          <w:rFonts w:cs="Times New Roman"/>
          <w:noProof/>
          <w:lang w:val="cs-CZ"/>
        </w:rPr>
        <w:drawing>
          <wp:inline distT="0" distB="0" distL="0" distR="0" wp14:anchorId="6EA30FB7" wp14:editId="009EC6F6">
            <wp:extent cx="5097439" cy="4885690"/>
            <wp:effectExtent l="0" t="0" r="0"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098942" cy="4887131"/>
                    </a:xfrm>
                    <a:prstGeom prst="rect">
                      <a:avLst/>
                    </a:prstGeom>
                    <a:noFill/>
                    <a:ln>
                      <a:noFill/>
                    </a:ln>
                  </pic:spPr>
                </pic:pic>
              </a:graphicData>
            </a:graphic>
          </wp:inline>
        </w:drawing>
      </w:r>
    </w:p>
    <w:p w14:paraId="1B361FD9" w14:textId="486EFF4B" w:rsidR="00A16DDB" w:rsidRPr="00D95127" w:rsidRDefault="00A16DDB" w:rsidP="00A37B3C">
      <w:pPr>
        <w:pStyle w:val="UZEITaB"/>
      </w:pPr>
      <w:r>
        <w:t xml:space="preserve"> </w:t>
      </w:r>
      <w:bookmarkStart w:id="743" w:name="_Toc81738508"/>
      <w:r w:rsidRPr="00D95127">
        <w:t>Zahraniční obchod - Konopná semena, též drcená (kromě semen k setí)</w:t>
      </w:r>
      <w:bookmarkEnd w:id="743"/>
    </w:p>
    <w:tbl>
      <w:tblPr>
        <w:tblW w:w="9600" w:type="dxa"/>
        <w:tblCellMar>
          <w:left w:w="70" w:type="dxa"/>
          <w:right w:w="70" w:type="dxa"/>
        </w:tblCellMar>
        <w:tblLook w:val="04A0" w:firstRow="1" w:lastRow="0" w:firstColumn="1" w:lastColumn="0" w:noHBand="0" w:noVBand="1"/>
      </w:tblPr>
      <w:tblGrid>
        <w:gridCol w:w="960"/>
        <w:gridCol w:w="960"/>
        <w:gridCol w:w="960"/>
        <w:gridCol w:w="960"/>
        <w:gridCol w:w="960"/>
        <w:gridCol w:w="960"/>
        <w:gridCol w:w="960"/>
        <w:gridCol w:w="960"/>
        <w:gridCol w:w="960"/>
        <w:gridCol w:w="960"/>
      </w:tblGrid>
      <w:tr w:rsidR="00A16DDB" w:rsidRPr="00D95127" w14:paraId="5EFD617B" w14:textId="77777777" w:rsidTr="007A627A">
        <w:trPr>
          <w:trHeight w:val="270"/>
        </w:trPr>
        <w:tc>
          <w:tcPr>
            <w:tcW w:w="960" w:type="dxa"/>
            <w:vMerge w:val="restart"/>
            <w:tcBorders>
              <w:top w:val="single" w:sz="12" w:space="0" w:color="00B050"/>
              <w:left w:val="single" w:sz="12" w:space="0" w:color="00B050"/>
              <w:bottom w:val="nil"/>
              <w:right w:val="single" w:sz="12" w:space="0" w:color="00B050"/>
            </w:tcBorders>
            <w:shd w:val="clear" w:color="000000" w:fill="00B050"/>
            <w:vAlign w:val="center"/>
            <w:hideMark/>
          </w:tcPr>
          <w:p w14:paraId="067077B7"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Rok</w:t>
            </w:r>
          </w:p>
        </w:tc>
        <w:tc>
          <w:tcPr>
            <w:tcW w:w="2880" w:type="dxa"/>
            <w:gridSpan w:val="3"/>
            <w:tcBorders>
              <w:top w:val="single" w:sz="12" w:space="0" w:color="00B050"/>
              <w:left w:val="nil"/>
              <w:bottom w:val="nil"/>
              <w:right w:val="single" w:sz="12" w:space="0" w:color="00B050"/>
            </w:tcBorders>
            <w:shd w:val="clear" w:color="000000" w:fill="00B050"/>
            <w:vAlign w:val="center"/>
            <w:hideMark/>
          </w:tcPr>
          <w:p w14:paraId="23AD5D95"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Vývoz</w:t>
            </w:r>
          </w:p>
        </w:tc>
        <w:tc>
          <w:tcPr>
            <w:tcW w:w="2880" w:type="dxa"/>
            <w:gridSpan w:val="3"/>
            <w:tcBorders>
              <w:top w:val="single" w:sz="12" w:space="0" w:color="00B050"/>
              <w:left w:val="nil"/>
              <w:bottom w:val="nil"/>
              <w:right w:val="nil"/>
            </w:tcBorders>
            <w:shd w:val="clear" w:color="000000" w:fill="00B050"/>
            <w:vAlign w:val="center"/>
            <w:hideMark/>
          </w:tcPr>
          <w:p w14:paraId="4CEBD626"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Dovoz</w:t>
            </w:r>
          </w:p>
        </w:tc>
        <w:tc>
          <w:tcPr>
            <w:tcW w:w="2880" w:type="dxa"/>
            <w:gridSpan w:val="3"/>
            <w:tcBorders>
              <w:top w:val="single" w:sz="12" w:space="0" w:color="00B050"/>
              <w:left w:val="nil"/>
              <w:bottom w:val="nil"/>
              <w:right w:val="single" w:sz="12" w:space="0" w:color="00B050"/>
            </w:tcBorders>
            <w:shd w:val="clear" w:color="000000" w:fill="00B050"/>
            <w:vAlign w:val="center"/>
            <w:hideMark/>
          </w:tcPr>
          <w:p w14:paraId="0E83526A"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Saldo</w:t>
            </w:r>
          </w:p>
        </w:tc>
      </w:tr>
      <w:tr w:rsidR="00A16DDB" w:rsidRPr="00D95127" w14:paraId="18C1011F" w14:textId="77777777" w:rsidTr="007A627A">
        <w:trPr>
          <w:trHeight w:val="315"/>
        </w:trPr>
        <w:tc>
          <w:tcPr>
            <w:tcW w:w="960" w:type="dxa"/>
            <w:vMerge/>
            <w:tcBorders>
              <w:top w:val="single" w:sz="12" w:space="0" w:color="00B050"/>
              <w:left w:val="single" w:sz="12" w:space="0" w:color="00B050"/>
              <w:bottom w:val="nil"/>
              <w:right w:val="single" w:sz="12" w:space="0" w:color="00B050"/>
            </w:tcBorders>
            <w:vAlign w:val="center"/>
            <w:hideMark/>
          </w:tcPr>
          <w:p w14:paraId="399195A2" w14:textId="77777777" w:rsidR="00A16DDB" w:rsidRPr="00A37B3C" w:rsidRDefault="00A16DDB" w:rsidP="007A627A">
            <w:pPr>
              <w:rPr>
                <w:rFonts w:eastAsia="Times New Roman" w:cs="Times New Roman"/>
                <w:b/>
                <w:color w:val="FFFFFF"/>
                <w:sz w:val="22"/>
                <w:lang w:val="cs-CZ" w:eastAsia="cs-CZ"/>
              </w:rPr>
            </w:pPr>
          </w:p>
        </w:tc>
        <w:tc>
          <w:tcPr>
            <w:tcW w:w="960" w:type="dxa"/>
            <w:tcBorders>
              <w:top w:val="nil"/>
              <w:left w:val="nil"/>
              <w:bottom w:val="nil"/>
              <w:right w:val="nil"/>
            </w:tcBorders>
            <w:shd w:val="clear" w:color="000000" w:fill="00B050"/>
            <w:vAlign w:val="center"/>
            <w:hideMark/>
          </w:tcPr>
          <w:p w14:paraId="21263B8C"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tun</w:t>
            </w:r>
          </w:p>
        </w:tc>
        <w:tc>
          <w:tcPr>
            <w:tcW w:w="960" w:type="dxa"/>
            <w:tcBorders>
              <w:top w:val="nil"/>
              <w:left w:val="nil"/>
              <w:bottom w:val="nil"/>
              <w:right w:val="nil"/>
            </w:tcBorders>
            <w:shd w:val="clear" w:color="000000" w:fill="00B050"/>
            <w:vAlign w:val="center"/>
            <w:hideMark/>
          </w:tcPr>
          <w:p w14:paraId="52C73F94"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mil. Kč</w:t>
            </w:r>
          </w:p>
        </w:tc>
        <w:tc>
          <w:tcPr>
            <w:tcW w:w="960" w:type="dxa"/>
            <w:tcBorders>
              <w:top w:val="nil"/>
              <w:left w:val="nil"/>
              <w:bottom w:val="nil"/>
              <w:right w:val="single" w:sz="12" w:space="0" w:color="00B050"/>
            </w:tcBorders>
            <w:shd w:val="clear" w:color="000000" w:fill="00B050"/>
            <w:vAlign w:val="center"/>
            <w:hideMark/>
          </w:tcPr>
          <w:p w14:paraId="40DEE2D0"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Kč/kg</w:t>
            </w:r>
          </w:p>
        </w:tc>
        <w:tc>
          <w:tcPr>
            <w:tcW w:w="960" w:type="dxa"/>
            <w:tcBorders>
              <w:top w:val="nil"/>
              <w:left w:val="nil"/>
              <w:bottom w:val="nil"/>
              <w:right w:val="nil"/>
            </w:tcBorders>
            <w:shd w:val="clear" w:color="000000" w:fill="00B050"/>
            <w:vAlign w:val="center"/>
            <w:hideMark/>
          </w:tcPr>
          <w:p w14:paraId="41B01B6E"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tun</w:t>
            </w:r>
          </w:p>
        </w:tc>
        <w:tc>
          <w:tcPr>
            <w:tcW w:w="960" w:type="dxa"/>
            <w:tcBorders>
              <w:top w:val="nil"/>
              <w:left w:val="nil"/>
              <w:bottom w:val="nil"/>
              <w:right w:val="nil"/>
            </w:tcBorders>
            <w:shd w:val="clear" w:color="000000" w:fill="00B050"/>
            <w:vAlign w:val="center"/>
            <w:hideMark/>
          </w:tcPr>
          <w:p w14:paraId="1C192AF2"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mil. Kč</w:t>
            </w:r>
          </w:p>
        </w:tc>
        <w:tc>
          <w:tcPr>
            <w:tcW w:w="960" w:type="dxa"/>
            <w:tcBorders>
              <w:top w:val="nil"/>
              <w:left w:val="nil"/>
              <w:bottom w:val="nil"/>
              <w:right w:val="nil"/>
            </w:tcBorders>
            <w:shd w:val="clear" w:color="000000" w:fill="00B050"/>
            <w:vAlign w:val="center"/>
            <w:hideMark/>
          </w:tcPr>
          <w:p w14:paraId="0C91538B"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Kč/kg</w:t>
            </w:r>
          </w:p>
        </w:tc>
        <w:tc>
          <w:tcPr>
            <w:tcW w:w="960" w:type="dxa"/>
            <w:tcBorders>
              <w:top w:val="nil"/>
              <w:left w:val="nil"/>
              <w:bottom w:val="nil"/>
              <w:right w:val="nil"/>
            </w:tcBorders>
            <w:shd w:val="clear" w:color="000000" w:fill="00B050"/>
            <w:vAlign w:val="center"/>
            <w:hideMark/>
          </w:tcPr>
          <w:p w14:paraId="3E3EB5DE"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tun</w:t>
            </w:r>
          </w:p>
        </w:tc>
        <w:tc>
          <w:tcPr>
            <w:tcW w:w="960" w:type="dxa"/>
            <w:tcBorders>
              <w:top w:val="nil"/>
              <w:left w:val="nil"/>
              <w:bottom w:val="nil"/>
              <w:right w:val="nil"/>
            </w:tcBorders>
            <w:shd w:val="clear" w:color="000000" w:fill="00B050"/>
            <w:vAlign w:val="center"/>
            <w:hideMark/>
          </w:tcPr>
          <w:p w14:paraId="06D3CC3C"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mil. Kč</w:t>
            </w:r>
          </w:p>
        </w:tc>
        <w:tc>
          <w:tcPr>
            <w:tcW w:w="960" w:type="dxa"/>
            <w:tcBorders>
              <w:top w:val="nil"/>
              <w:left w:val="nil"/>
              <w:bottom w:val="nil"/>
              <w:right w:val="single" w:sz="12" w:space="0" w:color="00B050"/>
            </w:tcBorders>
            <w:shd w:val="clear" w:color="000000" w:fill="00B050"/>
            <w:vAlign w:val="center"/>
            <w:hideMark/>
          </w:tcPr>
          <w:p w14:paraId="064ED153" w14:textId="77777777" w:rsidR="00A16DDB" w:rsidRPr="00A37B3C" w:rsidRDefault="00A16DDB" w:rsidP="007A627A">
            <w:pPr>
              <w:jc w:val="center"/>
              <w:rPr>
                <w:rFonts w:eastAsia="Times New Roman" w:cs="Times New Roman"/>
                <w:b/>
                <w:color w:val="FFFFFF"/>
                <w:sz w:val="22"/>
                <w:lang w:val="cs-CZ" w:eastAsia="cs-CZ"/>
              </w:rPr>
            </w:pPr>
            <w:r w:rsidRPr="00A37B3C">
              <w:rPr>
                <w:rFonts w:eastAsia="Times New Roman" w:cs="Times New Roman"/>
                <w:b/>
                <w:color w:val="FFFFFF"/>
                <w:sz w:val="22"/>
                <w:lang w:val="cs-CZ" w:eastAsia="cs-CZ"/>
              </w:rPr>
              <w:t>Kč/kg</w:t>
            </w:r>
          </w:p>
        </w:tc>
      </w:tr>
      <w:tr w:rsidR="00A16DDB" w:rsidRPr="00D95127" w14:paraId="75607CE3" w14:textId="77777777" w:rsidTr="007A627A">
        <w:trPr>
          <w:trHeight w:val="270"/>
        </w:trPr>
        <w:tc>
          <w:tcPr>
            <w:tcW w:w="960" w:type="dxa"/>
            <w:tcBorders>
              <w:top w:val="single" w:sz="12" w:space="0" w:color="00B050"/>
              <w:left w:val="single" w:sz="12" w:space="0" w:color="00B050"/>
              <w:bottom w:val="single" w:sz="4" w:space="0" w:color="000000"/>
              <w:right w:val="single" w:sz="12" w:space="0" w:color="00B050"/>
            </w:tcBorders>
            <w:shd w:val="clear" w:color="auto" w:fill="auto"/>
            <w:vAlign w:val="center"/>
            <w:hideMark/>
          </w:tcPr>
          <w:p w14:paraId="3F54BCEE"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2014</w:t>
            </w:r>
          </w:p>
        </w:tc>
        <w:tc>
          <w:tcPr>
            <w:tcW w:w="960" w:type="dxa"/>
            <w:tcBorders>
              <w:top w:val="single" w:sz="12" w:space="0" w:color="00B050"/>
              <w:left w:val="nil"/>
              <w:bottom w:val="single" w:sz="4" w:space="0" w:color="auto"/>
              <w:right w:val="nil"/>
            </w:tcBorders>
            <w:shd w:val="clear" w:color="auto" w:fill="auto"/>
            <w:vAlign w:val="center"/>
            <w:hideMark/>
          </w:tcPr>
          <w:p w14:paraId="30E0D8EB"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10,82</w:t>
            </w:r>
          </w:p>
        </w:tc>
        <w:tc>
          <w:tcPr>
            <w:tcW w:w="960" w:type="dxa"/>
            <w:tcBorders>
              <w:top w:val="single" w:sz="12" w:space="0" w:color="00B050"/>
              <w:left w:val="single" w:sz="4" w:space="0" w:color="00B050"/>
              <w:bottom w:val="single" w:sz="4" w:space="0" w:color="auto"/>
              <w:right w:val="single" w:sz="4" w:space="0" w:color="00B050"/>
            </w:tcBorders>
            <w:shd w:val="clear" w:color="auto" w:fill="auto"/>
            <w:vAlign w:val="center"/>
            <w:hideMark/>
          </w:tcPr>
          <w:p w14:paraId="3CEE7CC6"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1 969</w:t>
            </w:r>
          </w:p>
        </w:tc>
        <w:tc>
          <w:tcPr>
            <w:tcW w:w="960" w:type="dxa"/>
            <w:tcBorders>
              <w:top w:val="single" w:sz="12" w:space="0" w:color="00B050"/>
              <w:left w:val="nil"/>
              <w:bottom w:val="single" w:sz="4" w:space="0" w:color="auto"/>
              <w:right w:val="single" w:sz="12" w:space="0" w:color="00B050"/>
            </w:tcBorders>
            <w:shd w:val="clear" w:color="auto" w:fill="auto"/>
            <w:vAlign w:val="center"/>
            <w:hideMark/>
          </w:tcPr>
          <w:p w14:paraId="243583C2"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181,90</w:t>
            </w:r>
          </w:p>
        </w:tc>
        <w:tc>
          <w:tcPr>
            <w:tcW w:w="960" w:type="dxa"/>
            <w:tcBorders>
              <w:top w:val="single" w:sz="12" w:space="0" w:color="00B050"/>
              <w:left w:val="nil"/>
              <w:bottom w:val="single" w:sz="4" w:space="0" w:color="auto"/>
              <w:right w:val="nil"/>
            </w:tcBorders>
            <w:shd w:val="clear" w:color="auto" w:fill="auto"/>
            <w:vAlign w:val="center"/>
            <w:hideMark/>
          </w:tcPr>
          <w:p w14:paraId="340C7C6C"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198</w:t>
            </w:r>
          </w:p>
        </w:tc>
        <w:tc>
          <w:tcPr>
            <w:tcW w:w="960" w:type="dxa"/>
            <w:tcBorders>
              <w:top w:val="single" w:sz="12" w:space="0" w:color="00B050"/>
              <w:left w:val="single" w:sz="4" w:space="0" w:color="00B050"/>
              <w:bottom w:val="single" w:sz="4" w:space="0" w:color="auto"/>
              <w:right w:val="single" w:sz="4" w:space="0" w:color="00B050"/>
            </w:tcBorders>
            <w:shd w:val="clear" w:color="auto" w:fill="auto"/>
            <w:vAlign w:val="center"/>
            <w:hideMark/>
          </w:tcPr>
          <w:p w14:paraId="5E0E17FE"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8 368</w:t>
            </w:r>
          </w:p>
        </w:tc>
        <w:tc>
          <w:tcPr>
            <w:tcW w:w="960" w:type="dxa"/>
            <w:tcBorders>
              <w:top w:val="single" w:sz="12" w:space="0" w:color="00B050"/>
              <w:left w:val="nil"/>
              <w:bottom w:val="single" w:sz="4" w:space="0" w:color="auto"/>
              <w:right w:val="single" w:sz="12" w:space="0" w:color="00B050"/>
            </w:tcBorders>
            <w:shd w:val="clear" w:color="auto" w:fill="auto"/>
            <w:vAlign w:val="center"/>
            <w:hideMark/>
          </w:tcPr>
          <w:p w14:paraId="5DBB6687"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42,21</w:t>
            </w:r>
          </w:p>
        </w:tc>
        <w:tc>
          <w:tcPr>
            <w:tcW w:w="960" w:type="dxa"/>
            <w:tcBorders>
              <w:top w:val="single" w:sz="12" w:space="0" w:color="00B050"/>
              <w:left w:val="nil"/>
              <w:bottom w:val="single" w:sz="4" w:space="0" w:color="auto"/>
              <w:right w:val="nil"/>
            </w:tcBorders>
            <w:shd w:val="clear" w:color="auto" w:fill="auto"/>
            <w:vAlign w:val="center"/>
            <w:hideMark/>
          </w:tcPr>
          <w:p w14:paraId="79594186"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-187</w:t>
            </w:r>
          </w:p>
        </w:tc>
        <w:tc>
          <w:tcPr>
            <w:tcW w:w="960" w:type="dxa"/>
            <w:tcBorders>
              <w:top w:val="single" w:sz="12" w:space="0" w:color="00B050"/>
              <w:left w:val="single" w:sz="4" w:space="0" w:color="00B050"/>
              <w:bottom w:val="single" w:sz="4" w:space="0" w:color="auto"/>
              <w:right w:val="single" w:sz="4" w:space="0" w:color="00B050"/>
            </w:tcBorders>
            <w:shd w:val="clear" w:color="auto" w:fill="auto"/>
            <w:vAlign w:val="center"/>
            <w:hideMark/>
          </w:tcPr>
          <w:p w14:paraId="7033B4E0"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-6 399</w:t>
            </w:r>
          </w:p>
        </w:tc>
        <w:tc>
          <w:tcPr>
            <w:tcW w:w="960" w:type="dxa"/>
            <w:tcBorders>
              <w:top w:val="single" w:sz="12" w:space="0" w:color="00B050"/>
              <w:left w:val="nil"/>
              <w:bottom w:val="single" w:sz="4" w:space="0" w:color="auto"/>
              <w:right w:val="single" w:sz="12" w:space="0" w:color="00B050"/>
            </w:tcBorders>
            <w:shd w:val="clear" w:color="auto" w:fill="auto"/>
            <w:vAlign w:val="center"/>
            <w:hideMark/>
          </w:tcPr>
          <w:p w14:paraId="0AAEF7AE"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139,70</w:t>
            </w:r>
          </w:p>
        </w:tc>
      </w:tr>
      <w:tr w:rsidR="00A16DDB" w:rsidRPr="00D95127" w14:paraId="7B4446A7" w14:textId="77777777" w:rsidTr="007A627A">
        <w:trPr>
          <w:trHeight w:val="255"/>
        </w:trPr>
        <w:tc>
          <w:tcPr>
            <w:tcW w:w="960" w:type="dxa"/>
            <w:tcBorders>
              <w:top w:val="nil"/>
              <w:left w:val="single" w:sz="12" w:space="0" w:color="00B050"/>
              <w:bottom w:val="single" w:sz="4" w:space="0" w:color="000000"/>
              <w:right w:val="single" w:sz="12" w:space="0" w:color="00B050"/>
            </w:tcBorders>
            <w:shd w:val="clear" w:color="auto" w:fill="auto"/>
            <w:vAlign w:val="center"/>
            <w:hideMark/>
          </w:tcPr>
          <w:p w14:paraId="11A416E4"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2015</w:t>
            </w:r>
          </w:p>
        </w:tc>
        <w:tc>
          <w:tcPr>
            <w:tcW w:w="960" w:type="dxa"/>
            <w:tcBorders>
              <w:top w:val="nil"/>
              <w:left w:val="nil"/>
              <w:bottom w:val="single" w:sz="4" w:space="0" w:color="auto"/>
              <w:right w:val="nil"/>
            </w:tcBorders>
            <w:shd w:val="clear" w:color="auto" w:fill="auto"/>
            <w:vAlign w:val="center"/>
            <w:hideMark/>
          </w:tcPr>
          <w:p w14:paraId="5F0ED735"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37,20</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5762F6CD"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5 355</w:t>
            </w:r>
          </w:p>
        </w:tc>
        <w:tc>
          <w:tcPr>
            <w:tcW w:w="960" w:type="dxa"/>
            <w:tcBorders>
              <w:top w:val="nil"/>
              <w:left w:val="nil"/>
              <w:bottom w:val="single" w:sz="4" w:space="0" w:color="auto"/>
              <w:right w:val="single" w:sz="12" w:space="0" w:color="00B050"/>
            </w:tcBorders>
            <w:shd w:val="clear" w:color="auto" w:fill="auto"/>
            <w:vAlign w:val="center"/>
            <w:hideMark/>
          </w:tcPr>
          <w:p w14:paraId="0AA2FB8E"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143,96</w:t>
            </w:r>
          </w:p>
        </w:tc>
        <w:tc>
          <w:tcPr>
            <w:tcW w:w="960" w:type="dxa"/>
            <w:tcBorders>
              <w:top w:val="nil"/>
              <w:left w:val="nil"/>
              <w:bottom w:val="single" w:sz="4" w:space="0" w:color="auto"/>
              <w:right w:val="nil"/>
            </w:tcBorders>
            <w:shd w:val="clear" w:color="auto" w:fill="auto"/>
            <w:vAlign w:val="center"/>
            <w:hideMark/>
          </w:tcPr>
          <w:p w14:paraId="29992B56"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246</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74205748"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15 031</w:t>
            </w:r>
          </w:p>
        </w:tc>
        <w:tc>
          <w:tcPr>
            <w:tcW w:w="960" w:type="dxa"/>
            <w:tcBorders>
              <w:top w:val="nil"/>
              <w:left w:val="nil"/>
              <w:bottom w:val="single" w:sz="4" w:space="0" w:color="auto"/>
              <w:right w:val="single" w:sz="12" w:space="0" w:color="00B050"/>
            </w:tcBorders>
            <w:shd w:val="clear" w:color="auto" w:fill="auto"/>
            <w:vAlign w:val="center"/>
            <w:hideMark/>
          </w:tcPr>
          <w:p w14:paraId="17C16B95"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61,05</w:t>
            </w:r>
          </w:p>
        </w:tc>
        <w:tc>
          <w:tcPr>
            <w:tcW w:w="960" w:type="dxa"/>
            <w:tcBorders>
              <w:top w:val="nil"/>
              <w:left w:val="nil"/>
              <w:bottom w:val="single" w:sz="4" w:space="0" w:color="auto"/>
              <w:right w:val="nil"/>
            </w:tcBorders>
            <w:shd w:val="clear" w:color="auto" w:fill="auto"/>
            <w:vAlign w:val="center"/>
            <w:hideMark/>
          </w:tcPr>
          <w:p w14:paraId="7248E182"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-209</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710022C6"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-9 676</w:t>
            </w:r>
          </w:p>
        </w:tc>
        <w:tc>
          <w:tcPr>
            <w:tcW w:w="960" w:type="dxa"/>
            <w:tcBorders>
              <w:top w:val="nil"/>
              <w:left w:val="nil"/>
              <w:bottom w:val="single" w:sz="4" w:space="0" w:color="auto"/>
              <w:right w:val="single" w:sz="12" w:space="0" w:color="00B050"/>
            </w:tcBorders>
            <w:shd w:val="clear" w:color="auto" w:fill="auto"/>
            <w:vAlign w:val="center"/>
            <w:hideMark/>
          </w:tcPr>
          <w:p w14:paraId="2D42EB29"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82,91</w:t>
            </w:r>
          </w:p>
        </w:tc>
      </w:tr>
      <w:tr w:rsidR="00A16DDB" w:rsidRPr="00D95127" w14:paraId="3F5256C1" w14:textId="77777777" w:rsidTr="007A627A">
        <w:trPr>
          <w:trHeight w:val="255"/>
        </w:trPr>
        <w:tc>
          <w:tcPr>
            <w:tcW w:w="960" w:type="dxa"/>
            <w:tcBorders>
              <w:top w:val="nil"/>
              <w:left w:val="single" w:sz="12" w:space="0" w:color="00B050"/>
              <w:bottom w:val="single" w:sz="4" w:space="0" w:color="000000"/>
              <w:right w:val="single" w:sz="12" w:space="0" w:color="00B050"/>
            </w:tcBorders>
            <w:shd w:val="clear" w:color="auto" w:fill="auto"/>
            <w:vAlign w:val="center"/>
            <w:hideMark/>
          </w:tcPr>
          <w:p w14:paraId="05576ECE"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2016</w:t>
            </w:r>
          </w:p>
        </w:tc>
        <w:tc>
          <w:tcPr>
            <w:tcW w:w="960" w:type="dxa"/>
            <w:tcBorders>
              <w:top w:val="nil"/>
              <w:left w:val="nil"/>
              <w:bottom w:val="single" w:sz="4" w:space="0" w:color="auto"/>
              <w:right w:val="nil"/>
            </w:tcBorders>
            <w:shd w:val="clear" w:color="auto" w:fill="auto"/>
            <w:vAlign w:val="center"/>
            <w:hideMark/>
          </w:tcPr>
          <w:p w14:paraId="06428B50"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89,49</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41E73190"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9 730</w:t>
            </w:r>
          </w:p>
        </w:tc>
        <w:tc>
          <w:tcPr>
            <w:tcW w:w="960" w:type="dxa"/>
            <w:tcBorders>
              <w:top w:val="nil"/>
              <w:left w:val="nil"/>
              <w:bottom w:val="single" w:sz="4" w:space="0" w:color="auto"/>
              <w:right w:val="single" w:sz="12" w:space="0" w:color="00B050"/>
            </w:tcBorders>
            <w:shd w:val="clear" w:color="auto" w:fill="auto"/>
            <w:vAlign w:val="center"/>
            <w:hideMark/>
          </w:tcPr>
          <w:p w14:paraId="5D652F50"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108,73</w:t>
            </w:r>
          </w:p>
        </w:tc>
        <w:tc>
          <w:tcPr>
            <w:tcW w:w="960" w:type="dxa"/>
            <w:tcBorders>
              <w:top w:val="nil"/>
              <w:left w:val="nil"/>
              <w:bottom w:val="single" w:sz="4" w:space="0" w:color="auto"/>
              <w:right w:val="nil"/>
            </w:tcBorders>
            <w:shd w:val="clear" w:color="auto" w:fill="auto"/>
            <w:vAlign w:val="center"/>
            <w:hideMark/>
          </w:tcPr>
          <w:p w14:paraId="0DD4ED47"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145</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3C9F6EC5"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30 812</w:t>
            </w:r>
          </w:p>
        </w:tc>
        <w:tc>
          <w:tcPr>
            <w:tcW w:w="960" w:type="dxa"/>
            <w:tcBorders>
              <w:top w:val="nil"/>
              <w:left w:val="nil"/>
              <w:bottom w:val="single" w:sz="4" w:space="0" w:color="auto"/>
              <w:right w:val="single" w:sz="12" w:space="0" w:color="00B050"/>
            </w:tcBorders>
            <w:shd w:val="clear" w:color="auto" w:fill="auto"/>
            <w:vAlign w:val="center"/>
            <w:hideMark/>
          </w:tcPr>
          <w:p w14:paraId="4B695B53"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212,42</w:t>
            </w:r>
          </w:p>
        </w:tc>
        <w:tc>
          <w:tcPr>
            <w:tcW w:w="960" w:type="dxa"/>
            <w:tcBorders>
              <w:top w:val="nil"/>
              <w:left w:val="nil"/>
              <w:bottom w:val="single" w:sz="4" w:space="0" w:color="auto"/>
              <w:right w:val="nil"/>
            </w:tcBorders>
            <w:shd w:val="clear" w:color="auto" w:fill="auto"/>
            <w:vAlign w:val="center"/>
            <w:hideMark/>
          </w:tcPr>
          <w:p w14:paraId="23E15E3D"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-56</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17E910E5"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-21 083</w:t>
            </w:r>
          </w:p>
        </w:tc>
        <w:tc>
          <w:tcPr>
            <w:tcW w:w="960" w:type="dxa"/>
            <w:tcBorders>
              <w:top w:val="nil"/>
              <w:left w:val="nil"/>
              <w:bottom w:val="single" w:sz="4" w:space="0" w:color="auto"/>
              <w:right w:val="single" w:sz="12" w:space="0" w:color="00B050"/>
            </w:tcBorders>
            <w:shd w:val="clear" w:color="auto" w:fill="auto"/>
            <w:vAlign w:val="center"/>
            <w:hideMark/>
          </w:tcPr>
          <w:p w14:paraId="6339E6A6"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-103,69</w:t>
            </w:r>
          </w:p>
        </w:tc>
      </w:tr>
      <w:tr w:rsidR="00A16DDB" w:rsidRPr="00D95127" w14:paraId="4503B0C5" w14:textId="77777777" w:rsidTr="007A627A">
        <w:trPr>
          <w:trHeight w:val="255"/>
        </w:trPr>
        <w:tc>
          <w:tcPr>
            <w:tcW w:w="960" w:type="dxa"/>
            <w:tcBorders>
              <w:top w:val="nil"/>
              <w:left w:val="single" w:sz="12" w:space="0" w:color="00B050"/>
              <w:bottom w:val="single" w:sz="4" w:space="0" w:color="000000"/>
              <w:right w:val="single" w:sz="12" w:space="0" w:color="00B050"/>
            </w:tcBorders>
            <w:shd w:val="clear" w:color="auto" w:fill="auto"/>
            <w:vAlign w:val="center"/>
            <w:hideMark/>
          </w:tcPr>
          <w:p w14:paraId="54D70BE5"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2017</w:t>
            </w:r>
          </w:p>
        </w:tc>
        <w:tc>
          <w:tcPr>
            <w:tcW w:w="960" w:type="dxa"/>
            <w:tcBorders>
              <w:top w:val="nil"/>
              <w:left w:val="nil"/>
              <w:bottom w:val="single" w:sz="4" w:space="0" w:color="auto"/>
              <w:right w:val="nil"/>
            </w:tcBorders>
            <w:shd w:val="clear" w:color="auto" w:fill="auto"/>
            <w:vAlign w:val="center"/>
            <w:hideMark/>
          </w:tcPr>
          <w:p w14:paraId="58F02B9A"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104,69</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10C5A3DE"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8 498</w:t>
            </w:r>
          </w:p>
        </w:tc>
        <w:tc>
          <w:tcPr>
            <w:tcW w:w="960" w:type="dxa"/>
            <w:tcBorders>
              <w:top w:val="nil"/>
              <w:left w:val="nil"/>
              <w:bottom w:val="single" w:sz="4" w:space="0" w:color="auto"/>
              <w:right w:val="single" w:sz="12" w:space="0" w:color="00B050"/>
            </w:tcBorders>
            <w:shd w:val="clear" w:color="auto" w:fill="auto"/>
            <w:vAlign w:val="center"/>
            <w:hideMark/>
          </w:tcPr>
          <w:p w14:paraId="092C24DD"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81,17</w:t>
            </w:r>
          </w:p>
        </w:tc>
        <w:tc>
          <w:tcPr>
            <w:tcW w:w="960" w:type="dxa"/>
            <w:tcBorders>
              <w:top w:val="nil"/>
              <w:left w:val="nil"/>
              <w:bottom w:val="single" w:sz="4" w:space="0" w:color="auto"/>
              <w:right w:val="nil"/>
            </w:tcBorders>
            <w:shd w:val="clear" w:color="auto" w:fill="auto"/>
            <w:vAlign w:val="center"/>
            <w:hideMark/>
          </w:tcPr>
          <w:p w14:paraId="7D8EE203"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111</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6D8181FA"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28 397</w:t>
            </w:r>
          </w:p>
        </w:tc>
        <w:tc>
          <w:tcPr>
            <w:tcW w:w="960" w:type="dxa"/>
            <w:tcBorders>
              <w:top w:val="nil"/>
              <w:left w:val="nil"/>
              <w:bottom w:val="single" w:sz="4" w:space="0" w:color="auto"/>
              <w:right w:val="single" w:sz="12" w:space="0" w:color="00B050"/>
            </w:tcBorders>
            <w:shd w:val="clear" w:color="auto" w:fill="auto"/>
            <w:vAlign w:val="center"/>
            <w:hideMark/>
          </w:tcPr>
          <w:p w14:paraId="1C643B73"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255,31</w:t>
            </w:r>
          </w:p>
        </w:tc>
        <w:tc>
          <w:tcPr>
            <w:tcW w:w="960" w:type="dxa"/>
            <w:tcBorders>
              <w:top w:val="nil"/>
              <w:left w:val="nil"/>
              <w:bottom w:val="single" w:sz="4" w:space="0" w:color="auto"/>
              <w:right w:val="nil"/>
            </w:tcBorders>
            <w:shd w:val="clear" w:color="auto" w:fill="auto"/>
            <w:vAlign w:val="center"/>
            <w:hideMark/>
          </w:tcPr>
          <w:p w14:paraId="4C496658"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-7</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36E82752"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-19 900</w:t>
            </w:r>
          </w:p>
        </w:tc>
        <w:tc>
          <w:tcPr>
            <w:tcW w:w="960" w:type="dxa"/>
            <w:tcBorders>
              <w:top w:val="nil"/>
              <w:left w:val="nil"/>
              <w:bottom w:val="single" w:sz="4" w:space="0" w:color="auto"/>
              <w:right w:val="single" w:sz="12" w:space="0" w:color="00B050"/>
            </w:tcBorders>
            <w:shd w:val="clear" w:color="auto" w:fill="auto"/>
            <w:vAlign w:val="center"/>
            <w:hideMark/>
          </w:tcPr>
          <w:p w14:paraId="0339371B"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-174,14</w:t>
            </w:r>
          </w:p>
        </w:tc>
      </w:tr>
      <w:tr w:rsidR="00A16DDB" w:rsidRPr="00D95127" w14:paraId="0AB579B8" w14:textId="77777777" w:rsidTr="007A627A">
        <w:trPr>
          <w:trHeight w:val="255"/>
        </w:trPr>
        <w:tc>
          <w:tcPr>
            <w:tcW w:w="960" w:type="dxa"/>
            <w:tcBorders>
              <w:top w:val="nil"/>
              <w:left w:val="single" w:sz="12" w:space="0" w:color="00B050"/>
              <w:bottom w:val="single" w:sz="4" w:space="0" w:color="000000"/>
              <w:right w:val="single" w:sz="12" w:space="0" w:color="00B050"/>
            </w:tcBorders>
            <w:shd w:val="clear" w:color="auto" w:fill="auto"/>
            <w:vAlign w:val="center"/>
            <w:hideMark/>
          </w:tcPr>
          <w:p w14:paraId="39A1449E"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2018</w:t>
            </w:r>
          </w:p>
        </w:tc>
        <w:tc>
          <w:tcPr>
            <w:tcW w:w="960" w:type="dxa"/>
            <w:tcBorders>
              <w:top w:val="nil"/>
              <w:left w:val="nil"/>
              <w:bottom w:val="single" w:sz="4" w:space="0" w:color="auto"/>
              <w:right w:val="nil"/>
            </w:tcBorders>
            <w:shd w:val="clear" w:color="auto" w:fill="auto"/>
            <w:vAlign w:val="center"/>
            <w:hideMark/>
          </w:tcPr>
          <w:p w14:paraId="7AD24413"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122,68</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6F8A9592"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7 575</w:t>
            </w:r>
          </w:p>
        </w:tc>
        <w:tc>
          <w:tcPr>
            <w:tcW w:w="960" w:type="dxa"/>
            <w:tcBorders>
              <w:top w:val="nil"/>
              <w:left w:val="nil"/>
              <w:bottom w:val="single" w:sz="4" w:space="0" w:color="auto"/>
              <w:right w:val="single" w:sz="12" w:space="0" w:color="00B050"/>
            </w:tcBorders>
            <w:shd w:val="clear" w:color="auto" w:fill="auto"/>
            <w:vAlign w:val="center"/>
            <w:hideMark/>
          </w:tcPr>
          <w:p w14:paraId="3298E7DE"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61,75</w:t>
            </w:r>
          </w:p>
        </w:tc>
        <w:tc>
          <w:tcPr>
            <w:tcW w:w="960" w:type="dxa"/>
            <w:tcBorders>
              <w:top w:val="nil"/>
              <w:left w:val="nil"/>
              <w:bottom w:val="single" w:sz="4" w:space="0" w:color="auto"/>
              <w:right w:val="nil"/>
            </w:tcBorders>
            <w:shd w:val="clear" w:color="auto" w:fill="auto"/>
            <w:vAlign w:val="center"/>
            <w:hideMark/>
          </w:tcPr>
          <w:p w14:paraId="2F0403CB"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151</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48125BE9"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26 274</w:t>
            </w:r>
          </w:p>
        </w:tc>
        <w:tc>
          <w:tcPr>
            <w:tcW w:w="960" w:type="dxa"/>
            <w:tcBorders>
              <w:top w:val="nil"/>
              <w:left w:val="nil"/>
              <w:bottom w:val="single" w:sz="4" w:space="0" w:color="auto"/>
              <w:right w:val="single" w:sz="12" w:space="0" w:color="00B050"/>
            </w:tcBorders>
            <w:shd w:val="clear" w:color="auto" w:fill="auto"/>
            <w:vAlign w:val="center"/>
            <w:hideMark/>
          </w:tcPr>
          <w:p w14:paraId="035CD955"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174,26</w:t>
            </w:r>
          </w:p>
        </w:tc>
        <w:tc>
          <w:tcPr>
            <w:tcW w:w="960" w:type="dxa"/>
            <w:tcBorders>
              <w:top w:val="nil"/>
              <w:left w:val="nil"/>
              <w:bottom w:val="single" w:sz="4" w:space="0" w:color="auto"/>
              <w:right w:val="nil"/>
            </w:tcBorders>
            <w:shd w:val="clear" w:color="auto" w:fill="auto"/>
            <w:vAlign w:val="center"/>
            <w:hideMark/>
          </w:tcPr>
          <w:p w14:paraId="1C0A43A2"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-28</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50D168B4"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-18 699</w:t>
            </w:r>
          </w:p>
        </w:tc>
        <w:tc>
          <w:tcPr>
            <w:tcW w:w="960" w:type="dxa"/>
            <w:tcBorders>
              <w:top w:val="nil"/>
              <w:left w:val="nil"/>
              <w:bottom w:val="single" w:sz="4" w:space="0" w:color="auto"/>
              <w:right w:val="single" w:sz="12" w:space="0" w:color="00B050"/>
            </w:tcBorders>
            <w:shd w:val="clear" w:color="auto" w:fill="auto"/>
            <w:vAlign w:val="center"/>
            <w:hideMark/>
          </w:tcPr>
          <w:p w14:paraId="0CAAACD7"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-112,51</w:t>
            </w:r>
          </w:p>
        </w:tc>
      </w:tr>
      <w:tr w:rsidR="00A16DDB" w:rsidRPr="00D95127" w14:paraId="7153CF76" w14:textId="77777777" w:rsidTr="007A627A">
        <w:trPr>
          <w:trHeight w:val="255"/>
        </w:trPr>
        <w:tc>
          <w:tcPr>
            <w:tcW w:w="960" w:type="dxa"/>
            <w:tcBorders>
              <w:top w:val="nil"/>
              <w:left w:val="single" w:sz="12" w:space="0" w:color="00B050"/>
              <w:bottom w:val="single" w:sz="4" w:space="0" w:color="000000"/>
              <w:right w:val="single" w:sz="12" w:space="0" w:color="00B050"/>
            </w:tcBorders>
            <w:shd w:val="clear" w:color="auto" w:fill="auto"/>
            <w:vAlign w:val="center"/>
            <w:hideMark/>
          </w:tcPr>
          <w:p w14:paraId="6F0B3180"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2019</w:t>
            </w:r>
          </w:p>
        </w:tc>
        <w:tc>
          <w:tcPr>
            <w:tcW w:w="960" w:type="dxa"/>
            <w:tcBorders>
              <w:top w:val="nil"/>
              <w:left w:val="nil"/>
              <w:bottom w:val="single" w:sz="4" w:space="0" w:color="auto"/>
              <w:right w:val="nil"/>
            </w:tcBorders>
            <w:shd w:val="clear" w:color="auto" w:fill="auto"/>
            <w:vAlign w:val="center"/>
            <w:hideMark/>
          </w:tcPr>
          <w:p w14:paraId="1B76FB68"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95,99</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3E977AA8"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7 280</w:t>
            </w:r>
          </w:p>
        </w:tc>
        <w:tc>
          <w:tcPr>
            <w:tcW w:w="960" w:type="dxa"/>
            <w:tcBorders>
              <w:top w:val="nil"/>
              <w:left w:val="nil"/>
              <w:bottom w:val="single" w:sz="4" w:space="0" w:color="auto"/>
              <w:right w:val="single" w:sz="12" w:space="0" w:color="00B050"/>
            </w:tcBorders>
            <w:shd w:val="clear" w:color="auto" w:fill="auto"/>
            <w:vAlign w:val="center"/>
            <w:hideMark/>
          </w:tcPr>
          <w:p w14:paraId="54494982"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75,84</w:t>
            </w:r>
          </w:p>
        </w:tc>
        <w:tc>
          <w:tcPr>
            <w:tcW w:w="960" w:type="dxa"/>
            <w:tcBorders>
              <w:top w:val="nil"/>
              <w:left w:val="nil"/>
              <w:bottom w:val="single" w:sz="4" w:space="0" w:color="auto"/>
              <w:right w:val="nil"/>
            </w:tcBorders>
            <w:shd w:val="clear" w:color="auto" w:fill="auto"/>
            <w:vAlign w:val="center"/>
            <w:hideMark/>
          </w:tcPr>
          <w:p w14:paraId="1A95EF33"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115</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05062B62"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24 578</w:t>
            </w:r>
          </w:p>
        </w:tc>
        <w:tc>
          <w:tcPr>
            <w:tcW w:w="960" w:type="dxa"/>
            <w:tcBorders>
              <w:top w:val="nil"/>
              <w:left w:val="nil"/>
              <w:bottom w:val="single" w:sz="4" w:space="0" w:color="auto"/>
              <w:right w:val="single" w:sz="12" w:space="0" w:color="00B050"/>
            </w:tcBorders>
            <w:shd w:val="clear" w:color="auto" w:fill="auto"/>
            <w:vAlign w:val="center"/>
            <w:hideMark/>
          </w:tcPr>
          <w:p w14:paraId="58BAF663"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214,46</w:t>
            </w:r>
          </w:p>
        </w:tc>
        <w:tc>
          <w:tcPr>
            <w:tcW w:w="960" w:type="dxa"/>
            <w:tcBorders>
              <w:top w:val="nil"/>
              <w:left w:val="nil"/>
              <w:bottom w:val="single" w:sz="4" w:space="0" w:color="auto"/>
              <w:right w:val="nil"/>
            </w:tcBorders>
            <w:shd w:val="clear" w:color="auto" w:fill="auto"/>
            <w:vAlign w:val="center"/>
            <w:hideMark/>
          </w:tcPr>
          <w:p w14:paraId="178B1F1D"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-19</w:t>
            </w:r>
          </w:p>
        </w:tc>
        <w:tc>
          <w:tcPr>
            <w:tcW w:w="960" w:type="dxa"/>
            <w:tcBorders>
              <w:top w:val="nil"/>
              <w:left w:val="single" w:sz="4" w:space="0" w:color="00B050"/>
              <w:bottom w:val="single" w:sz="4" w:space="0" w:color="auto"/>
              <w:right w:val="single" w:sz="4" w:space="0" w:color="00B050"/>
            </w:tcBorders>
            <w:shd w:val="clear" w:color="auto" w:fill="auto"/>
            <w:vAlign w:val="center"/>
            <w:hideMark/>
          </w:tcPr>
          <w:p w14:paraId="4F356BA2"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-17 298</w:t>
            </w:r>
          </w:p>
        </w:tc>
        <w:tc>
          <w:tcPr>
            <w:tcW w:w="960" w:type="dxa"/>
            <w:tcBorders>
              <w:top w:val="nil"/>
              <w:left w:val="nil"/>
              <w:bottom w:val="single" w:sz="4" w:space="0" w:color="auto"/>
              <w:right w:val="single" w:sz="12" w:space="0" w:color="00B050"/>
            </w:tcBorders>
            <w:shd w:val="clear" w:color="auto" w:fill="auto"/>
            <w:vAlign w:val="center"/>
            <w:hideMark/>
          </w:tcPr>
          <w:p w14:paraId="4F6F065C"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-138,62</w:t>
            </w:r>
          </w:p>
        </w:tc>
      </w:tr>
      <w:tr w:rsidR="00A16DDB" w:rsidRPr="00D95127" w14:paraId="28323485" w14:textId="77777777" w:rsidTr="007A627A">
        <w:trPr>
          <w:trHeight w:val="270"/>
        </w:trPr>
        <w:tc>
          <w:tcPr>
            <w:tcW w:w="960" w:type="dxa"/>
            <w:tcBorders>
              <w:top w:val="nil"/>
              <w:left w:val="single" w:sz="12" w:space="0" w:color="00B050"/>
              <w:bottom w:val="single" w:sz="12" w:space="0" w:color="00B050"/>
              <w:right w:val="single" w:sz="12" w:space="0" w:color="00B050"/>
            </w:tcBorders>
            <w:shd w:val="clear" w:color="auto" w:fill="auto"/>
            <w:vAlign w:val="center"/>
            <w:hideMark/>
          </w:tcPr>
          <w:p w14:paraId="374ACC1E"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2020</w:t>
            </w:r>
          </w:p>
        </w:tc>
        <w:tc>
          <w:tcPr>
            <w:tcW w:w="960" w:type="dxa"/>
            <w:tcBorders>
              <w:top w:val="nil"/>
              <w:left w:val="nil"/>
              <w:bottom w:val="single" w:sz="12" w:space="0" w:color="00B050"/>
              <w:right w:val="nil"/>
            </w:tcBorders>
            <w:shd w:val="clear" w:color="auto" w:fill="auto"/>
            <w:vAlign w:val="center"/>
            <w:hideMark/>
          </w:tcPr>
          <w:p w14:paraId="4B856441"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69,19</w:t>
            </w:r>
          </w:p>
        </w:tc>
        <w:tc>
          <w:tcPr>
            <w:tcW w:w="960" w:type="dxa"/>
            <w:tcBorders>
              <w:top w:val="nil"/>
              <w:left w:val="single" w:sz="4" w:space="0" w:color="00B050"/>
              <w:bottom w:val="single" w:sz="12" w:space="0" w:color="00B050"/>
              <w:right w:val="single" w:sz="4" w:space="0" w:color="00B050"/>
            </w:tcBorders>
            <w:shd w:val="clear" w:color="auto" w:fill="auto"/>
            <w:vAlign w:val="center"/>
            <w:hideMark/>
          </w:tcPr>
          <w:p w14:paraId="5763E4C8"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8 110</w:t>
            </w:r>
          </w:p>
        </w:tc>
        <w:tc>
          <w:tcPr>
            <w:tcW w:w="960" w:type="dxa"/>
            <w:tcBorders>
              <w:top w:val="nil"/>
              <w:left w:val="nil"/>
              <w:bottom w:val="single" w:sz="12" w:space="0" w:color="00B050"/>
              <w:right w:val="single" w:sz="12" w:space="0" w:color="00B050"/>
            </w:tcBorders>
            <w:shd w:val="clear" w:color="auto" w:fill="auto"/>
            <w:vAlign w:val="center"/>
            <w:hideMark/>
          </w:tcPr>
          <w:p w14:paraId="2E4CBE53"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117,22</w:t>
            </w:r>
          </w:p>
        </w:tc>
        <w:tc>
          <w:tcPr>
            <w:tcW w:w="960" w:type="dxa"/>
            <w:tcBorders>
              <w:top w:val="nil"/>
              <w:left w:val="nil"/>
              <w:bottom w:val="single" w:sz="12" w:space="0" w:color="00B050"/>
              <w:right w:val="nil"/>
            </w:tcBorders>
            <w:shd w:val="clear" w:color="auto" w:fill="auto"/>
            <w:vAlign w:val="center"/>
            <w:hideMark/>
          </w:tcPr>
          <w:p w14:paraId="512E3EAF"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114</w:t>
            </w:r>
          </w:p>
        </w:tc>
        <w:tc>
          <w:tcPr>
            <w:tcW w:w="960" w:type="dxa"/>
            <w:tcBorders>
              <w:top w:val="nil"/>
              <w:left w:val="single" w:sz="4" w:space="0" w:color="00B050"/>
              <w:bottom w:val="single" w:sz="12" w:space="0" w:color="00B050"/>
              <w:right w:val="single" w:sz="4" w:space="0" w:color="00B050"/>
            </w:tcBorders>
            <w:shd w:val="clear" w:color="auto" w:fill="auto"/>
            <w:vAlign w:val="center"/>
            <w:hideMark/>
          </w:tcPr>
          <w:p w14:paraId="762792D1"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33 893</w:t>
            </w:r>
          </w:p>
        </w:tc>
        <w:tc>
          <w:tcPr>
            <w:tcW w:w="960" w:type="dxa"/>
            <w:tcBorders>
              <w:top w:val="nil"/>
              <w:left w:val="nil"/>
              <w:bottom w:val="single" w:sz="12" w:space="0" w:color="00B050"/>
              <w:right w:val="single" w:sz="12" w:space="0" w:color="00B050"/>
            </w:tcBorders>
            <w:shd w:val="clear" w:color="auto" w:fill="auto"/>
            <w:vAlign w:val="center"/>
            <w:hideMark/>
          </w:tcPr>
          <w:p w14:paraId="6738548F"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297,79</w:t>
            </w:r>
          </w:p>
        </w:tc>
        <w:tc>
          <w:tcPr>
            <w:tcW w:w="960" w:type="dxa"/>
            <w:tcBorders>
              <w:top w:val="nil"/>
              <w:left w:val="nil"/>
              <w:bottom w:val="single" w:sz="12" w:space="0" w:color="00B050"/>
              <w:right w:val="nil"/>
            </w:tcBorders>
            <w:shd w:val="clear" w:color="auto" w:fill="auto"/>
            <w:vAlign w:val="center"/>
            <w:hideMark/>
          </w:tcPr>
          <w:p w14:paraId="7710DCDE"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-45</w:t>
            </w:r>
          </w:p>
        </w:tc>
        <w:tc>
          <w:tcPr>
            <w:tcW w:w="960" w:type="dxa"/>
            <w:tcBorders>
              <w:top w:val="nil"/>
              <w:left w:val="single" w:sz="4" w:space="0" w:color="00B050"/>
              <w:bottom w:val="single" w:sz="12" w:space="0" w:color="00B050"/>
              <w:right w:val="single" w:sz="4" w:space="0" w:color="00B050"/>
            </w:tcBorders>
            <w:shd w:val="clear" w:color="auto" w:fill="auto"/>
            <w:vAlign w:val="center"/>
            <w:hideMark/>
          </w:tcPr>
          <w:p w14:paraId="5CF63891"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-25 783</w:t>
            </w:r>
          </w:p>
        </w:tc>
        <w:tc>
          <w:tcPr>
            <w:tcW w:w="960" w:type="dxa"/>
            <w:tcBorders>
              <w:top w:val="nil"/>
              <w:left w:val="nil"/>
              <w:bottom w:val="single" w:sz="12" w:space="0" w:color="00B050"/>
              <w:right w:val="single" w:sz="12" w:space="0" w:color="00B050"/>
            </w:tcBorders>
            <w:shd w:val="clear" w:color="auto" w:fill="auto"/>
            <w:vAlign w:val="center"/>
            <w:hideMark/>
          </w:tcPr>
          <w:p w14:paraId="6CE4FFB2" w14:textId="77777777" w:rsidR="00A16DDB" w:rsidRPr="00A37B3C" w:rsidRDefault="00A16DDB" w:rsidP="007A627A">
            <w:pPr>
              <w:jc w:val="center"/>
              <w:rPr>
                <w:rFonts w:eastAsia="Times New Roman" w:cs="Times New Roman"/>
                <w:color w:val="000000"/>
                <w:sz w:val="22"/>
                <w:lang w:val="cs-CZ" w:eastAsia="cs-CZ"/>
              </w:rPr>
            </w:pPr>
            <w:r w:rsidRPr="00A37B3C">
              <w:rPr>
                <w:rFonts w:eastAsia="Times New Roman" w:cs="Times New Roman"/>
                <w:color w:val="000000"/>
                <w:sz w:val="22"/>
                <w:lang w:val="cs-CZ" w:eastAsia="cs-CZ"/>
              </w:rPr>
              <w:t>-180,57</w:t>
            </w:r>
          </w:p>
        </w:tc>
      </w:tr>
    </w:tbl>
    <w:p w14:paraId="291598AD" w14:textId="77777777" w:rsidR="00A16DDB" w:rsidRPr="00D95127" w:rsidRDefault="00A16DDB" w:rsidP="00A37B3C">
      <w:pPr>
        <w:pStyle w:val="UZEIZdroj"/>
        <w:rPr>
          <w:i w:val="0"/>
          <w:iCs w:val="0"/>
          <w:sz w:val="16"/>
          <w:szCs w:val="16"/>
        </w:rPr>
      </w:pPr>
      <w:r w:rsidRPr="00D95127">
        <w:t>Zdroj: Celní statistika MZe</w:t>
      </w:r>
    </w:p>
    <w:p w14:paraId="3C8EEDD4" w14:textId="77777777" w:rsidR="00A16DDB" w:rsidRPr="00D95127" w:rsidRDefault="00A16DDB" w:rsidP="00A16DDB">
      <w:pPr>
        <w:rPr>
          <w:rFonts w:cs="Times New Roman"/>
          <w:lang w:val="cs-CZ"/>
        </w:rPr>
      </w:pPr>
    </w:p>
    <w:p w14:paraId="0D92955E" w14:textId="77777777" w:rsidR="00A37B3C" w:rsidRDefault="00A37B3C">
      <w:pPr>
        <w:spacing w:after="160" w:line="259" w:lineRule="auto"/>
        <w:jc w:val="left"/>
        <w:rPr>
          <w:rFonts w:eastAsia="Times New Roman" w:cs="Arial"/>
          <w:b/>
          <w:sz w:val="20"/>
          <w:szCs w:val="20"/>
          <w:lang w:val="cs-CZ" w:eastAsia="cs-CZ"/>
        </w:rPr>
      </w:pPr>
      <w:r>
        <w:br w:type="page"/>
      </w:r>
    </w:p>
    <w:p w14:paraId="5246B4B5" w14:textId="3626E7AD" w:rsidR="00A16DDB" w:rsidRPr="00467D08" w:rsidRDefault="00A16DDB" w:rsidP="00467D08">
      <w:pPr>
        <w:pStyle w:val="UZEIGraf"/>
      </w:pPr>
      <w:bookmarkStart w:id="744" w:name="_Toc81738809"/>
      <w:r w:rsidRPr="00467D08">
        <w:t>Zahraniční obchod - Konopná semena, též drcená, kromě semen k setí (t)</w:t>
      </w:r>
      <w:bookmarkEnd w:id="744"/>
    </w:p>
    <w:p w14:paraId="7D8F63A9" w14:textId="77777777" w:rsidR="00A16DDB" w:rsidRPr="00D95127" w:rsidRDefault="00A16DDB" w:rsidP="00A16DDB">
      <w:pPr>
        <w:rPr>
          <w:rFonts w:cs="Times New Roman"/>
          <w:lang w:val="cs-CZ"/>
        </w:rPr>
      </w:pPr>
      <w:r w:rsidRPr="00D95127">
        <w:rPr>
          <w:rFonts w:cs="Times New Roman"/>
          <w:noProof/>
          <w:lang w:val="cs-CZ"/>
        </w:rPr>
        <w:drawing>
          <wp:inline distT="0" distB="0" distL="0" distR="0" wp14:anchorId="664378FF" wp14:editId="4585C03B">
            <wp:extent cx="5042848" cy="2743200"/>
            <wp:effectExtent l="0" t="0" r="5715" b="0"/>
            <wp:docPr id="135" name="Graf 135">
              <a:extLst xmlns:a="http://schemas.openxmlformats.org/drawingml/2006/main">
                <a:ext uri="{FF2B5EF4-FFF2-40B4-BE49-F238E27FC236}">
                  <a16:creationId xmlns:a16="http://schemas.microsoft.com/office/drawing/2014/main" id="{FBB5A0C5-C7BC-4536-BB7B-AD9EDC004C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00EF376B" w14:textId="77777777" w:rsidR="00A16DDB" w:rsidRPr="00D95127" w:rsidRDefault="00A16DDB" w:rsidP="00A37B3C">
      <w:pPr>
        <w:pStyle w:val="UZEIZdroj"/>
        <w:rPr>
          <w:i w:val="0"/>
          <w:iCs w:val="0"/>
          <w:sz w:val="16"/>
          <w:szCs w:val="16"/>
        </w:rPr>
      </w:pPr>
      <w:r w:rsidRPr="00D95127">
        <w:t>Zdroj: Celní statistika MZe</w:t>
      </w:r>
    </w:p>
    <w:p w14:paraId="1A890FDE" w14:textId="45565131" w:rsidR="00A16DDB" w:rsidRPr="00D95127" w:rsidRDefault="00A16DDB" w:rsidP="00A37B3C">
      <w:pPr>
        <w:pStyle w:val="UZEIGraf"/>
        <w:rPr>
          <w:rFonts w:cs="Times New Roman"/>
        </w:rPr>
      </w:pPr>
      <w:bookmarkStart w:id="745" w:name="_Toc81738810"/>
      <w:r w:rsidRPr="00D95127">
        <w:t xml:space="preserve">Zahraniční obchod - Konopná semena, též drcená, kromě </w:t>
      </w:r>
      <w:r w:rsidRPr="00D95127">
        <w:rPr>
          <w:rFonts w:cs="Times New Roman"/>
          <w:i/>
          <w:color w:val="44546A"/>
          <w:szCs w:val="24"/>
        </w:rPr>
        <w:t>semen k setí (mil. Kč)</w:t>
      </w:r>
      <w:bookmarkEnd w:id="745"/>
    </w:p>
    <w:p w14:paraId="17327A1D" w14:textId="77777777" w:rsidR="00A16DDB" w:rsidRPr="00D95127" w:rsidRDefault="00A16DDB" w:rsidP="00A16DDB">
      <w:pPr>
        <w:rPr>
          <w:rFonts w:cs="Times New Roman"/>
          <w:lang w:val="cs-CZ"/>
        </w:rPr>
      </w:pPr>
      <w:r w:rsidRPr="00D95127">
        <w:rPr>
          <w:rFonts w:cs="Times New Roman"/>
          <w:noProof/>
          <w:lang w:val="cs-CZ"/>
        </w:rPr>
        <w:drawing>
          <wp:inline distT="0" distB="0" distL="0" distR="0" wp14:anchorId="372C6476" wp14:editId="3D16D237">
            <wp:extent cx="5063320" cy="2743200"/>
            <wp:effectExtent l="0" t="0" r="4445" b="0"/>
            <wp:docPr id="136" name="Graf 136">
              <a:extLst xmlns:a="http://schemas.openxmlformats.org/drawingml/2006/main">
                <a:ext uri="{FF2B5EF4-FFF2-40B4-BE49-F238E27FC236}">
                  <a16:creationId xmlns:a16="http://schemas.microsoft.com/office/drawing/2014/main" id="{4790B0D1-E528-4E8C-A95D-D6424F6AA66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0683626F" w14:textId="77777777" w:rsidR="00A16DDB" w:rsidRPr="00D95127" w:rsidRDefault="00A16DDB" w:rsidP="00A37B3C">
      <w:pPr>
        <w:pStyle w:val="UZEIZdroj"/>
        <w:rPr>
          <w:i w:val="0"/>
          <w:iCs w:val="0"/>
          <w:sz w:val="16"/>
          <w:szCs w:val="16"/>
        </w:rPr>
      </w:pPr>
      <w:r w:rsidRPr="00D95127">
        <w:t>Zdroj: Celní statistika MZe</w:t>
      </w:r>
    </w:p>
    <w:p w14:paraId="79640321" w14:textId="77777777" w:rsidR="00A16DDB" w:rsidRPr="00D95127" w:rsidRDefault="00A16DDB" w:rsidP="00A16DDB">
      <w:pPr>
        <w:rPr>
          <w:rFonts w:cs="Times New Roman"/>
          <w:lang w:val="cs-CZ"/>
        </w:rPr>
      </w:pPr>
    </w:p>
    <w:p w14:paraId="755B6B67" w14:textId="77777777" w:rsidR="00A37B3C" w:rsidRDefault="00A37B3C" w:rsidP="00A37B3C">
      <w:pPr>
        <w:pStyle w:val="UZEITaB"/>
        <w:numPr>
          <w:ilvl w:val="0"/>
          <w:numId w:val="0"/>
        </w:numPr>
        <w:ind w:left="720"/>
      </w:pPr>
      <w:r>
        <w:t xml:space="preserve"> </w:t>
      </w:r>
    </w:p>
    <w:p w14:paraId="21AB1EB0" w14:textId="77777777" w:rsidR="00A37B3C" w:rsidRDefault="00A37B3C">
      <w:pPr>
        <w:spacing w:after="160" w:line="259" w:lineRule="auto"/>
        <w:jc w:val="left"/>
        <w:rPr>
          <w:rFonts w:eastAsia="Times New Roman" w:cs="Arial"/>
          <w:b/>
          <w:color w:val="000000" w:themeColor="text1"/>
          <w:sz w:val="20"/>
          <w:szCs w:val="20"/>
          <w:lang w:val="cs-CZ" w:eastAsia="cs-CZ"/>
        </w:rPr>
      </w:pPr>
      <w:r>
        <w:br w:type="page"/>
      </w:r>
    </w:p>
    <w:p w14:paraId="0CD8FBC8" w14:textId="4F343A3D" w:rsidR="00A16DDB" w:rsidRPr="00D95127" w:rsidRDefault="00A16DDB" w:rsidP="00A37B3C">
      <w:pPr>
        <w:pStyle w:val="UZEITaB"/>
      </w:pPr>
      <w:bookmarkStart w:id="746" w:name="_Toc81738509"/>
      <w:r w:rsidRPr="00D95127">
        <w:t>Zahraniční obchod – Konopná semena – obchodní partneři</w:t>
      </w:r>
      <w:bookmarkEnd w:id="746"/>
    </w:p>
    <w:p w14:paraId="7B3FE59E" w14:textId="77777777" w:rsidR="00A16DDB" w:rsidRPr="00D95127" w:rsidRDefault="00A16DDB" w:rsidP="00A16DDB">
      <w:pPr>
        <w:rPr>
          <w:rFonts w:cs="Times New Roman"/>
          <w:lang w:val="cs-CZ"/>
        </w:rPr>
      </w:pPr>
      <w:r w:rsidRPr="00D95127">
        <w:rPr>
          <w:rFonts w:cs="Times New Roman"/>
          <w:noProof/>
          <w:lang w:val="cs-CZ"/>
        </w:rPr>
        <w:drawing>
          <wp:inline distT="0" distB="0" distL="0" distR="0" wp14:anchorId="2F8B6F88" wp14:editId="13428F4C">
            <wp:extent cx="5261212" cy="4885690"/>
            <wp:effectExtent l="0" t="0" r="0" b="0"/>
            <wp:docPr id="137" name="Obrázek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262620" cy="4886998"/>
                    </a:xfrm>
                    <a:prstGeom prst="rect">
                      <a:avLst/>
                    </a:prstGeom>
                    <a:noFill/>
                    <a:ln>
                      <a:noFill/>
                    </a:ln>
                  </pic:spPr>
                </pic:pic>
              </a:graphicData>
            </a:graphic>
          </wp:inline>
        </w:drawing>
      </w:r>
    </w:p>
    <w:p w14:paraId="6DCE724C" w14:textId="77777777" w:rsidR="00467D08" w:rsidRDefault="00467D08">
      <w:pPr>
        <w:spacing w:after="160" w:line="259" w:lineRule="auto"/>
        <w:jc w:val="left"/>
        <w:rPr>
          <w:rFonts w:eastAsiaTheme="majorEastAsia" w:cs="Times New Roman"/>
          <w:b/>
          <w:bCs/>
          <w:sz w:val="28"/>
          <w:szCs w:val="32"/>
          <w:lang w:val="cs-CZ"/>
        </w:rPr>
      </w:pPr>
      <w:bookmarkStart w:id="747" w:name="_Toc76137426"/>
      <w:bookmarkStart w:id="748" w:name="_Toc76637625"/>
      <w:bookmarkStart w:id="749" w:name="_Toc80953304"/>
      <w:r>
        <w:br w:type="page"/>
      </w:r>
    </w:p>
    <w:p w14:paraId="5D58E6EB" w14:textId="70FE7B55" w:rsidR="00A16DDB" w:rsidRPr="00D95127" w:rsidRDefault="00A16DDB" w:rsidP="00A37B3C">
      <w:pPr>
        <w:pStyle w:val="Nadpis1"/>
      </w:pPr>
      <w:bookmarkStart w:id="750" w:name="_Toc81739257"/>
      <w:r w:rsidRPr="00D95127">
        <w:t>Míra stávajícího řešení problému</w:t>
      </w:r>
      <w:bookmarkEnd w:id="747"/>
      <w:bookmarkEnd w:id="748"/>
      <w:bookmarkEnd w:id="749"/>
      <w:bookmarkEnd w:id="750"/>
    </w:p>
    <w:p w14:paraId="369F9D6A" w14:textId="77777777" w:rsidR="00A16DDB" w:rsidRPr="00D95127" w:rsidRDefault="00A16DDB" w:rsidP="00467D08">
      <w:pPr>
        <w:pStyle w:val="Nadpis2"/>
      </w:pPr>
      <w:bookmarkStart w:id="751" w:name="_Toc76137427"/>
      <w:bookmarkStart w:id="752" w:name="_Toc76637626"/>
      <w:bookmarkStart w:id="753" w:name="_Toc80953305"/>
      <w:bookmarkStart w:id="754" w:name="_Toc81739258"/>
      <w:r w:rsidRPr="00D95127">
        <w:t>Míra řešení ve stávající SZP (úspěšnost/neúspěšnost)</w:t>
      </w:r>
      <w:bookmarkEnd w:id="751"/>
      <w:bookmarkEnd w:id="752"/>
      <w:bookmarkEnd w:id="753"/>
      <w:bookmarkEnd w:id="754"/>
      <w:r w:rsidRPr="00D95127">
        <w:t xml:space="preserve"> </w:t>
      </w:r>
    </w:p>
    <w:p w14:paraId="12637EE6" w14:textId="568A592B" w:rsidR="00A16DDB" w:rsidRPr="00D95127" w:rsidRDefault="00A16DDB" w:rsidP="00A37B3C">
      <w:pPr>
        <w:pStyle w:val="UZEINormaln"/>
        <w:rPr>
          <w:rFonts w:eastAsia="Calibri"/>
          <w:lang w:eastAsia="en-US"/>
        </w:rPr>
      </w:pPr>
      <w:r w:rsidRPr="00D95127">
        <w:t>Len je podporován příjmovými i strukturálními podporami, a to jak z evropských, tak i národních zdrojů stále v rámci SZP. Pro udržení kladné souhrnné rentability vyplynula mimo jiné i důležitost poskytování podpor. V rámci přímých plateb mohou pěstitelé lnu pobírat jednotnou platbu na plochu zemědělské půdy (tzv. SAPS). Nedílnou součástí této nejrozšířenější zemědělské dotace je platba pro zemědělce dodržující zemědělské postupy příznivé pro klima a životní prostředí (tzv. greening). Z národního rozpočtu může ČR také vyplácet přechodnou vnitrostátní podporu (PVP), která navazuje na dříve poskytované národní doplňkové platby (Top – Up). </w:t>
      </w:r>
    </w:p>
    <w:p w14:paraId="0E0802CB" w14:textId="28D20617" w:rsidR="00A16DDB" w:rsidRPr="00A37B3C" w:rsidRDefault="00A16DDB" w:rsidP="00A37B3C">
      <w:pPr>
        <w:pStyle w:val="UZEITaB"/>
      </w:pPr>
      <w:r>
        <w:t xml:space="preserve"> </w:t>
      </w:r>
      <w:bookmarkStart w:id="755" w:name="_Toc81738510"/>
      <w:r w:rsidRPr="00A37B3C">
        <w:rPr>
          <w:rStyle w:val="normaltextrun1"/>
        </w:rPr>
        <w:t>Dotační podpory lnu 2011-2020</w:t>
      </w:r>
      <w:bookmarkEnd w:id="755"/>
      <w:r w:rsidRPr="00D95127">
        <w:rPr>
          <w:rStyle w:val="eop"/>
          <w:rFonts w:eastAsiaTheme="majorEastAsia"/>
        </w:rPr>
        <w:t> </w:t>
      </w:r>
    </w:p>
    <w:p w14:paraId="645FD2ED" w14:textId="77777777" w:rsidR="00A16DDB" w:rsidRPr="00D95127" w:rsidRDefault="00A16DDB" w:rsidP="00A16DDB">
      <w:pPr>
        <w:pStyle w:val="paragraph"/>
        <w:jc w:val="both"/>
        <w:textAlignment w:val="baseline"/>
      </w:pPr>
      <w:r w:rsidRPr="00D95127">
        <w:rPr>
          <w:rStyle w:val="eop"/>
          <w:rFonts w:eastAsiaTheme="majorEastAsia"/>
          <w:noProof/>
        </w:rPr>
        <w:drawing>
          <wp:inline distT="0" distB="0" distL="0" distR="0" wp14:anchorId="7B8016BF" wp14:editId="7BF589CE">
            <wp:extent cx="5760720" cy="1233170"/>
            <wp:effectExtent l="0" t="0" r="0" b="5080"/>
            <wp:docPr id="138" name="Obrázek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760720" cy="1233170"/>
                    </a:xfrm>
                    <a:prstGeom prst="rect">
                      <a:avLst/>
                    </a:prstGeom>
                    <a:noFill/>
                    <a:ln>
                      <a:noFill/>
                    </a:ln>
                  </pic:spPr>
                </pic:pic>
              </a:graphicData>
            </a:graphic>
          </wp:inline>
        </w:drawing>
      </w:r>
    </w:p>
    <w:p w14:paraId="4B2BBC3E" w14:textId="77777777" w:rsidR="00A16DDB" w:rsidRPr="00D95127" w:rsidRDefault="00A16DDB" w:rsidP="00A37B3C">
      <w:pPr>
        <w:pStyle w:val="UZEIZdroj"/>
        <w:rPr>
          <w:i w:val="0"/>
          <w:iCs w:val="0"/>
          <w:sz w:val="16"/>
          <w:szCs w:val="16"/>
        </w:rPr>
      </w:pPr>
      <w:r w:rsidRPr="00D95127">
        <w:rPr>
          <w:rStyle w:val="eop"/>
          <w:rFonts w:eastAsiaTheme="majorEastAsia"/>
          <w:sz w:val="22"/>
          <w:szCs w:val="22"/>
        </w:rPr>
        <w:t> </w:t>
      </w:r>
      <w:r w:rsidRPr="00D95127">
        <w:rPr>
          <w:sz w:val="16"/>
          <w:szCs w:val="16"/>
        </w:rPr>
        <w:t>Zdroj: Výběrové šetření o nákladech a výnosech zemědělských výrobků ÚZEI</w:t>
      </w:r>
    </w:p>
    <w:p w14:paraId="4EB1B0AE" w14:textId="77777777" w:rsidR="00A16DDB" w:rsidRPr="00D95127" w:rsidRDefault="00A16DDB" w:rsidP="00A37B3C">
      <w:pPr>
        <w:pStyle w:val="UZEINormaln"/>
      </w:pPr>
      <w:r w:rsidRPr="00D95127">
        <w:t>V letech 2011-2020 byl len podporována prostřednictvím SAPS a Top-Up (pouze v roce 2012). Nejvíce se na celkových poskytnutých podporách podílela SAPS. Od roku 2015 byl zaveden jako příplatek k SAPS tzv. greening. Od roku 2013 do 2020 je vyplácena přechodná vnitrostátní podpora, která má dlouhodobě klesající trend. Pěstitelé lnu mohou čerpat v uvedeném období podporu pojištění na hektar a vratky spotřební daně na zelenou naftu. V roce 2015 bylo možné nárokovat nově i LFA platby. V roce 2018 došlo v rámci redefinice LFA oblastí také ke změně vyplácení podpory z TTP na zemědělské plodiny i v oblastech LFA O, ve které jsou zastoupeny i produkční plochy lnu. V celkovém součtu se výše poskytovaných podpor během sledovaného období mírně zvyšovala, přičemž současná výše podpor dokáže kolísající cenu lnu dostatečně pokrýt. </w:t>
      </w:r>
    </w:p>
    <w:p w14:paraId="09CDF6A3" w14:textId="160FB15C" w:rsidR="00A16DDB" w:rsidRPr="00D95127" w:rsidRDefault="00A16DDB" w:rsidP="00A37B3C">
      <w:pPr>
        <w:pStyle w:val="UZEIGraf"/>
      </w:pPr>
      <w:r>
        <w:t xml:space="preserve"> </w:t>
      </w:r>
      <w:bookmarkStart w:id="756" w:name="_Toc81738811"/>
      <w:r w:rsidRPr="00D95127">
        <w:t>Vývoj struktury provozních podpor u komodity len</w:t>
      </w:r>
      <w:bookmarkEnd w:id="756"/>
      <w:r w:rsidRPr="00D95127">
        <w:t> </w:t>
      </w:r>
    </w:p>
    <w:p w14:paraId="657271BF" w14:textId="77777777" w:rsidR="00467D08" w:rsidRDefault="00A16DDB" w:rsidP="00A37B3C">
      <w:pPr>
        <w:pStyle w:val="UZEIZdroj"/>
        <w:rPr>
          <w:rStyle w:val="normaltextrun1"/>
          <w:color w:val="498205"/>
          <w:szCs w:val="20"/>
          <w:u w:val="single"/>
        </w:rPr>
      </w:pPr>
      <w:r w:rsidRPr="00D95127">
        <w:rPr>
          <w:noProof/>
        </w:rPr>
        <w:drawing>
          <wp:inline distT="0" distB="0" distL="0" distR="0" wp14:anchorId="15B49DBF" wp14:editId="758B0006">
            <wp:extent cx="5145932" cy="2717623"/>
            <wp:effectExtent l="0" t="0" r="0" b="635"/>
            <wp:docPr id="139" name="Obrázek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183167" cy="2737287"/>
                    </a:xfrm>
                    <a:prstGeom prst="rect">
                      <a:avLst/>
                    </a:prstGeom>
                    <a:noFill/>
                    <a:ln>
                      <a:noFill/>
                    </a:ln>
                  </pic:spPr>
                </pic:pic>
              </a:graphicData>
            </a:graphic>
          </wp:inline>
        </w:drawing>
      </w:r>
    </w:p>
    <w:p w14:paraId="3D7B81D7" w14:textId="708CD273" w:rsidR="00A16DDB" w:rsidRPr="00467D08" w:rsidRDefault="00A16DDB" w:rsidP="00467D08">
      <w:pPr>
        <w:pStyle w:val="UZEIZdroj"/>
      </w:pPr>
      <w:r w:rsidRPr="00467D08">
        <w:rPr>
          <w:rStyle w:val="normaltextrun1"/>
        </w:rPr>
        <w:t>Zdroj: ÚZEI, vlastní výpočty</w:t>
      </w:r>
      <w:r w:rsidRPr="00467D08">
        <w:rPr>
          <w:rStyle w:val="eop"/>
        </w:rPr>
        <w:t> </w:t>
      </w:r>
    </w:p>
    <w:p w14:paraId="5AF01241" w14:textId="77777777" w:rsidR="00A16DDB" w:rsidRPr="00D95127" w:rsidRDefault="00A16DDB" w:rsidP="00A37B3C">
      <w:pPr>
        <w:pStyle w:val="UZEINormaln"/>
      </w:pPr>
      <w:r w:rsidRPr="00D95127">
        <w:t>Konopí je podporováno příjmovými i strukturálními podporami, a to jak z evropských, tak i doplňovaných národních zdrojů stále v rámci SZP. Stejně jako u lnu je pro udržení kladné souhrnné rentability důležité poskytování podpor u konopí. V rámci přímých plateb mohou pěstitelé konopí pobírat jednotnou platbu na plochu zemědělské půdy (tzv. SAPS), kde nedílnou součástí této nejrozšířenější zemědělské dotace je platba pro zemědělce dodržující zemědělské postupy příznivé pro klima a životní prostředí (tzv. greening). Z národního rozpočtu může ČR také vyplácet přechodnou vnitrostátní podporu (PVP), která navazuje na dříve poskytované národní doplňkové platby (Top – Up). Pěstitelé konopí mohli dále čerpat podporu pojištění na hektar a vratku spotřební daně na zelenou naftu. V roce 2015 bylo možné nárokovat nově i LFA platby. V celkovém součtu se výše poskytovaných podpor během sledovaného období mírně zvyšovala.  </w:t>
      </w:r>
    </w:p>
    <w:p w14:paraId="5F2349B3" w14:textId="5A5BD080" w:rsidR="00A16DDB" w:rsidRPr="00D95127" w:rsidRDefault="00A16DDB" w:rsidP="00A37B3C">
      <w:pPr>
        <w:pStyle w:val="UZEITaB"/>
      </w:pPr>
      <w:r>
        <w:t xml:space="preserve"> </w:t>
      </w:r>
      <w:bookmarkStart w:id="757" w:name="_Toc81738511"/>
      <w:r w:rsidRPr="00A37B3C">
        <w:rPr>
          <w:rStyle w:val="normaltextrun1"/>
        </w:rPr>
        <w:t>Dotační podpory konopí 2011-2020</w:t>
      </w:r>
      <w:bookmarkEnd w:id="757"/>
      <w:r w:rsidRPr="00D95127">
        <w:rPr>
          <w:rStyle w:val="eop"/>
          <w:rFonts w:eastAsiaTheme="majorEastAsia"/>
        </w:rPr>
        <w:t> </w:t>
      </w:r>
    </w:p>
    <w:p w14:paraId="67CF34F0" w14:textId="77777777" w:rsidR="00A16DDB" w:rsidRPr="00D95127" w:rsidRDefault="00A16DDB" w:rsidP="00A16DDB">
      <w:pPr>
        <w:pStyle w:val="paragraph"/>
        <w:jc w:val="both"/>
        <w:textAlignment w:val="baseline"/>
      </w:pPr>
      <w:r w:rsidRPr="00D95127">
        <w:rPr>
          <w:rStyle w:val="eop"/>
          <w:rFonts w:eastAsiaTheme="majorEastAsia"/>
          <w:noProof/>
        </w:rPr>
        <w:drawing>
          <wp:inline distT="0" distB="0" distL="0" distR="0" wp14:anchorId="2422DBC8" wp14:editId="685658A7">
            <wp:extent cx="5760720" cy="1208405"/>
            <wp:effectExtent l="0" t="0" r="0" b="0"/>
            <wp:docPr id="147" name="Obrázek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760720" cy="1208405"/>
                    </a:xfrm>
                    <a:prstGeom prst="rect">
                      <a:avLst/>
                    </a:prstGeom>
                    <a:noFill/>
                    <a:ln>
                      <a:noFill/>
                    </a:ln>
                  </pic:spPr>
                </pic:pic>
              </a:graphicData>
            </a:graphic>
          </wp:inline>
        </w:drawing>
      </w:r>
    </w:p>
    <w:p w14:paraId="132EBE05" w14:textId="77777777" w:rsidR="00A16DDB" w:rsidRPr="00467D08" w:rsidRDefault="00A16DDB" w:rsidP="00467D08">
      <w:pPr>
        <w:pStyle w:val="UZEIZdroj"/>
      </w:pPr>
      <w:r w:rsidRPr="00467D08">
        <w:rPr>
          <w:rStyle w:val="eop"/>
        </w:rPr>
        <w:t> </w:t>
      </w:r>
      <w:r w:rsidRPr="00467D08">
        <w:t>Zdroj: Výběrové šetření o nákladech a výnosech zemědělských výrobků ÚZEI</w:t>
      </w:r>
    </w:p>
    <w:p w14:paraId="45617D40" w14:textId="32C969A0" w:rsidR="00A16DDB" w:rsidRPr="00A37B3C" w:rsidRDefault="00A16DDB" w:rsidP="00A37B3C">
      <w:pPr>
        <w:pStyle w:val="UZEIGraf"/>
      </w:pPr>
      <w:bookmarkStart w:id="758" w:name="_Toc81738812"/>
      <w:r w:rsidRPr="00A37B3C">
        <w:rPr>
          <w:rStyle w:val="normaltextrun1"/>
        </w:rPr>
        <w:t>Vývoj struktury provozních podpor u komodity konopí</w:t>
      </w:r>
      <w:bookmarkEnd w:id="758"/>
      <w:r w:rsidRPr="00A37B3C">
        <w:rPr>
          <w:rStyle w:val="eop"/>
          <w:rFonts w:eastAsiaTheme="majorEastAsia"/>
        </w:rPr>
        <w:t> </w:t>
      </w:r>
    </w:p>
    <w:p w14:paraId="7C10F5B1" w14:textId="03FF8C63" w:rsidR="00A16DDB" w:rsidRPr="00D95127" w:rsidRDefault="00A16DDB" w:rsidP="00A37B3C">
      <w:pPr>
        <w:pStyle w:val="UZEIZdroj"/>
      </w:pPr>
      <w:r w:rsidRPr="00D95127">
        <w:rPr>
          <w:noProof/>
        </w:rPr>
        <w:drawing>
          <wp:inline distT="0" distB="0" distL="0" distR="0" wp14:anchorId="5393E611" wp14:editId="6BEE0D7D">
            <wp:extent cx="5760720" cy="3237230"/>
            <wp:effectExtent l="0" t="0" r="0" b="127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760720" cy="3237230"/>
                    </a:xfrm>
                    <a:prstGeom prst="rect">
                      <a:avLst/>
                    </a:prstGeom>
                    <a:noFill/>
                    <a:ln>
                      <a:noFill/>
                    </a:ln>
                  </pic:spPr>
                </pic:pic>
              </a:graphicData>
            </a:graphic>
          </wp:inline>
        </w:drawing>
      </w:r>
      <w:r w:rsidRPr="00A37B3C">
        <w:t> Zdroj: ÚZEI, vlastní výpočty</w:t>
      </w:r>
      <w:r w:rsidRPr="00D95127">
        <w:rPr>
          <w:rStyle w:val="eop"/>
          <w:rFonts w:eastAsiaTheme="majorEastAsia"/>
          <w:sz w:val="16"/>
          <w:szCs w:val="16"/>
        </w:rPr>
        <w:t> </w:t>
      </w:r>
    </w:p>
    <w:p w14:paraId="31AE858E" w14:textId="77777777" w:rsidR="00A16DDB" w:rsidRPr="00467D08" w:rsidRDefault="00A16DDB" w:rsidP="00467D08">
      <w:pPr>
        <w:pStyle w:val="Nadpis2"/>
      </w:pPr>
      <w:bookmarkStart w:id="759" w:name="_Toc80953306"/>
      <w:bookmarkStart w:id="760" w:name="_Toc81739259"/>
      <w:r w:rsidRPr="00467D08">
        <w:t>Míra současného řešení problému jinými politikami</w:t>
      </w:r>
      <w:bookmarkEnd w:id="759"/>
      <w:bookmarkEnd w:id="760"/>
    </w:p>
    <w:p w14:paraId="0F4674FA" w14:textId="77777777" w:rsidR="00A16DDB" w:rsidRPr="00D95127" w:rsidRDefault="00A16DDB" w:rsidP="00A37B3C">
      <w:pPr>
        <w:pStyle w:val="UZEINormaln"/>
        <w:rPr>
          <w:rFonts w:cs="Times New Roman"/>
        </w:rPr>
      </w:pPr>
      <w:r w:rsidRPr="00D95127">
        <w:t xml:space="preserve">Mezi další pravidelně vyplácené </w:t>
      </w:r>
      <w:r w:rsidRPr="00D95127">
        <w:rPr>
          <w:rFonts w:cs="Times New Roman"/>
        </w:rPr>
        <w:t>provozní podpory, které jsou méně významné z hlediska jejich výše, patří podpory na pojištění na ha z. p. a vratka zelené nafty.</w:t>
      </w:r>
    </w:p>
    <w:p w14:paraId="1D024CE0" w14:textId="77777777" w:rsidR="00A16DDB" w:rsidRPr="00D95127" w:rsidRDefault="00A16DDB" w:rsidP="00A37B3C">
      <w:pPr>
        <w:pStyle w:val="UZEINormaln"/>
        <w:rPr>
          <w:rFonts w:cs="Times New Roman"/>
        </w:rPr>
      </w:pPr>
      <w:r w:rsidRPr="00D95127">
        <w:t xml:space="preserve">Z hlediska strukturálních podpor mohou pěstitelé pro komoditu len a konopí využít následujících Národních dotačních </w:t>
      </w:r>
      <w:r w:rsidRPr="00D95127">
        <w:rPr>
          <w:rFonts w:cs="Times New Roman"/>
        </w:rPr>
        <w:t>programů:</w:t>
      </w:r>
    </w:p>
    <w:p w14:paraId="7C4BEDBC" w14:textId="77777777" w:rsidR="00A16DDB" w:rsidRPr="00D95127" w:rsidRDefault="00A16DDB" w:rsidP="00A37B3C">
      <w:pPr>
        <w:pStyle w:val="UZEINormaln"/>
        <w:rPr>
          <w:rFonts w:cs="Times New Roman"/>
        </w:rPr>
      </w:pPr>
      <w:r w:rsidRPr="00D95127">
        <w:t>Program 3. Podpora ozdravování polních a speciálních plodin</w:t>
      </w:r>
    </w:p>
    <w:p w14:paraId="07EC46A0" w14:textId="77777777" w:rsidR="00A16DDB" w:rsidRPr="00D95127" w:rsidRDefault="00A16DDB" w:rsidP="00A37B3C">
      <w:pPr>
        <w:pStyle w:val="UZEINormaln"/>
        <w:rPr>
          <w:rFonts w:cs="Times New Roman"/>
        </w:rPr>
      </w:pPr>
      <w:r w:rsidRPr="00D95127">
        <w:t>Účel: Zvýšení kvality rostlinné produkce cestou náhrady chemického ošetření a prevence šíření hospodářsky závažných virových a bakteriálních chorob a chorob přenosných osivem.</w:t>
      </w:r>
    </w:p>
    <w:p w14:paraId="0E5E2F63" w14:textId="77777777" w:rsidR="00A16DDB" w:rsidRPr="00D95127" w:rsidRDefault="00A16DDB" w:rsidP="00A37B3C">
      <w:pPr>
        <w:pStyle w:val="UZEINormaln"/>
        <w:rPr>
          <w:rFonts w:cs="Times New Roman"/>
        </w:rPr>
      </w:pPr>
      <w:r w:rsidRPr="00D95127">
        <w:t xml:space="preserve">Předmět dotace: </w:t>
      </w:r>
    </w:p>
    <w:p w14:paraId="4E4C9279" w14:textId="77777777" w:rsidR="00A16DDB" w:rsidRPr="00D95127" w:rsidRDefault="00A16DDB" w:rsidP="00A37B3C">
      <w:pPr>
        <w:pStyle w:val="UZEIOdrky"/>
        <w:rPr>
          <w:rFonts w:cs="Times New Roman"/>
        </w:rPr>
      </w:pPr>
      <w:r w:rsidRPr="00D95127">
        <w:t>3.a) Biologická ochrana jako náhrada chemické ochrany rostlin</w:t>
      </w:r>
    </w:p>
    <w:p w14:paraId="6A9C1DEC" w14:textId="77777777" w:rsidR="00A16DDB" w:rsidRPr="00D95127" w:rsidRDefault="00A16DDB" w:rsidP="00A37B3C">
      <w:pPr>
        <w:pStyle w:val="UZEIOdrky"/>
        <w:rPr>
          <w:rFonts w:cs="Times New Roman"/>
        </w:rPr>
      </w:pPr>
      <w:r w:rsidRPr="00D95127">
        <w:t xml:space="preserve">3. c) podpora na testování množitelského materiálu s využitím imunoenzymatických metod a metod PCR, </w:t>
      </w:r>
    </w:p>
    <w:p w14:paraId="0234CB24" w14:textId="77777777" w:rsidR="00A16DDB" w:rsidRPr="00D95127" w:rsidRDefault="00A16DDB" w:rsidP="00A37B3C">
      <w:pPr>
        <w:pStyle w:val="UZEIOdrky"/>
        <w:rPr>
          <w:rFonts w:cs="Times New Roman"/>
        </w:rPr>
      </w:pPr>
      <w:r w:rsidRPr="00D95127">
        <w:t>3.i. Použité uznané a mořené osivo lnu, uznané osivo konopí setého a použité uznané osivo vyjmenovaných pícnin (zařazených do jednotlivých skupin) odrůd registrovaných na základě užitné hodnoty v ČR a uvedených ve Společném katalogu odrůd EU pro osev produkčních ploch.</w:t>
      </w:r>
    </w:p>
    <w:p w14:paraId="3E61E6D7" w14:textId="77777777" w:rsidR="00A16DDB" w:rsidRPr="00D95127" w:rsidRDefault="00A16DDB" w:rsidP="006A0EB3">
      <w:pPr>
        <w:pStyle w:val="UZEINormaln"/>
        <w:rPr>
          <w:rFonts w:cs="Times New Roman"/>
        </w:rPr>
      </w:pPr>
      <w:r w:rsidRPr="00D95127">
        <w:t>Program 9. Poradenství a vzdělávání,</w:t>
      </w:r>
    </w:p>
    <w:p w14:paraId="4CE199E1" w14:textId="77777777" w:rsidR="00A16DDB" w:rsidRPr="00D95127" w:rsidRDefault="00A16DDB" w:rsidP="006A0EB3">
      <w:pPr>
        <w:pStyle w:val="UZEIOdrky"/>
        <w:rPr>
          <w:rFonts w:cs="Times New Roman"/>
        </w:rPr>
      </w:pPr>
      <w:r w:rsidRPr="00D95127">
        <w:t>9. A.b.4) Podpora zajištění samostatných odrůdových zkoušek registrovaných odrůd polních plodin, za účelem zajistit získání a šíření informací o pěstitelských vlastnostech registrovaných odrůd polních plodin.</w:t>
      </w:r>
    </w:p>
    <w:p w14:paraId="05D91A11" w14:textId="2C1D0CA1" w:rsidR="00A16DDB" w:rsidRPr="00D95127" w:rsidRDefault="00A16DDB" w:rsidP="006A0EB3">
      <w:pPr>
        <w:pStyle w:val="UZEIOdrky"/>
        <w:rPr>
          <w:rFonts w:cs="Times New Roman"/>
        </w:rPr>
      </w:pPr>
      <w:r w:rsidRPr="00D95127">
        <w:t>Dotace na odrůdu lnu 9.A.b.4.f</w:t>
      </w:r>
    </w:p>
    <w:p w14:paraId="74C9C308" w14:textId="77777777" w:rsidR="00A16DDB" w:rsidRPr="00D95127" w:rsidRDefault="00A16DDB" w:rsidP="00A16DDB">
      <w:pPr>
        <w:autoSpaceDE w:val="0"/>
        <w:autoSpaceDN w:val="0"/>
        <w:adjustRightInd w:val="0"/>
        <w:rPr>
          <w:rFonts w:cs="Times New Roman"/>
          <w:color w:val="000000"/>
          <w:szCs w:val="24"/>
          <w:lang w:val="cs-CZ"/>
        </w:rPr>
      </w:pPr>
    </w:p>
    <w:p w14:paraId="18AE3F58" w14:textId="59269928" w:rsidR="00467D08" w:rsidRDefault="00467D08" w:rsidP="00467D08">
      <w:pPr>
        <w:pStyle w:val="Nadpis1"/>
        <w:numPr>
          <w:ilvl w:val="0"/>
          <w:numId w:val="0"/>
        </w:numPr>
        <w:ind w:left="432" w:hanging="432"/>
      </w:pPr>
      <w:bookmarkStart w:id="761" w:name="_Toc76137429"/>
      <w:bookmarkStart w:id="762" w:name="_Toc76637628"/>
      <w:bookmarkStart w:id="763" w:name="_Toc80953307"/>
    </w:p>
    <w:p w14:paraId="5144D830" w14:textId="77777777" w:rsidR="00467D08" w:rsidRDefault="00467D08">
      <w:pPr>
        <w:spacing w:after="160" w:line="259" w:lineRule="auto"/>
        <w:jc w:val="left"/>
        <w:rPr>
          <w:rFonts w:eastAsiaTheme="majorEastAsia" w:cs="Times New Roman"/>
          <w:b/>
          <w:bCs/>
          <w:sz w:val="28"/>
          <w:szCs w:val="32"/>
          <w:lang w:val="cs-CZ"/>
        </w:rPr>
      </w:pPr>
      <w:r>
        <w:br w:type="page"/>
      </w:r>
    </w:p>
    <w:p w14:paraId="7B4C0755" w14:textId="6FC0C4A5" w:rsidR="00A16DDB" w:rsidRPr="00D95127" w:rsidRDefault="00A16DDB" w:rsidP="00082AE3">
      <w:pPr>
        <w:pStyle w:val="Nadpis1"/>
      </w:pPr>
      <w:bookmarkStart w:id="764" w:name="_Toc81739260"/>
      <w:r w:rsidRPr="00D95127">
        <w:t>Existence/neexistence možnosti efektivního řešení v rámci nástrojů SZP, které lze uvažovat v nových návrzích SZP</w:t>
      </w:r>
      <w:bookmarkEnd w:id="761"/>
      <w:bookmarkEnd w:id="762"/>
      <w:bookmarkEnd w:id="763"/>
      <w:bookmarkEnd w:id="764"/>
    </w:p>
    <w:p w14:paraId="6EBB9AB8" w14:textId="77777777" w:rsidR="00A16DDB" w:rsidRPr="00D95127" w:rsidRDefault="00A16DDB" w:rsidP="00082AE3">
      <w:pPr>
        <w:pStyle w:val="UZEINormaln"/>
        <w:rPr>
          <w:rFonts w:cs="Times New Roman"/>
        </w:rPr>
      </w:pPr>
      <w:r w:rsidRPr="00D95127">
        <w:t>Řešením nízké konkurenceschopnosti prvovýrobců je především vytvoření efektivního odbytového řetězce a to jak v případě lnu na semeno tak i konopí setého. Zdá se, že hlavním problémem je nízká cenová konkurence na světovém trhu, která způsobuje výraznější dovozy této komodity a brání tak rozšíření osevních ploch v ČR. Posílení příjmové situace zemědělců by mohlo částečně přispět k zlepšení cenové konkurence a zlepšení tak souhrnné rentability, která by motivovala pěstitele k většímu zastoupení pěstovaných plodin. Současně ostatní regulatorní opatření vztažená k podmíněnosti prostřednictvím požadavků na dodržování osevního postupu a diverzifikace plodin by také nepřímo přispěla k navýšení ploch těchto plodin v osevních postupech zemědělských podniků. Současně bude nezbytné zachování stávajících podpor, které jsou do těchto odvětví směrovány jak v rámci SZP (podpora krmiv prostřednictvím SAPS + greening), tak i národních podpor jako je zelená nafta pro RV i podpora pojištění apod.</w:t>
      </w:r>
    </w:p>
    <w:p w14:paraId="2E2B6A4C" w14:textId="71AC31BA" w:rsidR="00A16DDB" w:rsidRPr="00D95127" w:rsidRDefault="00A16DDB" w:rsidP="00082AE3">
      <w:pPr>
        <w:pStyle w:val="UZEINormaln"/>
        <w:rPr>
          <w:rFonts w:cs="Times New Roman"/>
        </w:rPr>
      </w:pPr>
      <w:r w:rsidRPr="00D95127">
        <w:t>Návrh řešení problémů a jejich příčin v celé škále provozních a strukturálních podpor je uveden v rámci teorie změny v tabulkách (</w:t>
      </w:r>
      <w:r w:rsidR="00082AE3">
        <w:fldChar w:fldCharType="begin"/>
      </w:r>
      <w:r w:rsidR="00082AE3">
        <w:instrText xml:space="preserve"> REF _Ref81674980 \r \h </w:instrText>
      </w:r>
      <w:r w:rsidR="00082AE3">
        <w:fldChar w:fldCharType="separate"/>
      </w:r>
      <w:r w:rsidR="00082AE3">
        <w:t>Tabulka 83</w:t>
      </w:r>
      <w:r w:rsidR="00082AE3">
        <w:fldChar w:fldCharType="end"/>
      </w:r>
      <w:r>
        <w:t xml:space="preserve"> a </w:t>
      </w:r>
      <w:r w:rsidR="00082AE3">
        <w:fldChar w:fldCharType="begin"/>
      </w:r>
      <w:r w:rsidR="00082AE3">
        <w:instrText xml:space="preserve"> REF _Ref81674994 \r \h </w:instrText>
      </w:r>
      <w:r w:rsidR="00082AE3">
        <w:fldChar w:fldCharType="separate"/>
      </w:r>
      <w:r w:rsidR="00082AE3">
        <w:t>Tabulka 84</w:t>
      </w:r>
      <w:r w:rsidR="00082AE3">
        <w:fldChar w:fldCharType="end"/>
      </w:r>
      <w:r w:rsidRPr="00D95127">
        <w:t>).</w:t>
      </w:r>
    </w:p>
    <w:p w14:paraId="5299BD59" w14:textId="77777777" w:rsidR="00A16DDB" w:rsidRPr="00D95127" w:rsidRDefault="00A16DDB" w:rsidP="00082AE3">
      <w:pPr>
        <w:pStyle w:val="UZEINormaln"/>
        <w:rPr>
          <w:rFonts w:cs="Times New Roman"/>
        </w:rPr>
      </w:pPr>
      <w:r w:rsidRPr="00D95127">
        <w:br w:type="page"/>
      </w:r>
    </w:p>
    <w:p w14:paraId="6F01F411" w14:textId="77777777" w:rsidR="00A16DDB" w:rsidRPr="00D95127" w:rsidRDefault="00A16DDB" w:rsidP="00A16DDB">
      <w:pPr>
        <w:rPr>
          <w:rFonts w:cs="Times New Roman"/>
          <w:szCs w:val="24"/>
          <w:lang w:val="cs-CZ"/>
        </w:rPr>
        <w:sectPr w:rsidR="00A16DDB" w:rsidRPr="00D95127" w:rsidSect="00C82CBD">
          <w:footerReference w:type="default" r:id="rId132"/>
          <w:pgSz w:w="11906" w:h="16838"/>
          <w:pgMar w:top="1417" w:right="1417" w:bottom="1417" w:left="1417" w:header="708" w:footer="708" w:gutter="0"/>
          <w:cols w:space="708"/>
          <w:docGrid w:linePitch="360"/>
        </w:sectPr>
      </w:pPr>
    </w:p>
    <w:p w14:paraId="38FD303B" w14:textId="545B9FA8" w:rsidR="00A16DDB" w:rsidRPr="00467D08" w:rsidRDefault="00A16DDB" w:rsidP="00467D08">
      <w:pPr>
        <w:pStyle w:val="UZEITaB"/>
      </w:pPr>
      <w:r w:rsidRPr="00467D08">
        <w:t xml:space="preserve"> </w:t>
      </w:r>
      <w:bookmarkStart w:id="765" w:name="_Ref81674980"/>
      <w:bookmarkStart w:id="766" w:name="_Toc81738512"/>
      <w:r w:rsidRPr="00467D08">
        <w:t>Teorie změny – Len olejný</w:t>
      </w:r>
      <w:bookmarkEnd w:id="765"/>
      <w:bookmarkEnd w:id="766"/>
    </w:p>
    <w:p w14:paraId="64300B3E" w14:textId="77777777" w:rsidR="00A16DDB" w:rsidRPr="00D95127" w:rsidRDefault="00A16DDB" w:rsidP="00A16DDB">
      <w:pPr>
        <w:rPr>
          <w:rFonts w:cs="Times New Roman"/>
          <w:szCs w:val="24"/>
          <w:lang w:val="cs-CZ"/>
        </w:rPr>
      </w:pPr>
      <w:r w:rsidRPr="00D95127">
        <w:rPr>
          <w:rFonts w:cs="Times New Roman"/>
          <w:noProof/>
          <w:lang w:val="cs-CZ"/>
        </w:rPr>
        <w:drawing>
          <wp:inline distT="0" distB="0" distL="0" distR="0" wp14:anchorId="26886328" wp14:editId="5950BAFD">
            <wp:extent cx="8891270" cy="1610995"/>
            <wp:effectExtent l="0" t="0" r="5080" b="8255"/>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8891270" cy="1610995"/>
                    </a:xfrm>
                    <a:prstGeom prst="rect">
                      <a:avLst/>
                    </a:prstGeom>
                    <a:noFill/>
                    <a:ln>
                      <a:noFill/>
                    </a:ln>
                  </pic:spPr>
                </pic:pic>
              </a:graphicData>
            </a:graphic>
          </wp:inline>
        </w:drawing>
      </w:r>
    </w:p>
    <w:p w14:paraId="222C3220" w14:textId="77777777" w:rsidR="00A16DDB" w:rsidRPr="00D95127" w:rsidRDefault="00A16DDB" w:rsidP="00082AE3">
      <w:pPr>
        <w:pStyle w:val="UZEIZdroj"/>
      </w:pPr>
      <w:r w:rsidRPr="00D95127">
        <w:t>Pramen: ÚZEI vlastní schéma</w:t>
      </w:r>
    </w:p>
    <w:p w14:paraId="148BBEFC" w14:textId="25275BD0" w:rsidR="00A16DDB" w:rsidRPr="00467D08" w:rsidRDefault="00A16DDB" w:rsidP="00467D08">
      <w:pPr>
        <w:pStyle w:val="UZEITaB"/>
      </w:pPr>
      <w:r w:rsidRPr="00467D08">
        <w:t xml:space="preserve"> </w:t>
      </w:r>
      <w:bookmarkStart w:id="767" w:name="_Ref81674994"/>
      <w:bookmarkStart w:id="768" w:name="_Toc81738513"/>
      <w:r w:rsidRPr="00467D08">
        <w:t>Teorie změny – Konopí seté</w:t>
      </w:r>
      <w:bookmarkEnd w:id="767"/>
      <w:bookmarkEnd w:id="768"/>
    </w:p>
    <w:p w14:paraId="502A765A" w14:textId="77777777" w:rsidR="00A16DDB" w:rsidRPr="00D95127" w:rsidRDefault="00A16DDB" w:rsidP="00A16DDB">
      <w:pPr>
        <w:rPr>
          <w:rFonts w:cs="Times New Roman"/>
          <w:szCs w:val="24"/>
          <w:lang w:val="cs-CZ"/>
        </w:rPr>
      </w:pPr>
      <w:r w:rsidRPr="00D95127">
        <w:rPr>
          <w:rFonts w:cs="Times New Roman"/>
          <w:noProof/>
          <w:lang w:val="cs-CZ"/>
        </w:rPr>
        <w:drawing>
          <wp:inline distT="0" distB="0" distL="0" distR="0" wp14:anchorId="0922645D" wp14:editId="0770FF35">
            <wp:extent cx="8891270" cy="2135505"/>
            <wp:effectExtent l="0" t="0" r="5080" b="0"/>
            <wp:docPr id="153" name="Obrázek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8891270" cy="2135505"/>
                    </a:xfrm>
                    <a:prstGeom prst="rect">
                      <a:avLst/>
                    </a:prstGeom>
                    <a:noFill/>
                    <a:ln>
                      <a:noFill/>
                    </a:ln>
                  </pic:spPr>
                </pic:pic>
              </a:graphicData>
            </a:graphic>
          </wp:inline>
        </w:drawing>
      </w:r>
    </w:p>
    <w:p w14:paraId="080B4C5E" w14:textId="77777777" w:rsidR="00A16DDB" w:rsidRPr="00D95127" w:rsidRDefault="00A16DDB" w:rsidP="00082AE3">
      <w:pPr>
        <w:pStyle w:val="UZEIZdroj"/>
        <w:rPr>
          <w:i w:val="0"/>
          <w:szCs w:val="20"/>
        </w:rPr>
      </w:pPr>
      <w:r w:rsidRPr="00082AE3">
        <w:t>Pramen: ÚZEI vlastní schéma</w:t>
      </w:r>
    </w:p>
    <w:p w14:paraId="347D5451" w14:textId="77777777" w:rsidR="00A16DDB" w:rsidRPr="00D95127" w:rsidRDefault="00A16DDB" w:rsidP="00A16DDB">
      <w:pPr>
        <w:keepNext/>
        <w:rPr>
          <w:rFonts w:cs="Times New Roman"/>
          <w:i/>
          <w:sz w:val="20"/>
          <w:szCs w:val="20"/>
          <w:lang w:val="cs-CZ"/>
        </w:rPr>
      </w:pPr>
    </w:p>
    <w:p w14:paraId="47187AAC" w14:textId="77777777" w:rsidR="00A16DDB" w:rsidRPr="00D95127" w:rsidRDefault="00A16DDB" w:rsidP="00A16DDB">
      <w:pPr>
        <w:keepNext/>
        <w:rPr>
          <w:rFonts w:cs="Times New Roman"/>
          <w:i/>
          <w:sz w:val="20"/>
          <w:szCs w:val="20"/>
          <w:lang w:val="cs-CZ"/>
        </w:rPr>
        <w:sectPr w:rsidR="00A16DDB" w:rsidRPr="00D95127" w:rsidSect="00C82CBD">
          <w:headerReference w:type="default" r:id="rId135"/>
          <w:footerReference w:type="default" r:id="rId136"/>
          <w:pgSz w:w="16838" w:h="11906" w:orient="landscape"/>
          <w:pgMar w:top="567" w:right="1418" w:bottom="1418" w:left="1418" w:header="709" w:footer="709" w:gutter="0"/>
          <w:cols w:space="708"/>
          <w:docGrid w:linePitch="360"/>
        </w:sectPr>
      </w:pPr>
    </w:p>
    <w:p w14:paraId="1126EAC2" w14:textId="77777777" w:rsidR="00A16DDB" w:rsidRPr="00D95127" w:rsidRDefault="00A16DDB" w:rsidP="00082AE3">
      <w:pPr>
        <w:pStyle w:val="Nadpis1"/>
      </w:pPr>
      <w:bookmarkStart w:id="769" w:name="_Toc76137430"/>
      <w:bookmarkStart w:id="770" w:name="_Toc76637629"/>
      <w:bookmarkStart w:id="771" w:name="_Toc80953308"/>
      <w:bookmarkStart w:id="772" w:name="_Toc81739261"/>
      <w:r w:rsidRPr="00D95127">
        <w:t>SWOT analýza</w:t>
      </w:r>
      <w:bookmarkEnd w:id="769"/>
      <w:bookmarkEnd w:id="770"/>
      <w:bookmarkEnd w:id="771"/>
      <w:bookmarkEnd w:id="772"/>
    </w:p>
    <w:p w14:paraId="1D08D8E3" w14:textId="77777777" w:rsidR="00A16DDB" w:rsidRPr="00467D08" w:rsidRDefault="00A16DDB" w:rsidP="00082AE3">
      <w:pPr>
        <w:pStyle w:val="UZEINormaln"/>
        <w:rPr>
          <w:rStyle w:val="Odkazintenzivn"/>
          <w:rFonts w:cs="Times New Roman"/>
          <w:caps/>
          <w:smallCaps w:val="0"/>
        </w:rPr>
      </w:pPr>
      <w:r w:rsidRPr="00467D08">
        <w:rPr>
          <w:rStyle w:val="Odkazintenzivn"/>
          <w:rFonts w:cs="Times New Roman"/>
          <w:caps/>
          <w:smallCaps w:val="0"/>
          <w:color w:val="auto"/>
        </w:rPr>
        <w:t>Len</w:t>
      </w:r>
    </w:p>
    <w:tbl>
      <w:tblPr>
        <w:tblW w:w="9695" w:type="dxa"/>
        <w:tblInd w:w="108" w:type="dxa"/>
        <w:tblLayout w:type="fixed"/>
        <w:tblCellMar>
          <w:left w:w="0" w:type="dxa"/>
          <w:right w:w="0" w:type="dxa"/>
        </w:tblCellMar>
        <w:tblLook w:val="04A0" w:firstRow="1" w:lastRow="0" w:firstColumn="1" w:lastColumn="0" w:noHBand="0" w:noVBand="1"/>
      </w:tblPr>
      <w:tblGrid>
        <w:gridCol w:w="4669"/>
        <w:gridCol w:w="4842"/>
        <w:gridCol w:w="72"/>
        <w:gridCol w:w="30"/>
        <w:gridCol w:w="52"/>
        <w:gridCol w:w="30"/>
      </w:tblGrid>
      <w:tr w:rsidR="00A16DDB" w:rsidRPr="00D95127" w14:paraId="0F73BA2B" w14:textId="77777777" w:rsidTr="00082AE3">
        <w:trPr>
          <w:gridAfter w:val="2"/>
          <w:wAfter w:w="82" w:type="dxa"/>
        </w:trPr>
        <w:tc>
          <w:tcPr>
            <w:tcW w:w="467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755015" w14:textId="77777777" w:rsidR="00A16DDB" w:rsidRPr="00082AE3" w:rsidRDefault="00A16DDB" w:rsidP="00467D08">
            <w:pPr>
              <w:pStyle w:val="UZEINormaln"/>
              <w:jc w:val="center"/>
              <w:rPr>
                <w:b/>
                <w:sz w:val="22"/>
                <w:szCs w:val="22"/>
              </w:rPr>
            </w:pPr>
            <w:r w:rsidRPr="00082AE3">
              <w:rPr>
                <w:b/>
                <w:sz w:val="22"/>
                <w:szCs w:val="22"/>
              </w:rPr>
              <w:t>Silné stránky</w:t>
            </w:r>
          </w:p>
        </w:tc>
        <w:tc>
          <w:tcPr>
            <w:tcW w:w="4919"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A8E2ABD" w14:textId="77777777" w:rsidR="00A16DDB" w:rsidRPr="00082AE3" w:rsidRDefault="00A16DDB" w:rsidP="00467D08">
            <w:pPr>
              <w:pStyle w:val="UZEINormaln"/>
              <w:jc w:val="center"/>
              <w:rPr>
                <w:b/>
                <w:sz w:val="22"/>
                <w:szCs w:val="22"/>
              </w:rPr>
            </w:pPr>
            <w:r w:rsidRPr="00082AE3">
              <w:rPr>
                <w:b/>
                <w:sz w:val="22"/>
                <w:szCs w:val="22"/>
              </w:rPr>
              <w:t>Slabé stránky</w:t>
            </w:r>
          </w:p>
        </w:tc>
        <w:tc>
          <w:tcPr>
            <w:tcW w:w="20" w:type="dxa"/>
            <w:tcBorders>
              <w:top w:val="nil"/>
              <w:left w:val="nil"/>
              <w:bottom w:val="single" w:sz="8" w:space="0" w:color="auto"/>
              <w:right w:val="nil"/>
            </w:tcBorders>
            <w:vAlign w:val="center"/>
            <w:hideMark/>
          </w:tcPr>
          <w:p w14:paraId="6B0A9143" w14:textId="77777777" w:rsidR="00A16DDB" w:rsidRPr="00082AE3" w:rsidRDefault="00A16DDB" w:rsidP="00082AE3">
            <w:pPr>
              <w:pStyle w:val="UZEINormaln"/>
              <w:rPr>
                <w:sz w:val="22"/>
                <w:szCs w:val="22"/>
              </w:rPr>
            </w:pPr>
            <w:r w:rsidRPr="00082AE3">
              <w:rPr>
                <w:sz w:val="22"/>
                <w:szCs w:val="22"/>
              </w:rPr>
              <w:t> </w:t>
            </w:r>
          </w:p>
        </w:tc>
      </w:tr>
      <w:tr w:rsidR="00A16DDB" w:rsidRPr="00D95127" w14:paraId="206B64FE" w14:textId="77777777" w:rsidTr="00082AE3">
        <w:trPr>
          <w:gridAfter w:val="4"/>
          <w:wAfter w:w="174" w:type="dxa"/>
        </w:trPr>
        <w:tc>
          <w:tcPr>
            <w:tcW w:w="467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5B9BCCA" w14:textId="2B6CB469" w:rsidR="00A16DDB" w:rsidRPr="00082AE3" w:rsidRDefault="00467D08" w:rsidP="00082AE3">
            <w:pPr>
              <w:pStyle w:val="UZEIOdrky"/>
              <w:ind w:left="342" w:hanging="283"/>
              <w:rPr>
                <w:sz w:val="22"/>
                <w:szCs w:val="22"/>
              </w:rPr>
            </w:pPr>
            <w:r>
              <w:rPr>
                <w:sz w:val="22"/>
                <w:szCs w:val="22"/>
              </w:rPr>
              <w:t xml:space="preserve">S1: </w:t>
            </w:r>
            <w:r w:rsidR="00A16DDB" w:rsidRPr="00082AE3">
              <w:rPr>
                <w:sz w:val="22"/>
                <w:szCs w:val="22"/>
              </w:rPr>
              <w:t>Dobrý odbyt osiva lnu olejného v zahraničí (pro 50 % produkci, což odpovídá výměře cca 600 ha)</w:t>
            </w:r>
          </w:p>
          <w:p w14:paraId="218C81ED" w14:textId="07F8A940" w:rsidR="00A16DDB" w:rsidRPr="00082AE3" w:rsidRDefault="00467D08" w:rsidP="00082AE3">
            <w:pPr>
              <w:pStyle w:val="UZEIOdrky"/>
              <w:ind w:left="342" w:hanging="283"/>
              <w:rPr>
                <w:sz w:val="22"/>
                <w:szCs w:val="22"/>
              </w:rPr>
            </w:pPr>
            <w:r>
              <w:rPr>
                <w:sz w:val="22"/>
                <w:szCs w:val="22"/>
              </w:rPr>
              <w:t xml:space="preserve">S2: </w:t>
            </w:r>
            <w:r w:rsidR="00A16DDB" w:rsidRPr="00082AE3">
              <w:rPr>
                <w:sz w:val="22"/>
                <w:szCs w:val="22"/>
              </w:rPr>
              <w:t>Fytosanitární účinky lnu na půdu a přerušovač monokulturního pěstování polních plodin</w:t>
            </w:r>
          </w:p>
          <w:p w14:paraId="26613432" w14:textId="08AEE6C5" w:rsidR="00A16DDB" w:rsidRPr="00082AE3" w:rsidRDefault="00467D08" w:rsidP="00082AE3">
            <w:pPr>
              <w:pStyle w:val="UZEIOdrky"/>
              <w:ind w:left="342" w:hanging="283"/>
              <w:rPr>
                <w:sz w:val="22"/>
                <w:szCs w:val="22"/>
              </w:rPr>
            </w:pPr>
            <w:r>
              <w:rPr>
                <w:sz w:val="22"/>
                <w:szCs w:val="22"/>
              </w:rPr>
              <w:t xml:space="preserve">S3: </w:t>
            </w:r>
            <w:r w:rsidR="00A16DDB" w:rsidRPr="00082AE3">
              <w:rPr>
                <w:sz w:val="22"/>
                <w:szCs w:val="22"/>
              </w:rPr>
              <w:t>Nenáročné založení porostu, doběrná plodina 3. trati v osevním postupu (tj. nenáročná na výživu rostlin)</w:t>
            </w:r>
          </w:p>
          <w:p w14:paraId="7A1C267F" w14:textId="07ED250D" w:rsidR="00A16DDB" w:rsidRPr="00082AE3" w:rsidRDefault="00467D08" w:rsidP="00082AE3">
            <w:pPr>
              <w:pStyle w:val="UZEIOdrky"/>
              <w:ind w:left="342" w:hanging="283"/>
              <w:rPr>
                <w:sz w:val="22"/>
                <w:szCs w:val="22"/>
              </w:rPr>
            </w:pPr>
            <w:r>
              <w:rPr>
                <w:sz w:val="22"/>
                <w:szCs w:val="22"/>
              </w:rPr>
              <w:t xml:space="preserve">S4: </w:t>
            </w:r>
            <w:r w:rsidR="00A16DDB" w:rsidRPr="00082AE3">
              <w:rPr>
                <w:sz w:val="22"/>
                <w:szCs w:val="22"/>
              </w:rPr>
              <w:t>Vysoké kvalitativní parametry zdravotního benefitu semen olejných lnů, především českých odrůd (vysoký obsah lignanů-secoisolariciresinol), různý poměr mastných kyselin v tuku</w:t>
            </w:r>
          </w:p>
        </w:tc>
        <w:tc>
          <w:tcPr>
            <w:tcW w:w="4847" w:type="dxa"/>
            <w:tcBorders>
              <w:top w:val="nil"/>
              <w:left w:val="nil"/>
              <w:bottom w:val="single" w:sz="8" w:space="0" w:color="auto"/>
              <w:right w:val="single" w:sz="8" w:space="0" w:color="auto"/>
            </w:tcBorders>
            <w:tcMar>
              <w:top w:w="0" w:type="dxa"/>
              <w:left w:w="108" w:type="dxa"/>
              <w:bottom w:w="0" w:type="dxa"/>
              <w:right w:w="108" w:type="dxa"/>
            </w:tcMar>
          </w:tcPr>
          <w:p w14:paraId="24FDC927" w14:textId="3C85E8C7" w:rsidR="00A16DDB" w:rsidRPr="00082AE3" w:rsidRDefault="00467D08" w:rsidP="00082AE3">
            <w:pPr>
              <w:pStyle w:val="UZEIOdrky"/>
              <w:ind w:left="342" w:hanging="283"/>
              <w:rPr>
                <w:sz w:val="22"/>
                <w:szCs w:val="22"/>
              </w:rPr>
            </w:pPr>
            <w:r>
              <w:rPr>
                <w:sz w:val="22"/>
                <w:szCs w:val="22"/>
              </w:rPr>
              <w:t xml:space="preserve">W1: </w:t>
            </w:r>
            <w:r w:rsidR="00A16DDB" w:rsidRPr="00082AE3">
              <w:rPr>
                <w:sz w:val="22"/>
                <w:szCs w:val="22"/>
              </w:rPr>
              <w:t>Nízký zájem zpracovatelů o tuzemské semeno lnu olejného z důvodů nízkých cen dovážených semen ze zemí mimo EU (Kazachstán, Polsko, Rusko), odbyt závislý na ceně</w:t>
            </w:r>
          </w:p>
          <w:p w14:paraId="371AB01D" w14:textId="2F823366" w:rsidR="00A16DDB" w:rsidRPr="00082AE3" w:rsidRDefault="00467D08" w:rsidP="00082AE3">
            <w:pPr>
              <w:pStyle w:val="UZEIOdrky"/>
              <w:ind w:left="342" w:hanging="283"/>
              <w:rPr>
                <w:sz w:val="22"/>
                <w:szCs w:val="22"/>
              </w:rPr>
            </w:pPr>
            <w:r>
              <w:rPr>
                <w:sz w:val="22"/>
                <w:szCs w:val="22"/>
              </w:rPr>
              <w:t xml:space="preserve">W2: </w:t>
            </w:r>
            <w:r w:rsidR="00A16DDB" w:rsidRPr="00082AE3">
              <w:rPr>
                <w:sz w:val="22"/>
                <w:szCs w:val="22"/>
              </w:rPr>
              <w:t>Snížení ploch lnu přadného v důsledku omezení podpory pro pěstitele v 90. letech a po následném zhroucení trhu textilního průmyslu v EU v důsledku dovozu levných textilních výrobků z jihovýchodní Asie po roce 2000.</w:t>
            </w:r>
          </w:p>
          <w:p w14:paraId="15E3254D" w14:textId="19BD20CC" w:rsidR="00A16DDB" w:rsidRPr="00082AE3" w:rsidRDefault="00467D08" w:rsidP="00082AE3">
            <w:pPr>
              <w:pStyle w:val="UZEIOdrky"/>
              <w:ind w:left="342" w:hanging="283"/>
              <w:rPr>
                <w:sz w:val="22"/>
                <w:szCs w:val="22"/>
              </w:rPr>
            </w:pPr>
            <w:r>
              <w:rPr>
                <w:sz w:val="22"/>
                <w:szCs w:val="22"/>
              </w:rPr>
              <w:t xml:space="preserve">W3: </w:t>
            </w:r>
            <w:r w:rsidR="00A16DDB" w:rsidRPr="00082AE3">
              <w:rPr>
                <w:sz w:val="22"/>
                <w:szCs w:val="22"/>
              </w:rPr>
              <w:t xml:space="preserve">Nízká výměra pěstební plochy </w:t>
            </w:r>
          </w:p>
          <w:p w14:paraId="461AA981" w14:textId="2586BA19" w:rsidR="00A16DDB" w:rsidRPr="00082AE3" w:rsidRDefault="00467D08" w:rsidP="00082AE3">
            <w:pPr>
              <w:pStyle w:val="UZEIOdrky"/>
              <w:ind w:left="342" w:hanging="283"/>
              <w:rPr>
                <w:sz w:val="22"/>
                <w:szCs w:val="22"/>
              </w:rPr>
            </w:pPr>
            <w:r>
              <w:rPr>
                <w:sz w:val="22"/>
                <w:szCs w:val="22"/>
              </w:rPr>
              <w:t xml:space="preserve">W4: </w:t>
            </w:r>
            <w:r w:rsidR="00A16DDB" w:rsidRPr="00082AE3">
              <w:rPr>
                <w:sz w:val="22"/>
                <w:szCs w:val="22"/>
              </w:rPr>
              <w:t>Levné dovozy textilních výrobků a semen lnu olejného</w:t>
            </w:r>
          </w:p>
          <w:p w14:paraId="07E58BFD" w14:textId="27AB5C55" w:rsidR="00A16DDB" w:rsidRPr="00082AE3" w:rsidRDefault="00467D08" w:rsidP="00082AE3">
            <w:pPr>
              <w:pStyle w:val="UZEIOdrky"/>
              <w:ind w:left="342" w:hanging="283"/>
              <w:rPr>
                <w:sz w:val="22"/>
                <w:szCs w:val="22"/>
              </w:rPr>
            </w:pPr>
            <w:r>
              <w:rPr>
                <w:sz w:val="22"/>
                <w:szCs w:val="22"/>
              </w:rPr>
              <w:t xml:space="preserve">W5: </w:t>
            </w:r>
            <w:r w:rsidR="00A16DDB" w:rsidRPr="00082AE3">
              <w:rPr>
                <w:sz w:val="22"/>
                <w:szCs w:val="22"/>
              </w:rPr>
              <w:t>Závislost na dovozu lněných vláken a výrobků</w:t>
            </w:r>
          </w:p>
          <w:p w14:paraId="0C381F63" w14:textId="6364CFDD" w:rsidR="00A16DDB" w:rsidRPr="00082AE3" w:rsidRDefault="00467D08" w:rsidP="00082AE3">
            <w:pPr>
              <w:pStyle w:val="UZEIOdrky"/>
              <w:ind w:left="342" w:hanging="283"/>
              <w:rPr>
                <w:sz w:val="22"/>
                <w:szCs w:val="22"/>
              </w:rPr>
            </w:pPr>
            <w:r>
              <w:rPr>
                <w:sz w:val="22"/>
                <w:szCs w:val="22"/>
              </w:rPr>
              <w:t xml:space="preserve">W6: </w:t>
            </w:r>
            <w:r w:rsidR="00A16DDB" w:rsidRPr="00082AE3">
              <w:rPr>
                <w:sz w:val="22"/>
                <w:szCs w:val="22"/>
              </w:rPr>
              <w:t xml:space="preserve">Chybí zpracovatelské kapacity pro len přadný-tírenské kapacity zanikly </w:t>
            </w:r>
          </w:p>
          <w:p w14:paraId="6018CE76" w14:textId="403C982B" w:rsidR="00A16DDB" w:rsidRPr="00082AE3" w:rsidRDefault="00467D08" w:rsidP="00082AE3">
            <w:pPr>
              <w:pStyle w:val="UZEIOdrky"/>
              <w:ind w:left="342" w:hanging="283"/>
              <w:rPr>
                <w:sz w:val="22"/>
                <w:szCs w:val="22"/>
              </w:rPr>
            </w:pPr>
            <w:r>
              <w:rPr>
                <w:sz w:val="22"/>
                <w:szCs w:val="22"/>
              </w:rPr>
              <w:t xml:space="preserve">W7: </w:t>
            </w:r>
            <w:r w:rsidR="00A16DDB" w:rsidRPr="00082AE3">
              <w:rPr>
                <w:sz w:val="22"/>
                <w:szCs w:val="22"/>
              </w:rPr>
              <w:t>Chybí zpracovatelské kapacity pro zpracování stonku olejného lnu k získání vlákna</w:t>
            </w:r>
          </w:p>
          <w:p w14:paraId="32B5793B" w14:textId="2D2D00A1" w:rsidR="00A16DDB" w:rsidRPr="00082AE3" w:rsidRDefault="00467D08" w:rsidP="00082AE3">
            <w:pPr>
              <w:pStyle w:val="UZEIOdrky"/>
              <w:ind w:left="342" w:hanging="283"/>
              <w:rPr>
                <w:sz w:val="22"/>
                <w:szCs w:val="22"/>
              </w:rPr>
            </w:pPr>
            <w:r>
              <w:rPr>
                <w:sz w:val="22"/>
                <w:szCs w:val="22"/>
              </w:rPr>
              <w:t xml:space="preserve">W8: </w:t>
            </w:r>
            <w:r w:rsidR="00A16DDB" w:rsidRPr="00082AE3">
              <w:rPr>
                <w:sz w:val="22"/>
                <w:szCs w:val="22"/>
              </w:rPr>
              <w:t>Nedostatek kvalifikované pracovní síly v zemědělství</w:t>
            </w:r>
          </w:p>
          <w:p w14:paraId="3C90F748" w14:textId="4CD6F4A9" w:rsidR="00A16DDB" w:rsidRPr="00082AE3" w:rsidRDefault="00467D08" w:rsidP="002777C5">
            <w:pPr>
              <w:pStyle w:val="UZEIOdrky"/>
              <w:ind w:left="342" w:hanging="283"/>
              <w:rPr>
                <w:sz w:val="22"/>
                <w:szCs w:val="22"/>
              </w:rPr>
            </w:pPr>
            <w:r>
              <w:rPr>
                <w:sz w:val="22"/>
                <w:szCs w:val="22"/>
              </w:rPr>
              <w:t xml:space="preserve">W9: </w:t>
            </w:r>
            <w:r w:rsidR="00A16DDB" w:rsidRPr="00082AE3">
              <w:rPr>
                <w:sz w:val="22"/>
                <w:szCs w:val="22"/>
              </w:rPr>
              <w:t>Omezování desikace může komplikovat průběh sklizně osiv</w:t>
            </w:r>
          </w:p>
        </w:tc>
      </w:tr>
      <w:tr w:rsidR="00A16DDB" w:rsidRPr="00D95127" w14:paraId="24D8C367" w14:textId="77777777" w:rsidTr="00082AE3">
        <w:trPr>
          <w:gridAfter w:val="1"/>
          <w:wAfter w:w="30" w:type="dxa"/>
        </w:trPr>
        <w:tc>
          <w:tcPr>
            <w:tcW w:w="467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0E23F6" w14:textId="77777777" w:rsidR="00A16DDB" w:rsidRPr="00082AE3" w:rsidRDefault="00A16DDB" w:rsidP="00467D08">
            <w:pPr>
              <w:pStyle w:val="UZEINormaln"/>
              <w:jc w:val="center"/>
              <w:rPr>
                <w:b/>
                <w:sz w:val="22"/>
                <w:szCs w:val="22"/>
              </w:rPr>
            </w:pPr>
            <w:r w:rsidRPr="00082AE3">
              <w:rPr>
                <w:b/>
                <w:sz w:val="22"/>
                <w:szCs w:val="22"/>
              </w:rPr>
              <w:t>Příležitosti</w:t>
            </w:r>
          </w:p>
        </w:tc>
        <w:tc>
          <w:tcPr>
            <w:tcW w:w="4847" w:type="dxa"/>
            <w:tcBorders>
              <w:top w:val="nil"/>
              <w:left w:val="nil"/>
              <w:bottom w:val="single" w:sz="8" w:space="0" w:color="auto"/>
              <w:right w:val="single" w:sz="8" w:space="0" w:color="auto"/>
            </w:tcBorders>
            <w:tcMar>
              <w:top w:w="0" w:type="dxa"/>
              <w:left w:w="108" w:type="dxa"/>
              <w:bottom w:w="0" w:type="dxa"/>
              <w:right w:w="108" w:type="dxa"/>
            </w:tcMar>
            <w:hideMark/>
          </w:tcPr>
          <w:p w14:paraId="60867D57" w14:textId="77777777" w:rsidR="00A16DDB" w:rsidRPr="00082AE3" w:rsidRDefault="00A16DDB" w:rsidP="00467D08">
            <w:pPr>
              <w:pStyle w:val="UZEINormaln"/>
              <w:jc w:val="center"/>
              <w:rPr>
                <w:b/>
                <w:sz w:val="22"/>
                <w:szCs w:val="22"/>
              </w:rPr>
            </w:pPr>
            <w:r w:rsidRPr="00082AE3">
              <w:rPr>
                <w:b/>
                <w:sz w:val="22"/>
                <w:szCs w:val="22"/>
              </w:rPr>
              <w:t>Hrozby</w:t>
            </w:r>
          </w:p>
        </w:tc>
        <w:tc>
          <w:tcPr>
            <w:tcW w:w="144" w:type="dxa"/>
            <w:gridSpan w:val="3"/>
            <w:vAlign w:val="center"/>
            <w:hideMark/>
          </w:tcPr>
          <w:p w14:paraId="22835ECE" w14:textId="77777777" w:rsidR="00A16DDB" w:rsidRPr="00082AE3" w:rsidRDefault="00A16DDB" w:rsidP="00082AE3">
            <w:pPr>
              <w:pStyle w:val="UZEINormaln"/>
              <w:rPr>
                <w:sz w:val="22"/>
                <w:szCs w:val="22"/>
              </w:rPr>
            </w:pPr>
            <w:r w:rsidRPr="00082AE3">
              <w:rPr>
                <w:sz w:val="22"/>
                <w:szCs w:val="22"/>
              </w:rPr>
              <w:t> </w:t>
            </w:r>
          </w:p>
        </w:tc>
      </w:tr>
      <w:tr w:rsidR="00A16DDB" w:rsidRPr="00D95127" w14:paraId="10BA59D6" w14:textId="77777777" w:rsidTr="00082AE3">
        <w:trPr>
          <w:trHeight w:val="3794"/>
        </w:trPr>
        <w:tc>
          <w:tcPr>
            <w:tcW w:w="467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CD1399" w14:textId="58AFEDF1" w:rsidR="00A16DDB" w:rsidRPr="00082AE3" w:rsidRDefault="00467D08" w:rsidP="00082AE3">
            <w:pPr>
              <w:pStyle w:val="UZEIOdrky"/>
              <w:ind w:left="342" w:hanging="283"/>
              <w:rPr>
                <w:sz w:val="22"/>
                <w:szCs w:val="22"/>
              </w:rPr>
            </w:pPr>
            <w:r>
              <w:rPr>
                <w:sz w:val="22"/>
                <w:szCs w:val="22"/>
              </w:rPr>
              <w:t>O1:</w:t>
            </w:r>
            <w:r w:rsidR="00A16DDB" w:rsidRPr="00082AE3">
              <w:rPr>
                <w:sz w:val="22"/>
                <w:szCs w:val="22"/>
              </w:rPr>
              <w:t>Možné navýšení poptávky po tuzemské surovině vlákna, pazdeří a semen lnu z důvodu očekávanému trendu ve využití přírodních surovin – pro speciální manufakturní výrobu textilních vláken, technické využití ve stavebnictví-vlákno k výrobě izolací, chemickém průmyslu (barvy), v automobilovém průmyslu (náhrady plastů), komposity, v zemědělství (krmivářství), pazdeří pro podestýlku aj.)</w:t>
            </w:r>
          </w:p>
          <w:p w14:paraId="18758B82" w14:textId="301BBEEB" w:rsidR="00A16DDB" w:rsidRPr="00082AE3" w:rsidRDefault="00467D08" w:rsidP="00082AE3">
            <w:pPr>
              <w:pStyle w:val="UZEIOdrky"/>
              <w:ind w:left="342" w:hanging="283"/>
              <w:rPr>
                <w:sz w:val="22"/>
                <w:szCs w:val="22"/>
              </w:rPr>
            </w:pPr>
            <w:r>
              <w:rPr>
                <w:sz w:val="22"/>
                <w:szCs w:val="22"/>
              </w:rPr>
              <w:t xml:space="preserve">O2: </w:t>
            </w:r>
            <w:r w:rsidR="00A16DDB" w:rsidRPr="00082AE3">
              <w:rPr>
                <w:sz w:val="22"/>
                <w:szCs w:val="22"/>
              </w:rPr>
              <w:t>Využití v oblasti zdravé výživy a farmacii (lněný olej, lněné semeno)</w:t>
            </w:r>
          </w:p>
          <w:p w14:paraId="6E677A9F" w14:textId="0015D2AF" w:rsidR="00A16DDB" w:rsidRPr="00082AE3" w:rsidRDefault="00467D08" w:rsidP="002777C5">
            <w:pPr>
              <w:pStyle w:val="UZEIOdrky"/>
              <w:ind w:left="342" w:hanging="283"/>
              <w:rPr>
                <w:sz w:val="22"/>
                <w:szCs w:val="22"/>
              </w:rPr>
            </w:pPr>
            <w:r>
              <w:rPr>
                <w:sz w:val="22"/>
                <w:szCs w:val="22"/>
              </w:rPr>
              <w:t xml:space="preserve">O3: </w:t>
            </w:r>
            <w:r w:rsidR="00A16DDB" w:rsidRPr="00082AE3">
              <w:rPr>
                <w:sz w:val="22"/>
                <w:szCs w:val="22"/>
              </w:rPr>
              <w:t>uplatnění přísnějších opatření politiky ve vztahu k Ž</w:t>
            </w:r>
            <w:r w:rsidR="00A16DDB">
              <w:rPr>
                <w:sz w:val="22"/>
                <w:szCs w:val="22"/>
              </w:rPr>
              <w:t>P</w:t>
            </w:r>
          </w:p>
        </w:tc>
        <w:tc>
          <w:tcPr>
            <w:tcW w:w="4847" w:type="dxa"/>
            <w:tcBorders>
              <w:top w:val="nil"/>
              <w:left w:val="nil"/>
              <w:bottom w:val="single" w:sz="8" w:space="0" w:color="auto"/>
              <w:right w:val="single" w:sz="8" w:space="0" w:color="auto"/>
            </w:tcBorders>
            <w:tcMar>
              <w:top w:w="0" w:type="dxa"/>
              <w:left w:w="108" w:type="dxa"/>
              <w:bottom w:w="0" w:type="dxa"/>
              <w:right w:w="108" w:type="dxa"/>
            </w:tcMar>
          </w:tcPr>
          <w:p w14:paraId="12D8054C" w14:textId="2113AC39" w:rsidR="00A16DDB" w:rsidRPr="00082AE3" w:rsidRDefault="00467D08" w:rsidP="00082AE3">
            <w:pPr>
              <w:pStyle w:val="UZEIOdrky"/>
              <w:ind w:left="342" w:hanging="283"/>
              <w:rPr>
                <w:sz w:val="22"/>
                <w:szCs w:val="22"/>
              </w:rPr>
            </w:pPr>
            <w:r>
              <w:rPr>
                <w:sz w:val="22"/>
                <w:szCs w:val="22"/>
              </w:rPr>
              <w:t xml:space="preserve">T1: </w:t>
            </w:r>
            <w:r w:rsidR="00A16DDB" w:rsidRPr="00082AE3">
              <w:rPr>
                <w:sz w:val="22"/>
                <w:szCs w:val="22"/>
              </w:rPr>
              <w:t>Přetrvávání konkurence v dovozu textilních výrobků i olejných semen ze zahraničí za nižší ceny</w:t>
            </w:r>
          </w:p>
          <w:p w14:paraId="044FFEDE" w14:textId="40F70CE6" w:rsidR="00A16DDB" w:rsidRPr="00082AE3" w:rsidRDefault="00467D08" w:rsidP="00082AE3">
            <w:pPr>
              <w:pStyle w:val="UZEIOdrky"/>
              <w:ind w:left="342" w:hanging="283"/>
              <w:rPr>
                <w:sz w:val="22"/>
                <w:szCs w:val="22"/>
              </w:rPr>
            </w:pPr>
            <w:r>
              <w:rPr>
                <w:sz w:val="22"/>
                <w:szCs w:val="22"/>
              </w:rPr>
              <w:t xml:space="preserve">T2: </w:t>
            </w:r>
            <w:r w:rsidR="00A16DDB" w:rsidRPr="00082AE3">
              <w:rPr>
                <w:sz w:val="22"/>
                <w:szCs w:val="22"/>
              </w:rPr>
              <w:t>Zhoršení příjmové situace spotřebitelů a snížení ochoty nákupu přírodních produktů z důvodu vyšších cen</w:t>
            </w:r>
          </w:p>
          <w:p w14:paraId="40F1C2E9" w14:textId="7A27248C" w:rsidR="00A16DDB" w:rsidRPr="003C5728" w:rsidRDefault="00467D08" w:rsidP="003C5728">
            <w:pPr>
              <w:pStyle w:val="UZEIOdrky"/>
              <w:ind w:left="342" w:hanging="283"/>
              <w:rPr>
                <w:sz w:val="22"/>
                <w:szCs w:val="22"/>
              </w:rPr>
            </w:pPr>
            <w:r>
              <w:rPr>
                <w:sz w:val="22"/>
                <w:szCs w:val="22"/>
              </w:rPr>
              <w:t xml:space="preserve">T3: </w:t>
            </w:r>
            <w:r w:rsidR="00A16DDB" w:rsidRPr="00082AE3">
              <w:rPr>
                <w:sz w:val="22"/>
                <w:szCs w:val="22"/>
              </w:rPr>
              <w:t>Vysoká investiční náročnost případné obnovy zpracování lnu přadného v ČR (tírny)</w:t>
            </w:r>
            <w:r w:rsidR="003C5728">
              <w:rPr>
                <w:sz w:val="22"/>
                <w:szCs w:val="22"/>
              </w:rPr>
              <w:t xml:space="preserve"> a</w:t>
            </w:r>
            <w:r w:rsidR="003C5728" w:rsidRPr="003C5728">
              <w:rPr>
                <w:sz w:val="22"/>
                <w:szCs w:val="22"/>
              </w:rPr>
              <w:t xml:space="preserve"> </w:t>
            </w:r>
            <w:r w:rsidR="00A16DDB" w:rsidRPr="003C5728">
              <w:rPr>
                <w:sz w:val="22"/>
                <w:szCs w:val="22"/>
              </w:rPr>
              <w:t xml:space="preserve"> technologie pro zpracování stonku olejného lnu</w:t>
            </w:r>
          </w:p>
          <w:p w14:paraId="15CF31AC" w14:textId="24F5539B" w:rsidR="00A16DDB" w:rsidRPr="00082AE3" w:rsidRDefault="003C5728" w:rsidP="00082AE3">
            <w:pPr>
              <w:pStyle w:val="UZEIOdrky"/>
              <w:ind w:left="342" w:hanging="283"/>
              <w:rPr>
                <w:sz w:val="22"/>
                <w:szCs w:val="22"/>
              </w:rPr>
            </w:pPr>
            <w:r>
              <w:rPr>
                <w:sz w:val="22"/>
                <w:szCs w:val="22"/>
              </w:rPr>
              <w:t xml:space="preserve">T4: </w:t>
            </w:r>
            <w:r w:rsidR="00A16DDB" w:rsidRPr="00082AE3">
              <w:rPr>
                <w:sz w:val="22"/>
                <w:szCs w:val="22"/>
              </w:rPr>
              <w:t>Rostoucí ceny práce, půdy, energií a dalších vstupů</w:t>
            </w:r>
          </w:p>
          <w:p w14:paraId="58296CEE" w14:textId="77777777" w:rsidR="00A16DDB" w:rsidRPr="00082AE3" w:rsidRDefault="00A16DDB" w:rsidP="00082AE3">
            <w:pPr>
              <w:pStyle w:val="UZEIOdrky"/>
              <w:numPr>
                <w:ilvl w:val="0"/>
                <w:numId w:val="0"/>
              </w:numPr>
              <w:ind w:left="59"/>
              <w:rPr>
                <w:sz w:val="22"/>
                <w:szCs w:val="22"/>
              </w:rPr>
            </w:pPr>
          </w:p>
        </w:tc>
        <w:tc>
          <w:tcPr>
            <w:tcW w:w="174" w:type="dxa"/>
            <w:gridSpan w:val="4"/>
            <w:vAlign w:val="center"/>
            <w:hideMark/>
          </w:tcPr>
          <w:p w14:paraId="4844C159" w14:textId="77777777" w:rsidR="00A16DDB" w:rsidRPr="00082AE3" w:rsidRDefault="00A16DDB" w:rsidP="00082AE3">
            <w:pPr>
              <w:pStyle w:val="UZEINormaln"/>
              <w:rPr>
                <w:sz w:val="22"/>
                <w:szCs w:val="22"/>
              </w:rPr>
            </w:pPr>
            <w:r w:rsidRPr="00082AE3">
              <w:rPr>
                <w:sz w:val="22"/>
                <w:szCs w:val="22"/>
              </w:rPr>
              <w:t> </w:t>
            </w:r>
          </w:p>
        </w:tc>
      </w:tr>
    </w:tbl>
    <w:p w14:paraId="58152CCD" w14:textId="77777777" w:rsidR="00A16DDB" w:rsidRPr="00D95127" w:rsidRDefault="00A16DDB" w:rsidP="00A16DDB">
      <w:pPr>
        <w:rPr>
          <w:rFonts w:cs="Times New Roman"/>
          <w:b/>
          <w:szCs w:val="24"/>
          <w:lang w:val="cs-CZ"/>
        </w:rPr>
      </w:pPr>
    </w:p>
    <w:p w14:paraId="3F6487F1" w14:textId="77777777" w:rsidR="00A16DDB" w:rsidRPr="00D95127" w:rsidRDefault="00A16DDB" w:rsidP="00A16DDB">
      <w:pPr>
        <w:rPr>
          <w:rStyle w:val="Odkazintenzivn"/>
          <w:rFonts w:cs="Times New Roman"/>
          <w:lang w:val="cs-CZ"/>
        </w:rPr>
      </w:pPr>
    </w:p>
    <w:p w14:paraId="75D09368" w14:textId="77777777" w:rsidR="00082AE3" w:rsidRDefault="00082AE3">
      <w:pPr>
        <w:spacing w:after="160" w:line="259" w:lineRule="auto"/>
        <w:jc w:val="left"/>
        <w:rPr>
          <w:rStyle w:val="Odkazintenzivn"/>
          <w:rFonts w:eastAsia="Times New Roman" w:cs="Times New Roman"/>
          <w:color w:val="auto"/>
          <w:szCs w:val="24"/>
          <w:lang w:val="cs-CZ" w:eastAsia="cs-CZ"/>
        </w:rPr>
      </w:pPr>
      <w:r>
        <w:rPr>
          <w:rStyle w:val="Odkazintenzivn"/>
          <w:rFonts w:cs="Times New Roman"/>
          <w:color w:val="auto"/>
        </w:rPr>
        <w:br w:type="page"/>
      </w:r>
    </w:p>
    <w:p w14:paraId="0EC00FBB" w14:textId="5E68CEC0" w:rsidR="00A16DDB" w:rsidRPr="003C5728" w:rsidRDefault="00A16DDB" w:rsidP="00082AE3">
      <w:pPr>
        <w:pStyle w:val="UZEINormaln"/>
        <w:rPr>
          <w:rStyle w:val="Odkazintenzivn"/>
          <w:rFonts w:cs="Times New Roman"/>
          <w:caps/>
        </w:rPr>
      </w:pPr>
      <w:r w:rsidRPr="003C5728">
        <w:rPr>
          <w:rStyle w:val="Odkazintenzivn"/>
          <w:rFonts w:cs="Times New Roman"/>
          <w:caps/>
          <w:smallCaps w:val="0"/>
          <w:color w:val="auto"/>
        </w:rPr>
        <w:t>Konopí</w:t>
      </w:r>
    </w:p>
    <w:tbl>
      <w:tblPr>
        <w:tblW w:w="9380" w:type="dxa"/>
        <w:tblInd w:w="108" w:type="dxa"/>
        <w:tblCellMar>
          <w:left w:w="0" w:type="dxa"/>
          <w:right w:w="0" w:type="dxa"/>
        </w:tblCellMar>
        <w:tblLook w:val="04A0" w:firstRow="1" w:lastRow="0" w:firstColumn="1" w:lastColumn="0" w:noHBand="0" w:noVBand="1"/>
      </w:tblPr>
      <w:tblGrid>
        <w:gridCol w:w="4849"/>
        <w:gridCol w:w="4531"/>
      </w:tblGrid>
      <w:tr w:rsidR="00A16DDB" w:rsidRPr="00D95127" w14:paraId="15472BB9" w14:textId="77777777" w:rsidTr="007A627A">
        <w:tc>
          <w:tcPr>
            <w:tcW w:w="48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92830FA" w14:textId="77777777" w:rsidR="00A16DDB" w:rsidRPr="00082AE3" w:rsidRDefault="00A16DDB" w:rsidP="003C5728">
            <w:pPr>
              <w:pStyle w:val="UZEINormaln"/>
              <w:jc w:val="center"/>
              <w:rPr>
                <w:b/>
                <w:sz w:val="22"/>
                <w:szCs w:val="22"/>
              </w:rPr>
            </w:pPr>
            <w:r w:rsidRPr="00082AE3">
              <w:rPr>
                <w:b/>
                <w:sz w:val="22"/>
                <w:szCs w:val="22"/>
              </w:rPr>
              <w:t>Silné stránky</w:t>
            </w:r>
          </w:p>
        </w:tc>
        <w:tc>
          <w:tcPr>
            <w:tcW w:w="453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5EBE1EE" w14:textId="0DD4C707" w:rsidR="00A16DDB" w:rsidRPr="00082AE3" w:rsidRDefault="00A16DDB" w:rsidP="003C5728">
            <w:pPr>
              <w:pStyle w:val="UZEINormaln"/>
              <w:jc w:val="center"/>
              <w:rPr>
                <w:b/>
                <w:sz w:val="22"/>
                <w:szCs w:val="22"/>
              </w:rPr>
            </w:pPr>
            <w:r w:rsidRPr="00082AE3">
              <w:rPr>
                <w:b/>
                <w:sz w:val="22"/>
                <w:szCs w:val="22"/>
              </w:rPr>
              <w:t>Slabé stránky</w:t>
            </w:r>
          </w:p>
        </w:tc>
      </w:tr>
      <w:tr w:rsidR="00A16DDB" w:rsidRPr="00D95127" w14:paraId="0D364814" w14:textId="77777777" w:rsidTr="007A627A">
        <w:tc>
          <w:tcPr>
            <w:tcW w:w="484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6651DE3" w14:textId="4AC12526" w:rsidR="00A16DDB" w:rsidRPr="00082AE3" w:rsidRDefault="003C5728" w:rsidP="00082AE3">
            <w:pPr>
              <w:pStyle w:val="UZEIOdrky"/>
              <w:ind w:left="342" w:hanging="283"/>
              <w:rPr>
                <w:sz w:val="22"/>
                <w:szCs w:val="22"/>
              </w:rPr>
            </w:pPr>
            <w:r>
              <w:rPr>
                <w:sz w:val="22"/>
                <w:szCs w:val="22"/>
              </w:rPr>
              <w:t xml:space="preserve">S1: </w:t>
            </w:r>
            <w:r w:rsidR="00A16DDB" w:rsidRPr="00082AE3">
              <w:rPr>
                <w:sz w:val="22"/>
                <w:szCs w:val="22"/>
              </w:rPr>
              <w:t>Dobré podmínky pro pěstování</w:t>
            </w:r>
          </w:p>
          <w:p w14:paraId="50388AD2" w14:textId="702578E7" w:rsidR="00A16DDB" w:rsidRPr="00082AE3" w:rsidRDefault="003C5728" w:rsidP="00082AE3">
            <w:pPr>
              <w:pStyle w:val="UZEIOdrky"/>
              <w:ind w:left="342" w:hanging="283"/>
              <w:rPr>
                <w:sz w:val="22"/>
                <w:szCs w:val="22"/>
              </w:rPr>
            </w:pPr>
            <w:r>
              <w:rPr>
                <w:sz w:val="22"/>
                <w:szCs w:val="22"/>
              </w:rPr>
              <w:t xml:space="preserve">S2: </w:t>
            </w:r>
            <w:r w:rsidR="00A16DDB" w:rsidRPr="00082AE3">
              <w:rPr>
                <w:sz w:val="22"/>
                <w:szCs w:val="22"/>
              </w:rPr>
              <w:t>Příznivá plodina k ŽP – minimální potřeba aplikace POR</w:t>
            </w:r>
          </w:p>
          <w:p w14:paraId="24326FB6" w14:textId="23731FEF" w:rsidR="00A16DDB" w:rsidRPr="00082AE3" w:rsidRDefault="003C5728" w:rsidP="00082AE3">
            <w:pPr>
              <w:pStyle w:val="UZEIOdrky"/>
              <w:ind w:left="342" w:hanging="283"/>
              <w:rPr>
                <w:sz w:val="22"/>
                <w:szCs w:val="22"/>
              </w:rPr>
            </w:pPr>
            <w:r>
              <w:rPr>
                <w:sz w:val="22"/>
                <w:szCs w:val="22"/>
              </w:rPr>
              <w:t xml:space="preserve">S3: </w:t>
            </w:r>
            <w:r w:rsidR="00A16DDB" w:rsidRPr="00082AE3">
              <w:rPr>
                <w:sz w:val="22"/>
                <w:szCs w:val="22"/>
              </w:rPr>
              <w:t>Přerušovač monokulturního pěstování polních plodin a zachovává určitou diverzitu plodin na orné půdě</w:t>
            </w:r>
          </w:p>
        </w:tc>
        <w:tc>
          <w:tcPr>
            <w:tcW w:w="4531" w:type="dxa"/>
            <w:tcBorders>
              <w:top w:val="nil"/>
              <w:left w:val="nil"/>
              <w:bottom w:val="single" w:sz="8" w:space="0" w:color="auto"/>
              <w:right w:val="single" w:sz="8" w:space="0" w:color="auto"/>
            </w:tcBorders>
            <w:tcMar>
              <w:top w:w="0" w:type="dxa"/>
              <w:left w:w="108" w:type="dxa"/>
              <w:bottom w:w="0" w:type="dxa"/>
              <w:right w:w="108" w:type="dxa"/>
            </w:tcMar>
            <w:hideMark/>
          </w:tcPr>
          <w:p w14:paraId="3DF44F4A" w14:textId="10A8B7EC" w:rsidR="00A16DDB" w:rsidRPr="00082AE3" w:rsidRDefault="003C5728" w:rsidP="00082AE3">
            <w:pPr>
              <w:pStyle w:val="UZEIOdrky"/>
              <w:ind w:left="342" w:hanging="283"/>
              <w:rPr>
                <w:sz w:val="22"/>
                <w:szCs w:val="22"/>
              </w:rPr>
            </w:pPr>
            <w:r>
              <w:rPr>
                <w:sz w:val="22"/>
                <w:szCs w:val="22"/>
              </w:rPr>
              <w:t xml:space="preserve">W1: </w:t>
            </w:r>
            <w:r w:rsidR="00A16DDB" w:rsidRPr="00082AE3">
              <w:rPr>
                <w:sz w:val="22"/>
                <w:szCs w:val="22"/>
              </w:rPr>
              <w:t>Nízká výměra pěstební plochy</w:t>
            </w:r>
          </w:p>
          <w:p w14:paraId="6092B03C" w14:textId="232C9A22" w:rsidR="00A16DDB" w:rsidRPr="00082AE3" w:rsidRDefault="003C5728" w:rsidP="00082AE3">
            <w:pPr>
              <w:pStyle w:val="UZEIOdrky"/>
              <w:ind w:left="342" w:hanging="283"/>
              <w:rPr>
                <w:sz w:val="22"/>
                <w:szCs w:val="22"/>
              </w:rPr>
            </w:pPr>
            <w:r>
              <w:rPr>
                <w:sz w:val="22"/>
                <w:szCs w:val="22"/>
              </w:rPr>
              <w:t xml:space="preserve">W2: </w:t>
            </w:r>
            <w:r w:rsidR="00A16DDB" w:rsidRPr="00082AE3">
              <w:rPr>
                <w:sz w:val="22"/>
                <w:szCs w:val="22"/>
              </w:rPr>
              <w:t>Sklizeň konopného stonku je závislá na speciální úpravě žacího aparátu sklízecích strojů</w:t>
            </w:r>
          </w:p>
          <w:p w14:paraId="767FCC47" w14:textId="29A53493" w:rsidR="00A16DDB" w:rsidRPr="00082AE3" w:rsidRDefault="003C5728" w:rsidP="00082AE3">
            <w:pPr>
              <w:pStyle w:val="UZEIOdrky"/>
              <w:ind w:left="342" w:hanging="283"/>
              <w:rPr>
                <w:sz w:val="22"/>
                <w:szCs w:val="22"/>
              </w:rPr>
            </w:pPr>
            <w:r>
              <w:rPr>
                <w:sz w:val="22"/>
                <w:szCs w:val="22"/>
              </w:rPr>
              <w:t xml:space="preserve">W3: </w:t>
            </w:r>
            <w:r w:rsidR="00A16DDB" w:rsidRPr="00082AE3">
              <w:rPr>
                <w:sz w:val="22"/>
                <w:szCs w:val="22"/>
              </w:rPr>
              <w:t>Neexistence zpracovatelských tírenských kapacit</w:t>
            </w:r>
          </w:p>
          <w:p w14:paraId="1FCCC1DF" w14:textId="59BCCDD9" w:rsidR="00A16DDB" w:rsidRPr="00082AE3" w:rsidRDefault="003C5728" w:rsidP="00082AE3">
            <w:pPr>
              <w:pStyle w:val="UZEIOdrky"/>
              <w:ind w:left="342" w:hanging="283"/>
              <w:rPr>
                <w:sz w:val="22"/>
                <w:szCs w:val="22"/>
              </w:rPr>
            </w:pPr>
            <w:r>
              <w:rPr>
                <w:sz w:val="22"/>
                <w:szCs w:val="22"/>
              </w:rPr>
              <w:t>W4: D</w:t>
            </w:r>
            <w:r w:rsidR="00A16DDB" w:rsidRPr="00082AE3">
              <w:rPr>
                <w:sz w:val="22"/>
                <w:szCs w:val="22"/>
              </w:rPr>
              <w:t>ovoz konopných semen z Ukrajiny a Číny a tvoří dvojnásobek vývozu</w:t>
            </w:r>
          </w:p>
        </w:tc>
      </w:tr>
      <w:tr w:rsidR="00A16DDB" w:rsidRPr="00D95127" w14:paraId="04D1AF2F" w14:textId="77777777" w:rsidTr="007A627A">
        <w:tc>
          <w:tcPr>
            <w:tcW w:w="484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77E65A" w14:textId="77777777" w:rsidR="00A16DDB" w:rsidRPr="00082AE3" w:rsidRDefault="00A16DDB" w:rsidP="003C5728">
            <w:pPr>
              <w:pStyle w:val="UZEINormaln"/>
              <w:jc w:val="center"/>
              <w:rPr>
                <w:b/>
                <w:sz w:val="22"/>
                <w:szCs w:val="22"/>
              </w:rPr>
            </w:pPr>
            <w:r w:rsidRPr="00082AE3">
              <w:rPr>
                <w:b/>
                <w:sz w:val="22"/>
                <w:szCs w:val="22"/>
              </w:rPr>
              <w:t>Příležitosti</w:t>
            </w:r>
          </w:p>
        </w:tc>
        <w:tc>
          <w:tcPr>
            <w:tcW w:w="4531" w:type="dxa"/>
            <w:tcBorders>
              <w:top w:val="nil"/>
              <w:left w:val="nil"/>
              <w:bottom w:val="single" w:sz="8" w:space="0" w:color="auto"/>
              <w:right w:val="single" w:sz="8" w:space="0" w:color="auto"/>
            </w:tcBorders>
            <w:tcMar>
              <w:top w:w="0" w:type="dxa"/>
              <w:left w:w="108" w:type="dxa"/>
              <w:bottom w:w="0" w:type="dxa"/>
              <w:right w:w="108" w:type="dxa"/>
            </w:tcMar>
            <w:hideMark/>
          </w:tcPr>
          <w:p w14:paraId="70CD08A6" w14:textId="77777777" w:rsidR="00A16DDB" w:rsidRPr="00082AE3" w:rsidRDefault="00A16DDB" w:rsidP="003C5728">
            <w:pPr>
              <w:pStyle w:val="UZEINormaln"/>
              <w:jc w:val="center"/>
              <w:rPr>
                <w:b/>
                <w:sz w:val="22"/>
                <w:szCs w:val="22"/>
              </w:rPr>
            </w:pPr>
            <w:r w:rsidRPr="00082AE3">
              <w:rPr>
                <w:b/>
                <w:sz w:val="22"/>
                <w:szCs w:val="22"/>
              </w:rPr>
              <w:t>Hrozby</w:t>
            </w:r>
          </w:p>
        </w:tc>
      </w:tr>
      <w:tr w:rsidR="00A16DDB" w:rsidRPr="00D95127" w14:paraId="6F682E36" w14:textId="77777777" w:rsidTr="007A627A">
        <w:tc>
          <w:tcPr>
            <w:tcW w:w="484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3A60AF" w14:textId="1BB5B741" w:rsidR="00A16DDB" w:rsidRPr="00082AE3" w:rsidRDefault="003C5728" w:rsidP="00082AE3">
            <w:pPr>
              <w:pStyle w:val="UZEIOdrky"/>
              <w:ind w:left="342" w:hanging="283"/>
              <w:rPr>
                <w:sz w:val="22"/>
                <w:szCs w:val="22"/>
              </w:rPr>
            </w:pPr>
            <w:r>
              <w:rPr>
                <w:sz w:val="22"/>
                <w:szCs w:val="22"/>
              </w:rPr>
              <w:t xml:space="preserve">O1: </w:t>
            </w:r>
            <w:r w:rsidR="00A16DDB" w:rsidRPr="00082AE3">
              <w:rPr>
                <w:sz w:val="22"/>
                <w:szCs w:val="22"/>
              </w:rPr>
              <w:t>Mnohostranné využití v průmyslu (výroba papíru, izolační materiály, biokompozity aj.)</w:t>
            </w:r>
          </w:p>
          <w:p w14:paraId="099C05C6" w14:textId="4202DF71" w:rsidR="00A16DDB" w:rsidRPr="00082AE3" w:rsidRDefault="003C5728" w:rsidP="00082AE3">
            <w:pPr>
              <w:pStyle w:val="UZEIOdrky"/>
              <w:ind w:left="342" w:hanging="283"/>
              <w:rPr>
                <w:sz w:val="22"/>
                <w:szCs w:val="22"/>
              </w:rPr>
            </w:pPr>
            <w:r>
              <w:rPr>
                <w:sz w:val="22"/>
                <w:szCs w:val="22"/>
              </w:rPr>
              <w:t xml:space="preserve">O2: </w:t>
            </w:r>
            <w:r w:rsidR="00A16DDB" w:rsidRPr="00082AE3">
              <w:rPr>
                <w:sz w:val="22"/>
                <w:szCs w:val="22"/>
              </w:rPr>
              <w:t xml:space="preserve">Vysoká poptávka po konopném vláknu pro technické potřeby (buničina, geotextilie, šňůry a lana) </w:t>
            </w:r>
          </w:p>
          <w:p w14:paraId="41963B7F" w14:textId="37AEB487" w:rsidR="00A16DDB" w:rsidRPr="00082AE3" w:rsidRDefault="003C5728" w:rsidP="00082AE3">
            <w:pPr>
              <w:pStyle w:val="UZEIOdrky"/>
              <w:ind w:left="342" w:hanging="283"/>
              <w:rPr>
                <w:sz w:val="22"/>
                <w:szCs w:val="22"/>
              </w:rPr>
            </w:pPr>
            <w:r>
              <w:rPr>
                <w:sz w:val="22"/>
                <w:szCs w:val="22"/>
              </w:rPr>
              <w:t xml:space="preserve">O3: </w:t>
            </w:r>
            <w:r w:rsidR="00A16DDB" w:rsidRPr="00082AE3">
              <w:rPr>
                <w:sz w:val="22"/>
                <w:szCs w:val="22"/>
              </w:rPr>
              <w:t>Využití květenství konopí ve farmaceutickém průmyslu</w:t>
            </w:r>
          </w:p>
          <w:p w14:paraId="3B754450" w14:textId="5C57CA01" w:rsidR="00A16DDB" w:rsidRPr="00082AE3" w:rsidRDefault="003C5728" w:rsidP="00082AE3">
            <w:pPr>
              <w:pStyle w:val="UZEIOdrky"/>
              <w:ind w:left="342" w:hanging="283"/>
              <w:rPr>
                <w:sz w:val="22"/>
                <w:szCs w:val="22"/>
              </w:rPr>
            </w:pPr>
            <w:r>
              <w:rPr>
                <w:sz w:val="22"/>
                <w:szCs w:val="22"/>
              </w:rPr>
              <w:t xml:space="preserve">O4: </w:t>
            </w:r>
            <w:r w:rsidR="00A16DDB" w:rsidRPr="00082AE3">
              <w:rPr>
                <w:sz w:val="22"/>
                <w:szCs w:val="22"/>
              </w:rPr>
              <w:t>Nepokrytá poptávka po semeni konopí setého (zejména na výrobu oleje pro potravinářské i průmyslové využití)</w:t>
            </w:r>
          </w:p>
        </w:tc>
        <w:tc>
          <w:tcPr>
            <w:tcW w:w="4531" w:type="dxa"/>
            <w:tcBorders>
              <w:top w:val="nil"/>
              <w:left w:val="nil"/>
              <w:bottom w:val="single" w:sz="8" w:space="0" w:color="auto"/>
              <w:right w:val="single" w:sz="8" w:space="0" w:color="auto"/>
            </w:tcBorders>
            <w:tcMar>
              <w:top w:w="0" w:type="dxa"/>
              <w:left w:w="108" w:type="dxa"/>
              <w:bottom w:w="0" w:type="dxa"/>
              <w:right w:w="108" w:type="dxa"/>
            </w:tcMar>
            <w:hideMark/>
          </w:tcPr>
          <w:p w14:paraId="1CCA8E5A" w14:textId="435354AB" w:rsidR="00A16DDB" w:rsidRPr="00082AE3" w:rsidRDefault="003C5728" w:rsidP="00082AE3">
            <w:pPr>
              <w:pStyle w:val="UZEIOdrky"/>
              <w:ind w:left="342" w:hanging="283"/>
              <w:rPr>
                <w:sz w:val="22"/>
                <w:szCs w:val="22"/>
              </w:rPr>
            </w:pPr>
            <w:r>
              <w:rPr>
                <w:sz w:val="22"/>
                <w:szCs w:val="22"/>
              </w:rPr>
              <w:t xml:space="preserve">T1: </w:t>
            </w:r>
            <w:r w:rsidR="00A16DDB" w:rsidRPr="00082AE3">
              <w:rPr>
                <w:sz w:val="22"/>
                <w:szCs w:val="22"/>
              </w:rPr>
              <w:t>Vysoká investiční náročnost zpracování konopí v ČR a vybudování infrastruktury takového provozu</w:t>
            </w:r>
          </w:p>
          <w:p w14:paraId="21C3CBA5" w14:textId="2DBB9D50" w:rsidR="00A16DDB" w:rsidRPr="00082AE3" w:rsidRDefault="003C5728" w:rsidP="00082AE3">
            <w:pPr>
              <w:pStyle w:val="UZEIOdrky"/>
              <w:ind w:left="342" w:hanging="283"/>
              <w:rPr>
                <w:sz w:val="22"/>
                <w:szCs w:val="22"/>
              </w:rPr>
            </w:pPr>
            <w:r>
              <w:rPr>
                <w:sz w:val="22"/>
                <w:szCs w:val="22"/>
              </w:rPr>
              <w:t xml:space="preserve">T2: </w:t>
            </w:r>
            <w:r w:rsidR="00A16DDB" w:rsidRPr="00082AE3">
              <w:rPr>
                <w:sz w:val="22"/>
                <w:szCs w:val="22"/>
              </w:rPr>
              <w:t>Snížení poptávky po konopném vláknu (surovina pro tabákový papír) z důvodu možné klesající poptávky tabákového průmyslu jako reakce na požadavek společnosti</w:t>
            </w:r>
          </w:p>
        </w:tc>
      </w:tr>
    </w:tbl>
    <w:p w14:paraId="0AC1D371" w14:textId="77777777" w:rsidR="00A16DDB" w:rsidRPr="00D95127" w:rsidRDefault="00A16DDB" w:rsidP="00A16DDB">
      <w:pPr>
        <w:rPr>
          <w:rFonts w:cs="Times New Roman"/>
          <w:lang w:val="cs-CZ"/>
        </w:rPr>
      </w:pPr>
    </w:p>
    <w:p w14:paraId="48D95969" w14:textId="77777777" w:rsidR="00A16DDB" w:rsidRPr="00D95127" w:rsidRDefault="00A16DDB" w:rsidP="00A16DDB">
      <w:pPr>
        <w:rPr>
          <w:rStyle w:val="Odkazintenzivn"/>
          <w:rFonts w:cs="Times New Roman"/>
          <w:lang w:val="cs-CZ"/>
        </w:rPr>
      </w:pPr>
      <w:bookmarkStart w:id="773" w:name="_Toc76137431"/>
      <w:bookmarkStart w:id="774" w:name="_Toc76637630"/>
      <w:r w:rsidRPr="00D95127">
        <w:rPr>
          <w:rStyle w:val="Odkazintenzivn"/>
          <w:rFonts w:cs="Times New Roman"/>
          <w:lang w:val="cs-CZ"/>
        </w:rPr>
        <w:br w:type="page"/>
      </w:r>
    </w:p>
    <w:p w14:paraId="5547F64C" w14:textId="77777777" w:rsidR="00A16DDB" w:rsidRPr="003C5728" w:rsidRDefault="00A16DDB" w:rsidP="003C5728">
      <w:pPr>
        <w:pStyle w:val="UZEINadpis1stbezsla"/>
      </w:pPr>
      <w:bookmarkStart w:id="775" w:name="_Toc80953309"/>
      <w:bookmarkStart w:id="776" w:name="_Toc81739262"/>
      <w:r w:rsidRPr="003C5728">
        <w:t>TRÁVY A PÍCNINY NA SEMENO</w:t>
      </w:r>
      <w:bookmarkEnd w:id="775"/>
      <w:bookmarkEnd w:id="776"/>
    </w:p>
    <w:p w14:paraId="2D548E3A" w14:textId="7E1CB045" w:rsidR="00A16DDB" w:rsidRPr="00D95127" w:rsidRDefault="00A16DDB" w:rsidP="003C5728">
      <w:pPr>
        <w:pStyle w:val="UZEINormaln"/>
        <w:rPr>
          <w:rFonts w:cs="Times New Roman"/>
        </w:rPr>
      </w:pPr>
      <w:bookmarkStart w:id="777" w:name="_Hlk80952310"/>
      <w:r w:rsidRPr="00082AE3">
        <w:rPr>
          <w:rStyle w:val="UZEINormalnChar"/>
        </w:rPr>
        <w:t>Trávy pěstované na semeno jsou stále významnou součástí rostlinné produkce v ČR. Významně ovlivňují koloběh uhlíku v půdě a zlepšují půdní vlastnosti, především strukturu půdy. Travní porosty podporují biodiverzitu i zadržování vody v půdě. Jsou nepostradatelné jako zdroj objemných krmiv pro hospodářská zvířata. Půdy ohrožené erozí jsou pro pěstitele problémem. Jednou z cest je využití pícnin jako meziplodin díky jejich kořenovému systému a schopnosti snižovat půdní erozi zejména po širokořádkových plodinách (cukrová řepa, brambory či kukuřice). Svou schopností akumulace živin a zlepšení bilance organické hmoty jsou vhodnou předplodinou pro následně pěstované plodiny. Podmínky pro pěstování trávosemenných kultur v ČR jsou dobré, domácí odrůdy jsou srovnatelné se zahraničními a je o ně zájem. Je třeba k nim však přistupovat jako k jiným komoditám. Má-li být jejich pěstování rentabilní, je třeba se jim věnovat jako jiným komoditám (od včasného výsevu přes šetrnou sklizeň krycí plodiny, ošetření na podzim, hnojení, pesticidní ochranu i vhodný typ sklizně). Navíc svou víceletostí jsou schopné ušetřit náklady. Trávy lze využívat i k energetickým účelům (travní pelety). Ani při pěstování trav se nevyhýbají problémy. Pěstitelé narážejí na kolísavé ceny semen trav, nepříznivé vlivy počasí (deště, sucha), přemnožení škůdců. Náročné jsou technologie a specifické techniky pro jejich pěstování. Zkušenost vyžadují i posklizňová opatření, aby se zachovala klíčivost a celková kvalita produkce. Někdy bývá problém najít agronoma, který má dostatek zkušeností s pěstováním trav na semeno či pícnin</w:t>
      </w:r>
      <w:r w:rsidRPr="00D95127">
        <w:rPr>
          <w:rFonts w:cs="Times New Roman"/>
        </w:rPr>
        <w:t xml:space="preserve">.  </w:t>
      </w:r>
    </w:p>
    <w:p w14:paraId="1FE10124" w14:textId="77777777" w:rsidR="00A16DDB" w:rsidRPr="00D95127" w:rsidRDefault="00A16DDB" w:rsidP="00DE7D57">
      <w:pPr>
        <w:pStyle w:val="Nadpis1"/>
        <w:numPr>
          <w:ilvl w:val="0"/>
          <w:numId w:val="22"/>
        </w:numPr>
      </w:pPr>
      <w:bookmarkStart w:id="778" w:name="_Toc80953310"/>
      <w:bookmarkStart w:id="779" w:name="_Toc81739263"/>
      <w:r w:rsidRPr="00D95127">
        <w:t>Analýza stávajících/navrhovaných právních předpisů EK/ČR a pravděpodobné nastavení směrů a cílů SZP</w:t>
      </w:r>
      <w:bookmarkEnd w:id="778"/>
      <w:bookmarkEnd w:id="779"/>
    </w:p>
    <w:p w14:paraId="15F59327" w14:textId="77777777" w:rsidR="00A16DDB" w:rsidRPr="00D95127" w:rsidRDefault="00A16DDB" w:rsidP="003C5728">
      <w:pPr>
        <w:pStyle w:val="UZEINormaln"/>
      </w:pPr>
      <w:r w:rsidRPr="00D95127">
        <w:t>Tato část je zpracována souhrnně v základním analytickém dokumentu za oblast konkurenceschopnost zemědělství.</w:t>
      </w:r>
    </w:p>
    <w:p w14:paraId="091B072E" w14:textId="77777777" w:rsidR="00A16DDB" w:rsidRPr="00D95127" w:rsidRDefault="00A16DDB" w:rsidP="003C5728">
      <w:pPr>
        <w:pStyle w:val="UZEINormaln"/>
      </w:pPr>
    </w:p>
    <w:p w14:paraId="78BD7101" w14:textId="77777777" w:rsidR="003C5728" w:rsidRDefault="003C5728">
      <w:pPr>
        <w:spacing w:after="160" w:line="259" w:lineRule="auto"/>
        <w:jc w:val="left"/>
        <w:rPr>
          <w:rFonts w:eastAsiaTheme="majorEastAsia" w:cs="Times New Roman"/>
          <w:b/>
          <w:bCs/>
          <w:sz w:val="28"/>
          <w:szCs w:val="32"/>
          <w:lang w:val="cs-CZ"/>
        </w:rPr>
      </w:pPr>
      <w:bookmarkStart w:id="780" w:name="_Toc80953311"/>
      <w:r>
        <w:br w:type="page"/>
      </w:r>
    </w:p>
    <w:p w14:paraId="6CEF122D" w14:textId="6AA9375A" w:rsidR="00A16DDB" w:rsidRPr="00D95127" w:rsidRDefault="00A16DDB" w:rsidP="003C5728">
      <w:pPr>
        <w:pStyle w:val="Nadpis1"/>
      </w:pPr>
      <w:bookmarkStart w:id="781" w:name="_Toc81739264"/>
      <w:r w:rsidRPr="00D95127">
        <w:t>Co je skutečným problémem, na který má politika reagovat?</w:t>
      </w:r>
      <w:bookmarkEnd w:id="780"/>
      <w:bookmarkEnd w:id="781"/>
    </w:p>
    <w:p w14:paraId="2A993778" w14:textId="77777777" w:rsidR="00A16DDB" w:rsidRPr="00D95127" w:rsidRDefault="00A16DDB" w:rsidP="003C5728">
      <w:pPr>
        <w:pStyle w:val="UZEINormaln"/>
      </w:pPr>
      <w:r w:rsidRPr="00D95127">
        <w:t xml:space="preserve">Výměra trav pěstovaných na semeno se v období 2011-2019 příliš nemění a pohybuje se do deseti tisíc hektarů. Podle Svazu pěstitelů travních a jetelových semen překročila v roce 2020 sklizňová plocha hlavních travosemenných kultur 10 tis. ha, proti roku předchozímu (2019) došlo k 2,9% zvýšení. </w:t>
      </w:r>
    </w:p>
    <w:p w14:paraId="1E3E2D62" w14:textId="57869B2F" w:rsidR="00A16DDB" w:rsidRPr="003C5728" w:rsidRDefault="00A16DDB" w:rsidP="003C5728">
      <w:pPr>
        <w:pStyle w:val="UZEINormaln"/>
      </w:pPr>
      <w:r w:rsidRPr="00D95127">
        <w:t>Určitou raritou je druhová pestrost pěstovaných trav na semeno, bývá pěstovaných přibližně 20 druhů, z nichž se největší pozornost je věnována cca devíti travním druhům (bojínek luční, jílek mnohokvětý italský, jílek mnohokvětý jednoletý, jílek hybridní, jílek vytrvalý, Festulolium, kostřava luční, kostřava rákosovitá a kostřava červená). Okrajově je pěstována srha laločnatá. Nabídka trav se příliš nemění, jmenované trávy zaujímají přibližně polovinu pěstební plochy. V roce 2020 bylo přihlášeno 10,3 tis. ha množitelských ploch trav a 12,9 tis. ha jetelovin.</w:t>
      </w:r>
    </w:p>
    <w:p w14:paraId="525FCA03" w14:textId="6D200001" w:rsidR="00A16DDB" w:rsidRPr="00D95127" w:rsidRDefault="00A16DDB" w:rsidP="003C5728">
      <w:pPr>
        <w:pStyle w:val="UZEITaB"/>
        <w:rPr>
          <w:iCs/>
        </w:rPr>
      </w:pPr>
      <w:bookmarkStart w:id="782" w:name="_Toc81738514"/>
      <w:r w:rsidRPr="00D95127">
        <w:rPr>
          <w:iCs/>
        </w:rPr>
        <w:t>Trávy na semeno (ha)</w:t>
      </w:r>
      <w:bookmarkEnd w:id="782"/>
    </w:p>
    <w:p w14:paraId="3FD5C4E2" w14:textId="77777777" w:rsidR="00A16DDB" w:rsidRPr="00D95127" w:rsidRDefault="00A16DDB" w:rsidP="00A16DDB">
      <w:pPr>
        <w:pStyle w:val="detailannotation"/>
        <w:spacing w:before="0" w:beforeAutospacing="0" w:after="0" w:afterAutospacing="0"/>
        <w:rPr>
          <w:u w:val="single"/>
        </w:rPr>
      </w:pPr>
      <w:r w:rsidRPr="00D95127">
        <w:rPr>
          <w:noProof/>
        </w:rPr>
        <w:drawing>
          <wp:inline distT="0" distB="0" distL="0" distR="0" wp14:anchorId="14FB494E" wp14:editId="0737FFE5">
            <wp:extent cx="5760720" cy="2725420"/>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760720" cy="2725420"/>
                    </a:xfrm>
                    <a:prstGeom prst="rect">
                      <a:avLst/>
                    </a:prstGeom>
                    <a:noFill/>
                    <a:ln>
                      <a:noFill/>
                    </a:ln>
                  </pic:spPr>
                </pic:pic>
              </a:graphicData>
            </a:graphic>
          </wp:inline>
        </w:drawing>
      </w:r>
    </w:p>
    <w:p w14:paraId="0EC96347" w14:textId="42748441" w:rsidR="007C29A2" w:rsidRDefault="00A16DDB" w:rsidP="007C29A2">
      <w:pPr>
        <w:pStyle w:val="UZEIGraf"/>
        <w:rPr>
          <w:rStyle w:val="UZEIGrafChar"/>
          <w:rFonts w:eastAsia="Calibri"/>
        </w:rPr>
      </w:pPr>
      <w:bookmarkStart w:id="783" w:name="_Toc81738813"/>
      <w:r w:rsidRPr="007C29A2">
        <w:rPr>
          <w:rFonts w:eastAsia="Calibri"/>
        </w:rPr>
        <w:t>Plocha trav na semeno – vybrané druhy</w:t>
      </w:r>
      <w:bookmarkEnd w:id="783"/>
      <w:r w:rsidRPr="007C29A2">
        <w:rPr>
          <w:rStyle w:val="UZEIGrafChar"/>
        </w:rPr>
        <w:t xml:space="preserve"> </w:t>
      </w:r>
    </w:p>
    <w:p w14:paraId="06EEEC3E" w14:textId="4256961B" w:rsidR="00A16DDB" w:rsidRPr="00D95127" w:rsidRDefault="00A16DDB" w:rsidP="007C29A2">
      <w:pPr>
        <w:pStyle w:val="UZEINormaln"/>
        <w:rPr>
          <w:i/>
          <w:iCs/>
        </w:rPr>
      </w:pPr>
      <w:r w:rsidRPr="007C29A2">
        <w:rPr>
          <w:noProof/>
        </w:rPr>
        <w:drawing>
          <wp:inline distT="0" distB="0" distL="0" distR="0" wp14:anchorId="0A609D68" wp14:editId="37834E83">
            <wp:extent cx="5410200" cy="2743200"/>
            <wp:effectExtent l="0" t="0" r="0" b="0"/>
            <wp:docPr id="12" name="Graf 12">
              <a:extLst xmlns:a="http://schemas.openxmlformats.org/drawingml/2006/main">
                <a:ext uri="{FF2B5EF4-FFF2-40B4-BE49-F238E27FC236}">
                  <a16:creationId xmlns:a16="http://schemas.microsoft.com/office/drawing/2014/main" id="{675DD99C-F8D9-4D44-9DF6-3D23341E1A8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r w:rsidRPr="00D95127">
        <w:rPr>
          <w:i/>
          <w:iCs/>
        </w:rPr>
        <w:t>Pramen: Svaz pěstitelů travních a jetelových semen</w:t>
      </w:r>
    </w:p>
    <w:p w14:paraId="16E9CDB5" w14:textId="5AF08A95" w:rsidR="00A16DDB" w:rsidRDefault="00A16DDB" w:rsidP="00A16DDB">
      <w:pPr>
        <w:pStyle w:val="detailannotation"/>
        <w:rPr>
          <w:i/>
          <w:iCs/>
          <w:sz w:val="16"/>
          <w:szCs w:val="16"/>
        </w:rPr>
      </w:pPr>
    </w:p>
    <w:p w14:paraId="59015D01" w14:textId="77777777" w:rsidR="003C5728" w:rsidRPr="00D95127" w:rsidRDefault="003C5728" w:rsidP="00A16DDB">
      <w:pPr>
        <w:pStyle w:val="detailannotation"/>
        <w:rPr>
          <w:i/>
          <w:iCs/>
          <w:sz w:val="16"/>
          <w:szCs w:val="16"/>
        </w:rPr>
      </w:pPr>
    </w:p>
    <w:p w14:paraId="228561A9" w14:textId="04D78406" w:rsidR="00A16DDB" w:rsidRPr="00D95127" w:rsidRDefault="00A16DDB" w:rsidP="003C5728">
      <w:pPr>
        <w:pStyle w:val="UZEIGraf"/>
        <w:rPr>
          <w:bCs/>
          <w:noProof/>
        </w:rPr>
      </w:pPr>
      <w:r w:rsidRPr="00D95127">
        <w:t xml:space="preserve"> </w:t>
      </w:r>
      <w:bookmarkStart w:id="784" w:name="_Toc81738814"/>
      <w:r w:rsidRPr="00D95127">
        <w:t>Plocha jetelovin (vybrané druhy</w:t>
      </w:r>
      <w:r w:rsidRPr="00D95127">
        <w:rPr>
          <w:bCs/>
          <w:noProof/>
        </w:rPr>
        <w:t>)</w:t>
      </w:r>
      <w:bookmarkEnd w:id="784"/>
    </w:p>
    <w:p w14:paraId="7200601E" w14:textId="77777777" w:rsidR="00A16DDB" w:rsidRPr="00D95127" w:rsidRDefault="00A16DDB" w:rsidP="00A16DDB">
      <w:pPr>
        <w:pStyle w:val="detailannotation"/>
        <w:spacing w:before="0" w:beforeAutospacing="0" w:after="0" w:afterAutospacing="0"/>
        <w:rPr>
          <w:noProof/>
        </w:rPr>
      </w:pPr>
      <w:r w:rsidRPr="00D95127">
        <w:rPr>
          <w:noProof/>
        </w:rPr>
        <w:drawing>
          <wp:inline distT="0" distB="0" distL="0" distR="0" wp14:anchorId="4367C61D" wp14:editId="7F282E28">
            <wp:extent cx="5575111" cy="2562225"/>
            <wp:effectExtent l="0" t="0" r="6985" b="9525"/>
            <wp:docPr id="15" name="Graf 15">
              <a:extLst xmlns:a="http://schemas.openxmlformats.org/drawingml/2006/main">
                <a:ext uri="{FF2B5EF4-FFF2-40B4-BE49-F238E27FC236}">
                  <a16:creationId xmlns:a16="http://schemas.microsoft.com/office/drawing/2014/main" id="{FE2970CC-EB6A-460A-8694-75182AD1F73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14:paraId="137442EE" w14:textId="77777777" w:rsidR="00A16DDB" w:rsidRPr="00D95127" w:rsidRDefault="00A16DDB" w:rsidP="003C5728">
      <w:pPr>
        <w:pStyle w:val="UZEIZdroj"/>
        <w:rPr>
          <w:rStyle w:val="normaltextrun1"/>
          <w:i w:val="0"/>
          <w:iCs w:val="0"/>
          <w:color w:val="000000" w:themeColor="text1"/>
          <w:sz w:val="16"/>
          <w:szCs w:val="16"/>
        </w:rPr>
      </w:pPr>
      <w:r w:rsidRPr="00D95127">
        <w:t xml:space="preserve">Pramen: Svaz </w:t>
      </w:r>
      <w:r w:rsidRPr="00D95127">
        <w:rPr>
          <w:rStyle w:val="normaltextrun1"/>
          <w:color w:val="000000" w:themeColor="text1"/>
          <w:sz w:val="16"/>
          <w:szCs w:val="16"/>
        </w:rPr>
        <w:t>pěstitelů travních a jetelových semen</w:t>
      </w:r>
    </w:p>
    <w:p w14:paraId="6E386AD1" w14:textId="77777777" w:rsidR="00A16DDB" w:rsidRPr="00D95127" w:rsidRDefault="00A16DDB" w:rsidP="003C5728">
      <w:pPr>
        <w:pStyle w:val="UZEIZdroj"/>
      </w:pPr>
      <w:r w:rsidRPr="00D95127">
        <w:t>Poznámka: 1) Vybrané druhy jetelovin: Jestřabina východní, Jetel alexandrijský, Jetel luční, Jetel luční x jetel prostřední*, Jetel nachový, Jetel plazivý, Jetel zvrácený, Jetel zvrhlý, Pískavice řecké seno, Štírovník růžkatý, Tolice dětelová, Vičenec ligrus, Vojtěška setá</w:t>
      </w:r>
    </w:p>
    <w:p w14:paraId="7BEF261F" w14:textId="425E9752" w:rsidR="00A16DDB" w:rsidRPr="003C5728" w:rsidRDefault="00A16DDB" w:rsidP="003C5728">
      <w:pPr>
        <w:pStyle w:val="UZEIZdroj"/>
      </w:pPr>
      <w:r w:rsidRPr="00D95127">
        <w:t>2) „*“ druh není uveden v druhovém seznamu pěstovaných rostlin</w:t>
      </w:r>
    </w:p>
    <w:p w14:paraId="487C1B18" w14:textId="4783D909" w:rsidR="00A16DDB" w:rsidRPr="003C5728" w:rsidRDefault="00A16DDB" w:rsidP="003C5728">
      <w:pPr>
        <w:pStyle w:val="UZEINormaln"/>
      </w:pPr>
      <w:r w:rsidRPr="00D95127">
        <w:t>Výnosy trav a jetelovin jsou velmi různorodé. Skupina jílků však byly výnosově nad průměrem vybraných trav v období 2011-2019. Výnosu nad tunu na hektar dosahoval Jílek mnohokvětý italský (1,1 t/ha) a Jílek mnohokvětý jednoletý (1,1 t/ha). Dobrých výnosů dosáhlo také Festulolium (0,7 t/ha) a Jílek vytrvalý (0,6 t/ha). Z jetelovin se nejvíce dařilo Jeteli nachovému (0,5 t/ha). Výnosy v roce 2019 byly regionálně ovlivněny nadprůměrným výskytem hrabošů, kteří trvalé travní porosty poškozovali.</w:t>
      </w:r>
    </w:p>
    <w:p w14:paraId="224464D2" w14:textId="4DC54807" w:rsidR="00DC55E0" w:rsidRPr="00DC55E0" w:rsidRDefault="00A16DDB" w:rsidP="00DC55E0">
      <w:pPr>
        <w:pStyle w:val="UZEITaB"/>
        <w:rPr>
          <w:rStyle w:val="UZEITaBChar"/>
          <w:rFonts w:eastAsia="Calibri"/>
          <w:b/>
        </w:rPr>
      </w:pPr>
      <w:bookmarkStart w:id="785" w:name="_Toc81738515"/>
      <w:r w:rsidRPr="00DC55E0">
        <w:rPr>
          <w:rFonts w:eastAsia="Calibri"/>
        </w:rPr>
        <w:t>Průměrné výnosy semen trav a jetelovin (kg/h</w:t>
      </w:r>
      <w:r w:rsidR="003C5728" w:rsidRPr="00DC55E0">
        <w:rPr>
          <w:rFonts w:eastAsia="Calibri"/>
        </w:rPr>
        <w:t>a)</w:t>
      </w:r>
      <w:bookmarkEnd w:id="785"/>
    </w:p>
    <w:p w14:paraId="5C285437" w14:textId="752EDF96" w:rsidR="00A16DDB" w:rsidRPr="00D95127" w:rsidRDefault="00A16DDB" w:rsidP="003C5728">
      <w:pPr>
        <w:pStyle w:val="UZEIZdroj"/>
      </w:pPr>
      <w:r w:rsidRPr="00D95127">
        <w:rPr>
          <w:noProof/>
          <w:color w:val="44546A"/>
        </w:rPr>
        <w:drawing>
          <wp:inline distT="0" distB="0" distL="0" distR="0" wp14:anchorId="437FBCC0" wp14:editId="1678F449">
            <wp:extent cx="5751491" cy="2763672"/>
            <wp:effectExtent l="0" t="0" r="0" b="0"/>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779304" cy="2777037"/>
                    </a:xfrm>
                    <a:prstGeom prst="rect">
                      <a:avLst/>
                    </a:prstGeom>
                    <a:noFill/>
                    <a:ln>
                      <a:noFill/>
                    </a:ln>
                  </pic:spPr>
                </pic:pic>
              </a:graphicData>
            </a:graphic>
          </wp:inline>
        </w:drawing>
      </w:r>
      <w:r w:rsidRPr="00D95127">
        <w:t>Pramen: Svaz pěstitelů travních a jetelových semen</w:t>
      </w:r>
    </w:p>
    <w:p w14:paraId="12339C6C" w14:textId="77777777" w:rsidR="00A16DDB" w:rsidRPr="00D95127" w:rsidRDefault="00A16DDB" w:rsidP="00A16DDB">
      <w:pPr>
        <w:pStyle w:val="detailannotation"/>
        <w:spacing w:before="0" w:beforeAutospacing="0" w:after="0" w:afterAutospacing="0"/>
        <w:rPr>
          <w:i/>
          <w:iCs/>
          <w:sz w:val="16"/>
          <w:szCs w:val="16"/>
        </w:rPr>
      </w:pPr>
    </w:p>
    <w:p w14:paraId="610497ED" w14:textId="77777777" w:rsidR="00A16DDB" w:rsidRPr="00D95127" w:rsidRDefault="00A16DDB" w:rsidP="00A16DDB">
      <w:pPr>
        <w:pStyle w:val="detailannotation"/>
        <w:spacing w:before="0" w:beforeAutospacing="0" w:after="0" w:afterAutospacing="0"/>
        <w:rPr>
          <w:i/>
          <w:iCs/>
          <w:sz w:val="16"/>
          <w:szCs w:val="16"/>
        </w:rPr>
      </w:pPr>
    </w:p>
    <w:p w14:paraId="08453DE3" w14:textId="77777777" w:rsidR="00A16DDB" w:rsidRPr="00D95127" w:rsidRDefault="00A16DDB" w:rsidP="00A16DDB">
      <w:pPr>
        <w:pStyle w:val="detailannotation"/>
        <w:spacing w:before="0" w:beforeAutospacing="0" w:after="0" w:afterAutospacing="0"/>
        <w:rPr>
          <w:i/>
          <w:iCs/>
          <w:sz w:val="16"/>
          <w:szCs w:val="16"/>
        </w:rPr>
      </w:pPr>
    </w:p>
    <w:p w14:paraId="6363D852" w14:textId="77777777" w:rsidR="00A16DDB" w:rsidRPr="00D95127" w:rsidRDefault="00A16DDB" w:rsidP="00A16DDB">
      <w:pPr>
        <w:pStyle w:val="detailannotation"/>
        <w:spacing w:before="0" w:beforeAutospacing="0" w:after="0" w:afterAutospacing="0"/>
        <w:rPr>
          <w:i/>
          <w:iCs/>
          <w:sz w:val="16"/>
          <w:szCs w:val="16"/>
        </w:rPr>
      </w:pPr>
    </w:p>
    <w:p w14:paraId="086EBE19" w14:textId="77777777" w:rsidR="00A16DDB" w:rsidRPr="00D95127" w:rsidRDefault="00A16DDB" w:rsidP="00A16DDB">
      <w:pPr>
        <w:pStyle w:val="detailannotation"/>
        <w:spacing w:before="0" w:beforeAutospacing="0" w:after="0" w:afterAutospacing="0"/>
        <w:rPr>
          <w:i/>
          <w:iCs/>
          <w:sz w:val="16"/>
          <w:szCs w:val="16"/>
        </w:rPr>
      </w:pPr>
    </w:p>
    <w:p w14:paraId="1B7F85AC" w14:textId="77777777" w:rsidR="00A16DDB" w:rsidRPr="00D95127" w:rsidRDefault="00A16DDB" w:rsidP="00A16DDB">
      <w:pPr>
        <w:pStyle w:val="detailannotation"/>
        <w:spacing w:before="0" w:beforeAutospacing="0" w:after="0" w:afterAutospacing="0"/>
        <w:rPr>
          <w:i/>
          <w:iCs/>
          <w:sz w:val="16"/>
          <w:szCs w:val="16"/>
        </w:rPr>
      </w:pPr>
    </w:p>
    <w:p w14:paraId="2EBB732C" w14:textId="7B1689EE" w:rsidR="00DC55E0" w:rsidRPr="00DC55E0" w:rsidRDefault="00A16DDB" w:rsidP="00DC55E0">
      <w:pPr>
        <w:pStyle w:val="UZEIGraf"/>
      </w:pPr>
      <w:bookmarkStart w:id="786" w:name="_Toc81738815"/>
      <w:r w:rsidRPr="00DC55E0">
        <w:t>Průměrné výnosy trav a jetelovin</w:t>
      </w:r>
      <w:bookmarkEnd w:id="786"/>
    </w:p>
    <w:p w14:paraId="0637E0FE" w14:textId="78534CEF" w:rsidR="00A16DDB" w:rsidRPr="00D95127" w:rsidRDefault="00A16DDB" w:rsidP="007C29A2">
      <w:pPr>
        <w:pStyle w:val="UZEINormaln"/>
        <w:rPr>
          <w:i/>
          <w:color w:val="44546A"/>
        </w:rPr>
      </w:pPr>
      <w:r w:rsidRPr="00D95127">
        <w:rPr>
          <w:noProof/>
        </w:rPr>
        <w:drawing>
          <wp:inline distT="0" distB="0" distL="0" distR="0" wp14:anchorId="39404287" wp14:editId="7144FCBF">
            <wp:extent cx="4978987" cy="3228975"/>
            <wp:effectExtent l="0" t="0" r="12700" b="9525"/>
            <wp:docPr id="71" name="Graf 71">
              <a:extLst xmlns:a="http://schemas.openxmlformats.org/drawingml/2006/main">
                <a:ext uri="{FF2B5EF4-FFF2-40B4-BE49-F238E27FC236}">
                  <a16:creationId xmlns:a16="http://schemas.microsoft.com/office/drawing/2014/main" id="{3603F627-8028-456A-A0E3-35A64ED0AD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14:paraId="28BF2B05" w14:textId="77777777" w:rsidR="00A16DDB" w:rsidRPr="00D95127" w:rsidRDefault="00A16DDB" w:rsidP="00DC55E0">
      <w:pPr>
        <w:pStyle w:val="UZEIZdroj"/>
        <w:rPr>
          <w:rStyle w:val="normaltextrun1"/>
          <w:i w:val="0"/>
          <w:iCs w:val="0"/>
          <w:color w:val="000000" w:themeColor="text1"/>
          <w:sz w:val="16"/>
          <w:szCs w:val="16"/>
        </w:rPr>
      </w:pPr>
      <w:r w:rsidRPr="00D95127">
        <w:t>Pramen: Svaz pěstitelů travních a jetelových semen</w:t>
      </w:r>
    </w:p>
    <w:p w14:paraId="48E221E1" w14:textId="77777777" w:rsidR="00A16DDB" w:rsidRPr="00D95127" w:rsidRDefault="00A16DDB" w:rsidP="00A16DDB">
      <w:pPr>
        <w:ind w:left="360"/>
        <w:rPr>
          <w:rFonts w:cs="Times New Roman"/>
          <w:szCs w:val="24"/>
          <w:u w:val="single"/>
          <w:lang w:val="cs-CZ"/>
        </w:rPr>
      </w:pPr>
    </w:p>
    <w:p w14:paraId="34451D47" w14:textId="77777777" w:rsidR="00DC55E0" w:rsidRDefault="00DC55E0">
      <w:pPr>
        <w:spacing w:after="160" w:line="259" w:lineRule="auto"/>
        <w:jc w:val="left"/>
        <w:rPr>
          <w:rFonts w:eastAsiaTheme="majorEastAsia" w:cs="Times New Roman"/>
          <w:b/>
          <w:bCs/>
          <w:sz w:val="28"/>
          <w:szCs w:val="32"/>
          <w:lang w:val="cs-CZ"/>
        </w:rPr>
      </w:pPr>
      <w:bookmarkStart w:id="787" w:name="_Toc80953312"/>
      <w:r>
        <w:br w:type="page"/>
      </w:r>
    </w:p>
    <w:p w14:paraId="263A7E05" w14:textId="683E2CAF" w:rsidR="00A16DDB" w:rsidRPr="00DC55E0" w:rsidRDefault="00A16DDB" w:rsidP="00DC55E0">
      <w:pPr>
        <w:pStyle w:val="Nadpis1"/>
      </w:pPr>
      <w:bookmarkStart w:id="788" w:name="_Toc81739265"/>
      <w:r w:rsidRPr="00DC55E0">
        <w:t>Jaký je mechanismus a příčiny tohoto problému?</w:t>
      </w:r>
      <w:bookmarkEnd w:id="787"/>
      <w:bookmarkEnd w:id="788"/>
    </w:p>
    <w:p w14:paraId="2D015205" w14:textId="77777777" w:rsidR="00A16DDB" w:rsidRPr="00D95127" w:rsidRDefault="00A16DDB" w:rsidP="00A16DDB">
      <w:pPr>
        <w:rPr>
          <w:rFonts w:cs="Times New Roman"/>
          <w:szCs w:val="24"/>
          <w:lang w:val="cs-CZ"/>
        </w:rPr>
      </w:pPr>
      <w:r w:rsidRPr="00D95127">
        <w:rPr>
          <w:rFonts w:cs="Times New Roman"/>
          <w:szCs w:val="24"/>
          <w:lang w:val="cs-CZ"/>
        </w:rPr>
        <w:t xml:space="preserve">Příčiny problémů v odvětví </w:t>
      </w:r>
      <w:r w:rsidRPr="00D95127">
        <w:rPr>
          <w:rFonts w:cs="Times New Roman"/>
          <w:b/>
          <w:bCs/>
          <w:szCs w:val="24"/>
          <w:lang w:val="cs-CZ"/>
        </w:rPr>
        <w:t xml:space="preserve">trav </w:t>
      </w:r>
      <w:r w:rsidRPr="00D95127">
        <w:rPr>
          <w:rFonts w:cs="Times New Roman"/>
          <w:b/>
          <w:szCs w:val="24"/>
          <w:lang w:val="cs-CZ"/>
        </w:rPr>
        <w:t>na semeno</w:t>
      </w:r>
      <w:r w:rsidRPr="00D95127">
        <w:rPr>
          <w:rFonts w:cs="Times New Roman"/>
          <w:szCs w:val="24"/>
          <w:lang w:val="cs-CZ"/>
        </w:rPr>
        <w:t xml:space="preserve"> jsou:</w:t>
      </w:r>
    </w:p>
    <w:p w14:paraId="26B4593E" w14:textId="77777777" w:rsidR="00A16DDB" w:rsidRPr="00D95127" w:rsidRDefault="00A16DDB" w:rsidP="00DE7D57">
      <w:pPr>
        <w:pStyle w:val="Odstavecseseznamem"/>
        <w:numPr>
          <w:ilvl w:val="0"/>
          <w:numId w:val="10"/>
        </w:numPr>
        <w:tabs>
          <w:tab w:val="clear" w:pos="720"/>
        </w:tabs>
        <w:spacing w:after="160" w:line="259" w:lineRule="auto"/>
        <w:ind w:left="1425"/>
        <w:rPr>
          <w:b/>
        </w:rPr>
      </w:pPr>
      <w:r w:rsidRPr="00D95127">
        <w:rPr>
          <w:b/>
        </w:rPr>
        <w:t>nízká úroveň výnosů u některých druhů trav ve srovnání s konkurenty </w:t>
      </w:r>
    </w:p>
    <w:p w14:paraId="6FD067AD" w14:textId="77777777" w:rsidR="00A16DDB" w:rsidRPr="00D95127" w:rsidRDefault="00A16DDB" w:rsidP="00DE7D57">
      <w:pPr>
        <w:pStyle w:val="Odstavecseseznamem"/>
        <w:numPr>
          <w:ilvl w:val="0"/>
          <w:numId w:val="10"/>
        </w:numPr>
        <w:tabs>
          <w:tab w:val="clear" w:pos="720"/>
        </w:tabs>
        <w:spacing w:after="160" w:line="259" w:lineRule="auto"/>
        <w:ind w:left="1425"/>
        <w:rPr>
          <w:b/>
        </w:rPr>
      </w:pPr>
      <w:r w:rsidRPr="00D95127">
        <w:rPr>
          <w:b/>
        </w:rPr>
        <w:t>pokles osevní plochy </w:t>
      </w:r>
    </w:p>
    <w:p w14:paraId="292654FB" w14:textId="77777777" w:rsidR="00A16DDB" w:rsidRPr="00D95127" w:rsidRDefault="00A16DDB" w:rsidP="00DE7D57">
      <w:pPr>
        <w:pStyle w:val="Odstavecseseznamem"/>
        <w:numPr>
          <w:ilvl w:val="0"/>
          <w:numId w:val="10"/>
        </w:numPr>
        <w:tabs>
          <w:tab w:val="clear" w:pos="720"/>
        </w:tabs>
        <w:spacing w:after="160" w:line="259" w:lineRule="auto"/>
        <w:ind w:left="1425"/>
        <w:rPr>
          <w:b/>
        </w:rPr>
      </w:pPr>
      <w:r w:rsidRPr="00D95127">
        <w:rPr>
          <w:b/>
        </w:rPr>
        <w:t>technologická náročnost pěstování trav na semeno</w:t>
      </w:r>
    </w:p>
    <w:p w14:paraId="3E96E1D9" w14:textId="77777777" w:rsidR="00A16DDB" w:rsidRPr="00D95127" w:rsidRDefault="00A16DDB" w:rsidP="00DE7D57">
      <w:pPr>
        <w:pStyle w:val="Odstavecseseznamem"/>
        <w:numPr>
          <w:ilvl w:val="0"/>
          <w:numId w:val="10"/>
        </w:numPr>
        <w:tabs>
          <w:tab w:val="clear" w:pos="720"/>
        </w:tabs>
        <w:spacing w:after="160" w:line="259" w:lineRule="auto"/>
        <w:ind w:left="1425"/>
        <w:rPr>
          <w:b/>
        </w:rPr>
      </w:pPr>
      <w:r w:rsidRPr="00D95127">
        <w:rPr>
          <w:b/>
        </w:rPr>
        <w:t>absence zkušených agronomů s pěstováním trav na semeno</w:t>
      </w:r>
    </w:p>
    <w:p w14:paraId="3D63124E" w14:textId="77777777" w:rsidR="00A16DDB" w:rsidRPr="00D95127" w:rsidRDefault="00A16DDB" w:rsidP="00A16DDB">
      <w:pPr>
        <w:ind w:firstLine="708"/>
        <w:rPr>
          <w:rFonts w:cs="Times New Roman"/>
          <w:bCs/>
          <w:szCs w:val="24"/>
          <w:lang w:val="cs-CZ"/>
        </w:rPr>
      </w:pPr>
      <w:r w:rsidRPr="00D95127">
        <w:rPr>
          <w:rFonts w:cs="Times New Roman"/>
          <w:bCs/>
          <w:szCs w:val="24"/>
          <w:lang w:val="cs-CZ"/>
        </w:rPr>
        <w:t xml:space="preserve">Od roku 2011 plocha trav pěstovaných na semeno meziročně kolísala v rozmezí 8,8 tis. ha do 10,3 tis. ha a v roce 2020 činila 10,3 tis. ha. Největší pokles ploch trav pěstovaných na semeno byl dle dat poskytnutých Spolkem pěstitelů travních a jetelových semen (SPTJS) v letech 2013-2015, kdy plocha klesla pod devět tisíc hektarů. Za poklesem ploch trav pěstovaných na semeno stojí jednak složitost pěstování jednotlivých druhů, které se ve svých nárocích na ošetření a ochranu dost liší, jednak i ústup živočišné výroby a malý rozsah obnovy trvalých travních porostů. Sestupný trend souvisí i s poklesem semenářských ploch trav v celé Evropě, špičkové pěstitele v Dánsku, Německu a Nizozemsku nevyjímaje. Na rozdíl od ČR však v těchto státech dochází k nárůstu ploch i produkce. I přesto, že statistiky ukazují, že domácí odrůdy jsou po semenářské stránce se zahraničními přinejmenším rovnocenné a často je i předčí. </w:t>
      </w:r>
    </w:p>
    <w:p w14:paraId="1CC21753" w14:textId="77777777" w:rsidR="00A16DDB" w:rsidRPr="00D95127" w:rsidRDefault="00A16DDB" w:rsidP="00A16DDB">
      <w:pPr>
        <w:ind w:firstLine="708"/>
        <w:rPr>
          <w:rFonts w:eastAsia="Times New Roman" w:cs="Times New Roman"/>
          <w:szCs w:val="24"/>
          <w:lang w:val="cs-CZ" w:eastAsia="cs-CZ"/>
        </w:rPr>
      </w:pPr>
      <w:r w:rsidRPr="00D95127">
        <w:rPr>
          <w:rFonts w:eastAsia="Times New Roman" w:cs="Times New Roman"/>
          <w:szCs w:val="24"/>
          <w:lang w:val="cs-CZ" w:eastAsia="cs-CZ"/>
        </w:rPr>
        <w:t xml:space="preserve">Podniky s pěstováním trav však po odchodu zkušeného agronoma často končí, protože se jim nepodaří najít vhodného nástupce. Pokud má být trávosemenná kultura rentabilní, musí se jí věnovat pozornost jako jiným plodinám. </w:t>
      </w:r>
      <w:r w:rsidRPr="00D95127">
        <w:rPr>
          <w:rFonts w:cs="Times New Roman"/>
          <w:bCs/>
          <w:szCs w:val="24"/>
          <w:lang w:val="cs-CZ"/>
        </w:rPr>
        <w:t xml:space="preserve">Základem veškerého pěstování semenných porostů trav a jetelovin je dodržování základních agrotechnických termínů, dále podzimní přihnojení a posečení porostů, aplikací herbicidů, fungicidů a regulátorů růstu.  Při sklizni je nejdůležitější okamžitá posklizňová úprava přírodního osiva, aby nedošlo k zahřátí a zničení klíčivosti. Základem úspěchu je celou sklizeň neuspěchat, rovnoměrně rozprostřít sklizené osivo do stejné výšky a dosušit v co nejkratší možné době. </w:t>
      </w:r>
      <w:r w:rsidRPr="00D95127">
        <w:rPr>
          <w:rFonts w:eastAsia="Times New Roman" w:cs="Times New Roman"/>
          <w:szCs w:val="24"/>
          <w:lang w:val="cs-CZ" w:eastAsia="cs-CZ"/>
        </w:rPr>
        <w:t>Příklady našich předních pěstitelů ukazují jasně, že trávy jsou rentabilní a jsou schopny dát vysoký výnos nejen v prvém, ale i ve čtvrtém užitkovém roce.</w:t>
      </w:r>
    </w:p>
    <w:p w14:paraId="5D058E96" w14:textId="5EFF5132" w:rsidR="00A16DDB" w:rsidRDefault="00A16DDB" w:rsidP="00A16DDB">
      <w:pPr>
        <w:ind w:firstLine="708"/>
        <w:rPr>
          <w:rFonts w:eastAsia="Times New Roman" w:cs="Times New Roman"/>
          <w:szCs w:val="24"/>
          <w:lang w:val="cs-CZ" w:eastAsia="cs-CZ"/>
        </w:rPr>
      </w:pPr>
      <w:r w:rsidRPr="00D95127">
        <w:rPr>
          <w:rFonts w:eastAsia="Times New Roman" w:cs="Times New Roman"/>
          <w:szCs w:val="24"/>
          <w:lang w:val="cs-CZ" w:eastAsia="cs-CZ"/>
        </w:rPr>
        <w:t xml:space="preserve">Další jistou nevýhodou trav pěstovaných na semeno oproti ostatním tržním komoditám je čtyřletý cyklus produkce vzhledem k vyšším vstupním nákladům zejména v prvním roce produkce. </w:t>
      </w:r>
    </w:p>
    <w:p w14:paraId="03DADC03" w14:textId="7E370154" w:rsidR="00DC55E0" w:rsidRDefault="00DC55E0" w:rsidP="00A16DDB">
      <w:pPr>
        <w:ind w:firstLine="708"/>
        <w:rPr>
          <w:rFonts w:eastAsia="Times New Roman" w:cs="Times New Roman"/>
          <w:szCs w:val="24"/>
          <w:lang w:val="cs-CZ" w:eastAsia="cs-CZ"/>
        </w:rPr>
      </w:pPr>
    </w:p>
    <w:p w14:paraId="1F3AF418" w14:textId="33B30ADF" w:rsidR="00DC55E0" w:rsidRDefault="00DC55E0" w:rsidP="00A16DDB">
      <w:pPr>
        <w:ind w:firstLine="708"/>
        <w:rPr>
          <w:rFonts w:eastAsia="Times New Roman" w:cs="Times New Roman"/>
          <w:szCs w:val="24"/>
          <w:lang w:val="cs-CZ" w:eastAsia="cs-CZ"/>
        </w:rPr>
      </w:pPr>
    </w:p>
    <w:p w14:paraId="76B4D1CB" w14:textId="11E14F36" w:rsidR="00DC55E0" w:rsidRDefault="00DC55E0" w:rsidP="00A16DDB">
      <w:pPr>
        <w:ind w:firstLine="708"/>
        <w:rPr>
          <w:rFonts w:eastAsia="Times New Roman" w:cs="Times New Roman"/>
          <w:szCs w:val="24"/>
          <w:lang w:val="cs-CZ" w:eastAsia="cs-CZ"/>
        </w:rPr>
      </w:pPr>
    </w:p>
    <w:p w14:paraId="0BA884D7" w14:textId="5AFCE4C0" w:rsidR="00DC55E0" w:rsidRDefault="00DC55E0" w:rsidP="00A16DDB">
      <w:pPr>
        <w:ind w:firstLine="708"/>
        <w:rPr>
          <w:rFonts w:eastAsia="Times New Roman" w:cs="Times New Roman"/>
          <w:szCs w:val="24"/>
          <w:lang w:val="cs-CZ" w:eastAsia="cs-CZ"/>
        </w:rPr>
      </w:pPr>
    </w:p>
    <w:p w14:paraId="32E07FE1" w14:textId="6996A451" w:rsidR="00DC55E0" w:rsidRDefault="00DC55E0" w:rsidP="00A16DDB">
      <w:pPr>
        <w:ind w:firstLine="708"/>
        <w:rPr>
          <w:rFonts w:eastAsia="Times New Roman" w:cs="Times New Roman"/>
          <w:szCs w:val="24"/>
          <w:lang w:val="cs-CZ" w:eastAsia="cs-CZ"/>
        </w:rPr>
      </w:pPr>
    </w:p>
    <w:p w14:paraId="532A9F80" w14:textId="2535D6CE" w:rsidR="00DC55E0" w:rsidRDefault="00DC55E0" w:rsidP="00A16DDB">
      <w:pPr>
        <w:ind w:firstLine="708"/>
        <w:rPr>
          <w:rFonts w:eastAsia="Times New Roman" w:cs="Times New Roman"/>
          <w:szCs w:val="24"/>
          <w:lang w:val="cs-CZ" w:eastAsia="cs-CZ"/>
        </w:rPr>
      </w:pPr>
    </w:p>
    <w:p w14:paraId="1D7E667E" w14:textId="152EB875" w:rsidR="00DC55E0" w:rsidRDefault="00DC55E0" w:rsidP="00A16DDB">
      <w:pPr>
        <w:ind w:firstLine="708"/>
        <w:rPr>
          <w:rFonts w:eastAsia="Times New Roman" w:cs="Times New Roman"/>
          <w:szCs w:val="24"/>
          <w:lang w:val="cs-CZ" w:eastAsia="cs-CZ"/>
        </w:rPr>
      </w:pPr>
    </w:p>
    <w:p w14:paraId="3C671B53" w14:textId="5A90092E" w:rsidR="00DC55E0" w:rsidRDefault="00DC55E0" w:rsidP="00A16DDB">
      <w:pPr>
        <w:ind w:firstLine="708"/>
        <w:rPr>
          <w:rFonts w:eastAsia="Times New Roman" w:cs="Times New Roman"/>
          <w:szCs w:val="24"/>
          <w:lang w:val="cs-CZ" w:eastAsia="cs-CZ"/>
        </w:rPr>
      </w:pPr>
    </w:p>
    <w:p w14:paraId="62BD153B" w14:textId="0AE46B61" w:rsidR="00DC55E0" w:rsidRDefault="00DC55E0" w:rsidP="00A16DDB">
      <w:pPr>
        <w:ind w:firstLine="708"/>
        <w:rPr>
          <w:rFonts w:eastAsia="Times New Roman" w:cs="Times New Roman"/>
          <w:szCs w:val="24"/>
          <w:lang w:val="cs-CZ" w:eastAsia="cs-CZ"/>
        </w:rPr>
      </w:pPr>
    </w:p>
    <w:p w14:paraId="77F80DC6" w14:textId="02356536" w:rsidR="00DC55E0" w:rsidRDefault="00DC55E0" w:rsidP="00A16DDB">
      <w:pPr>
        <w:ind w:firstLine="708"/>
        <w:rPr>
          <w:rFonts w:eastAsia="Times New Roman" w:cs="Times New Roman"/>
          <w:szCs w:val="24"/>
          <w:lang w:val="cs-CZ" w:eastAsia="cs-CZ"/>
        </w:rPr>
      </w:pPr>
    </w:p>
    <w:p w14:paraId="55787AE5" w14:textId="0A0F7877" w:rsidR="00DC55E0" w:rsidRDefault="00DC55E0" w:rsidP="00A16DDB">
      <w:pPr>
        <w:ind w:firstLine="708"/>
        <w:rPr>
          <w:rFonts w:eastAsia="Times New Roman" w:cs="Times New Roman"/>
          <w:szCs w:val="24"/>
          <w:lang w:val="cs-CZ" w:eastAsia="cs-CZ"/>
        </w:rPr>
      </w:pPr>
    </w:p>
    <w:p w14:paraId="0E8D2C79" w14:textId="58EFDD1F" w:rsidR="00DC55E0" w:rsidRDefault="00DC55E0" w:rsidP="00A16DDB">
      <w:pPr>
        <w:ind w:firstLine="708"/>
        <w:rPr>
          <w:rFonts w:eastAsia="Times New Roman" w:cs="Times New Roman"/>
          <w:szCs w:val="24"/>
          <w:lang w:val="cs-CZ" w:eastAsia="cs-CZ"/>
        </w:rPr>
      </w:pPr>
    </w:p>
    <w:p w14:paraId="0502CCD3" w14:textId="577876F8" w:rsidR="00DC55E0" w:rsidRDefault="00DC55E0" w:rsidP="00A16DDB">
      <w:pPr>
        <w:ind w:firstLine="708"/>
        <w:rPr>
          <w:rFonts w:eastAsia="Times New Roman" w:cs="Times New Roman"/>
          <w:szCs w:val="24"/>
          <w:lang w:val="cs-CZ" w:eastAsia="cs-CZ"/>
        </w:rPr>
      </w:pPr>
    </w:p>
    <w:p w14:paraId="4378EA66" w14:textId="10C530E3" w:rsidR="00DC55E0" w:rsidRDefault="00DC55E0" w:rsidP="00A16DDB">
      <w:pPr>
        <w:ind w:firstLine="708"/>
        <w:rPr>
          <w:rFonts w:eastAsia="Times New Roman" w:cs="Times New Roman"/>
          <w:szCs w:val="24"/>
          <w:lang w:val="cs-CZ" w:eastAsia="cs-CZ"/>
        </w:rPr>
      </w:pPr>
    </w:p>
    <w:p w14:paraId="77F1222B" w14:textId="78B8C42D" w:rsidR="00DC55E0" w:rsidRDefault="00DC55E0" w:rsidP="00A16DDB">
      <w:pPr>
        <w:ind w:firstLine="708"/>
        <w:rPr>
          <w:rFonts w:eastAsia="Times New Roman" w:cs="Times New Roman"/>
          <w:szCs w:val="24"/>
          <w:lang w:val="cs-CZ" w:eastAsia="cs-CZ"/>
        </w:rPr>
      </w:pPr>
    </w:p>
    <w:p w14:paraId="634AFC97" w14:textId="4EC90BA4" w:rsidR="00DC55E0" w:rsidRDefault="00DC55E0" w:rsidP="00A16DDB">
      <w:pPr>
        <w:ind w:firstLine="708"/>
        <w:rPr>
          <w:rFonts w:eastAsia="Times New Roman" w:cs="Times New Roman"/>
          <w:szCs w:val="24"/>
          <w:lang w:val="cs-CZ" w:eastAsia="cs-CZ"/>
        </w:rPr>
      </w:pPr>
    </w:p>
    <w:p w14:paraId="11D063CE" w14:textId="77777777" w:rsidR="00DC55E0" w:rsidRPr="00D95127" w:rsidRDefault="00DC55E0" w:rsidP="00A16DDB">
      <w:pPr>
        <w:ind w:firstLine="708"/>
        <w:rPr>
          <w:rFonts w:eastAsia="Times New Roman" w:cs="Times New Roman"/>
          <w:szCs w:val="24"/>
          <w:lang w:val="cs-CZ" w:eastAsia="cs-CZ"/>
        </w:rPr>
      </w:pPr>
    </w:p>
    <w:p w14:paraId="393BFC9D" w14:textId="4DBD6094" w:rsidR="00A16DDB" w:rsidRPr="00D95127" w:rsidRDefault="00A16DDB" w:rsidP="00DC55E0">
      <w:pPr>
        <w:pStyle w:val="UZEIGraf"/>
      </w:pPr>
      <w:bookmarkStart w:id="789" w:name="_Toc81738816"/>
      <w:r w:rsidRPr="00D95127">
        <w:t>Vývoj Cash flow u standardní technologie pěstování kostřavy luční na semeno (narůstajícím způsobem)</w:t>
      </w:r>
      <w:bookmarkEnd w:id="789"/>
    </w:p>
    <w:p w14:paraId="4D56F0FF" w14:textId="77777777" w:rsidR="00A16DDB" w:rsidRPr="00D95127" w:rsidRDefault="00A16DDB" w:rsidP="00A16DDB">
      <w:pPr>
        <w:rPr>
          <w:rFonts w:eastAsia="Times New Roman" w:cs="Times New Roman"/>
          <w:szCs w:val="24"/>
          <w:lang w:val="cs-CZ" w:eastAsia="cs-CZ"/>
        </w:rPr>
      </w:pPr>
      <w:r w:rsidRPr="00D95127">
        <w:rPr>
          <w:rFonts w:cs="Times New Roman"/>
          <w:noProof/>
          <w:lang w:val="cs-CZ"/>
        </w:rPr>
        <w:drawing>
          <wp:inline distT="0" distB="0" distL="0" distR="0" wp14:anchorId="7EA12511" wp14:editId="0717FCC8">
            <wp:extent cx="5760720" cy="3721100"/>
            <wp:effectExtent l="0" t="0" r="11430" b="12700"/>
            <wp:docPr id="76" name="Graf 76">
              <a:extLst xmlns:a="http://schemas.openxmlformats.org/drawingml/2006/main">
                <a:ext uri="{FF2B5EF4-FFF2-40B4-BE49-F238E27FC236}">
                  <a16:creationId xmlns:a16="http://schemas.microsoft.com/office/drawing/2014/main" id="{00000000-0008-0000-05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0836A8BD" w14:textId="18F62C3C" w:rsidR="00A16DDB" w:rsidRPr="00DC55E0" w:rsidRDefault="00A16DDB" w:rsidP="00DC55E0">
      <w:pPr>
        <w:pStyle w:val="UZEINormaln"/>
      </w:pPr>
      <w:r w:rsidRPr="00D95127">
        <w:t>Z tabulky níže je patrné, že ekonomika pěstování trav na semeno v letech 2017-2019 měla kolísavou tendenci. Nákladová rentabilita se v roce 2018 propadla do záporných hodnot a pěstování trav na semeno bylo zcela nerentabilní. Tento vývoj byl způsoben především výkyvy v dosažených hektarových výnosech, které jsou značně ovlivněny klimatickými podmínkami daného roku. Pokles v hektarových výnosech se následně promítl i do výsledných jednotkových nákladů. Naproti tomu průměrné realizační ceny nevykazují ve sledovaných letech nijak velkou variabilitu. U jednotkových podpor v průběhu let 2017–2019 dochází k mírnému růstu, což se pozitivně promítlo do výsledku souhrnné rentability. Souhrnná rentabilita se přehoupla do kladných hodnot, ve sledovaných letech pohybovala mezi 51,1 % (v roce 2018) a 79,6 % (v roce 2017).</w:t>
      </w:r>
    </w:p>
    <w:p w14:paraId="33F41721" w14:textId="5489D7B9" w:rsidR="00A16DDB" w:rsidRPr="00DC55E0" w:rsidRDefault="00A16DDB" w:rsidP="00DC55E0">
      <w:pPr>
        <w:pStyle w:val="UZEITaB"/>
        <w:rPr>
          <w:rStyle w:val="UZEITaBChar"/>
          <w:b/>
        </w:rPr>
      </w:pPr>
      <w:bookmarkStart w:id="790" w:name="_Toc81738516"/>
      <w:r w:rsidRPr="00DC55E0">
        <w:rPr>
          <w:rStyle w:val="normaltextrun1"/>
          <w:rFonts w:eastAsiaTheme="majorEastAsia"/>
        </w:rPr>
        <w:t>Ekonomika pěstování trav na semeno (</w:t>
      </w:r>
      <w:r w:rsidRPr="00DC55E0">
        <w:rPr>
          <w:rStyle w:val="contextualspellingandgrammarerror"/>
        </w:rPr>
        <w:t>2017–2020</w:t>
      </w:r>
      <w:r w:rsidRPr="00DC55E0">
        <w:rPr>
          <w:rStyle w:val="normaltextrun1"/>
          <w:rFonts w:eastAsiaTheme="majorEastAsia"/>
        </w:rPr>
        <w:t>)</w:t>
      </w:r>
      <w:bookmarkEnd w:id="790"/>
      <w:r w:rsidRPr="00DC55E0">
        <w:rPr>
          <w:rStyle w:val="eop"/>
          <w:rFonts w:eastAsiaTheme="majorEastAsia"/>
        </w:rPr>
        <w:t> </w:t>
      </w:r>
    </w:p>
    <w:p w14:paraId="362816DE" w14:textId="77777777" w:rsidR="00A16DDB" w:rsidRPr="00D95127" w:rsidRDefault="00A16DDB" w:rsidP="00A16DDB">
      <w:pPr>
        <w:spacing w:after="60"/>
        <w:rPr>
          <w:rFonts w:cs="Times New Roman"/>
          <w:szCs w:val="24"/>
          <w:lang w:val="cs-CZ"/>
        </w:rPr>
      </w:pPr>
      <w:r w:rsidRPr="00D95127">
        <w:rPr>
          <w:rFonts w:cs="Times New Roman"/>
          <w:noProof/>
          <w:lang w:val="cs-CZ"/>
        </w:rPr>
        <w:drawing>
          <wp:inline distT="0" distB="0" distL="0" distR="0" wp14:anchorId="3E494505" wp14:editId="1BE9ABC8">
            <wp:extent cx="5800299" cy="1524000"/>
            <wp:effectExtent l="0" t="0" r="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801571" cy="1524334"/>
                    </a:xfrm>
                    <a:prstGeom prst="rect">
                      <a:avLst/>
                    </a:prstGeom>
                    <a:noFill/>
                    <a:ln>
                      <a:noFill/>
                    </a:ln>
                  </pic:spPr>
                </pic:pic>
              </a:graphicData>
            </a:graphic>
          </wp:inline>
        </w:drawing>
      </w:r>
    </w:p>
    <w:p w14:paraId="3B02203C" w14:textId="77777777" w:rsidR="00A16DDB" w:rsidRPr="00D95127" w:rsidRDefault="00A16DDB" w:rsidP="00DC55E0">
      <w:pPr>
        <w:pStyle w:val="UZEIZdroj"/>
      </w:pPr>
      <w:r w:rsidRPr="00D95127">
        <w:t>Zdroj: ÚZEI Praha</w:t>
      </w:r>
    </w:p>
    <w:p w14:paraId="5B9B729D" w14:textId="77777777" w:rsidR="00A16DDB" w:rsidRPr="00D95127" w:rsidRDefault="00A16DDB" w:rsidP="00A16DDB">
      <w:pPr>
        <w:rPr>
          <w:rFonts w:eastAsia="Times New Roman" w:cs="Times New Roman"/>
          <w:i/>
          <w:szCs w:val="24"/>
          <w:vertAlign w:val="superscript"/>
          <w:lang w:val="cs-CZ"/>
        </w:rPr>
      </w:pPr>
    </w:p>
    <w:p w14:paraId="7588E28C" w14:textId="77777777" w:rsidR="00A16DDB" w:rsidRPr="00D95127" w:rsidRDefault="00A16DDB" w:rsidP="00DC55E0">
      <w:pPr>
        <w:pStyle w:val="Nadpis1"/>
      </w:pPr>
      <w:bookmarkStart w:id="791" w:name="_Toc80953313"/>
      <w:bookmarkStart w:id="792" w:name="_Toc81739266"/>
      <w:r w:rsidRPr="00D95127">
        <w:t>Jak závažný je tento problém?</w:t>
      </w:r>
      <w:bookmarkEnd w:id="791"/>
      <w:bookmarkEnd w:id="792"/>
    </w:p>
    <w:p w14:paraId="780DEC58" w14:textId="10D57D7C" w:rsidR="00A16DDB" w:rsidRPr="00DC55E0" w:rsidRDefault="00A16DDB" w:rsidP="00DC55E0">
      <w:pPr>
        <w:pStyle w:val="UZEINormaln"/>
      </w:pPr>
      <w:r w:rsidRPr="00D95127">
        <w:t>Snížení ploch trav na semeno přispělo částečně k „bi-komoditní“ výrobní struktuře zemědělských podniků charakterizované převahou obilovin a řepky s environmentálními důsledky.</w:t>
      </w:r>
    </w:p>
    <w:p w14:paraId="4930F1CA" w14:textId="62DBD38F" w:rsidR="00A16DDB" w:rsidRPr="00D95127" w:rsidRDefault="00DC55E0" w:rsidP="00DC55E0">
      <w:pPr>
        <w:pStyle w:val="UZEITaB"/>
      </w:pPr>
      <w:r>
        <w:t xml:space="preserve"> </w:t>
      </w:r>
      <w:bookmarkStart w:id="793" w:name="_Toc81738517"/>
      <w:r w:rsidR="00A16DDB" w:rsidRPr="00D95127">
        <w:t>Zahraniční obchod - Trávy na semeno</w:t>
      </w:r>
      <w:bookmarkEnd w:id="793"/>
    </w:p>
    <w:tbl>
      <w:tblPr>
        <w:tblW w:w="10215" w:type="dxa"/>
        <w:tblInd w:w="-15" w:type="dxa"/>
        <w:tblCellMar>
          <w:left w:w="70" w:type="dxa"/>
          <w:right w:w="70" w:type="dxa"/>
        </w:tblCellMar>
        <w:tblLook w:val="04A0" w:firstRow="1" w:lastRow="0" w:firstColumn="1" w:lastColumn="0" w:noHBand="0" w:noVBand="1"/>
      </w:tblPr>
      <w:tblGrid>
        <w:gridCol w:w="15"/>
        <w:gridCol w:w="131"/>
        <w:gridCol w:w="829"/>
        <w:gridCol w:w="1120"/>
        <w:gridCol w:w="1120"/>
        <w:gridCol w:w="960"/>
        <w:gridCol w:w="960"/>
        <w:gridCol w:w="1200"/>
        <w:gridCol w:w="960"/>
        <w:gridCol w:w="960"/>
        <w:gridCol w:w="1000"/>
        <w:gridCol w:w="263"/>
        <w:gridCol w:w="697"/>
      </w:tblGrid>
      <w:tr w:rsidR="00A16DDB" w:rsidRPr="00D95127" w14:paraId="5EC3063D" w14:textId="77777777" w:rsidTr="007A627A">
        <w:trPr>
          <w:gridBefore w:val="1"/>
          <w:wBefore w:w="15" w:type="dxa"/>
          <w:trHeight w:val="315"/>
        </w:trPr>
        <w:tc>
          <w:tcPr>
            <w:tcW w:w="960" w:type="dxa"/>
            <w:gridSpan w:val="2"/>
            <w:vMerge w:val="restart"/>
            <w:tcBorders>
              <w:top w:val="single" w:sz="12" w:space="0" w:color="00B050"/>
              <w:left w:val="single" w:sz="12" w:space="0" w:color="00B050"/>
              <w:bottom w:val="nil"/>
              <w:right w:val="single" w:sz="12" w:space="0" w:color="00B050"/>
            </w:tcBorders>
            <w:shd w:val="clear" w:color="000000" w:fill="00B050"/>
            <w:vAlign w:val="center"/>
            <w:hideMark/>
          </w:tcPr>
          <w:p w14:paraId="75B8BC1B" w14:textId="77777777" w:rsidR="00A16DDB" w:rsidRPr="00D95127" w:rsidRDefault="00A16DDB" w:rsidP="007A627A">
            <w:pPr>
              <w:jc w:val="center"/>
              <w:rPr>
                <w:rFonts w:eastAsia="Times New Roman" w:cs="Times New Roman"/>
                <w:b/>
                <w:bCs/>
                <w:color w:val="FFFFFF"/>
                <w:sz w:val="20"/>
                <w:szCs w:val="20"/>
                <w:lang w:val="cs-CZ" w:eastAsia="cs-CZ"/>
              </w:rPr>
            </w:pPr>
            <w:r w:rsidRPr="00D95127">
              <w:rPr>
                <w:rFonts w:eastAsia="Times New Roman" w:cs="Times New Roman"/>
                <w:b/>
                <w:bCs/>
                <w:color w:val="FFFFFF"/>
                <w:sz w:val="20"/>
                <w:szCs w:val="20"/>
                <w:lang w:val="cs-CZ" w:eastAsia="cs-CZ"/>
              </w:rPr>
              <w:t>Rok</w:t>
            </w:r>
          </w:p>
        </w:tc>
        <w:tc>
          <w:tcPr>
            <w:tcW w:w="3200" w:type="dxa"/>
            <w:gridSpan w:val="3"/>
            <w:tcBorders>
              <w:top w:val="single" w:sz="12" w:space="0" w:color="00B050"/>
              <w:left w:val="nil"/>
              <w:bottom w:val="nil"/>
              <w:right w:val="single" w:sz="12" w:space="0" w:color="00B050"/>
            </w:tcBorders>
            <w:shd w:val="clear" w:color="000000" w:fill="00B050"/>
            <w:vAlign w:val="center"/>
            <w:hideMark/>
          </w:tcPr>
          <w:p w14:paraId="4B153CF6" w14:textId="77777777" w:rsidR="00A16DDB" w:rsidRPr="00D95127" w:rsidRDefault="00A16DDB" w:rsidP="007A627A">
            <w:pPr>
              <w:jc w:val="center"/>
              <w:rPr>
                <w:rFonts w:eastAsia="Times New Roman" w:cs="Times New Roman"/>
                <w:b/>
                <w:bCs/>
                <w:color w:val="FFFFFF"/>
                <w:sz w:val="20"/>
                <w:szCs w:val="20"/>
                <w:lang w:val="cs-CZ" w:eastAsia="cs-CZ"/>
              </w:rPr>
            </w:pPr>
            <w:r w:rsidRPr="00D95127">
              <w:rPr>
                <w:rFonts w:eastAsia="Times New Roman" w:cs="Times New Roman"/>
                <w:b/>
                <w:bCs/>
                <w:color w:val="FFFFFF"/>
                <w:sz w:val="20"/>
                <w:szCs w:val="20"/>
                <w:lang w:val="cs-CZ" w:eastAsia="cs-CZ"/>
              </w:rPr>
              <w:t>Vývoz</w:t>
            </w:r>
          </w:p>
        </w:tc>
        <w:tc>
          <w:tcPr>
            <w:tcW w:w="3120" w:type="dxa"/>
            <w:gridSpan w:val="3"/>
            <w:tcBorders>
              <w:top w:val="single" w:sz="12" w:space="0" w:color="00B050"/>
              <w:left w:val="nil"/>
              <w:bottom w:val="nil"/>
              <w:right w:val="nil"/>
            </w:tcBorders>
            <w:shd w:val="clear" w:color="000000" w:fill="00B050"/>
            <w:vAlign w:val="center"/>
            <w:hideMark/>
          </w:tcPr>
          <w:p w14:paraId="08D08B9A" w14:textId="77777777" w:rsidR="00A16DDB" w:rsidRPr="00D95127" w:rsidRDefault="00A16DDB" w:rsidP="007A627A">
            <w:pPr>
              <w:jc w:val="center"/>
              <w:rPr>
                <w:rFonts w:eastAsia="Times New Roman" w:cs="Times New Roman"/>
                <w:b/>
                <w:bCs/>
                <w:color w:val="FFFFFF"/>
                <w:sz w:val="20"/>
                <w:szCs w:val="20"/>
                <w:lang w:val="cs-CZ" w:eastAsia="cs-CZ"/>
              </w:rPr>
            </w:pPr>
            <w:r w:rsidRPr="00D95127">
              <w:rPr>
                <w:rFonts w:eastAsia="Times New Roman" w:cs="Times New Roman"/>
                <w:b/>
                <w:bCs/>
                <w:color w:val="FFFFFF"/>
                <w:sz w:val="20"/>
                <w:szCs w:val="20"/>
                <w:lang w:val="cs-CZ" w:eastAsia="cs-CZ"/>
              </w:rPr>
              <w:t>Dovoz</w:t>
            </w:r>
          </w:p>
        </w:tc>
        <w:tc>
          <w:tcPr>
            <w:tcW w:w="2920" w:type="dxa"/>
            <w:gridSpan w:val="4"/>
            <w:tcBorders>
              <w:top w:val="single" w:sz="12" w:space="0" w:color="00B050"/>
              <w:left w:val="nil"/>
              <w:bottom w:val="nil"/>
              <w:right w:val="single" w:sz="12" w:space="0" w:color="00B050"/>
            </w:tcBorders>
            <w:shd w:val="clear" w:color="000000" w:fill="00B050"/>
            <w:vAlign w:val="center"/>
            <w:hideMark/>
          </w:tcPr>
          <w:p w14:paraId="43884B71" w14:textId="77777777" w:rsidR="00A16DDB" w:rsidRPr="00D95127" w:rsidRDefault="00A16DDB" w:rsidP="007A627A">
            <w:pPr>
              <w:jc w:val="center"/>
              <w:rPr>
                <w:rFonts w:eastAsia="Times New Roman" w:cs="Times New Roman"/>
                <w:b/>
                <w:bCs/>
                <w:color w:val="FFFFFF"/>
                <w:sz w:val="20"/>
                <w:szCs w:val="20"/>
                <w:lang w:val="cs-CZ" w:eastAsia="cs-CZ"/>
              </w:rPr>
            </w:pPr>
            <w:r w:rsidRPr="00D95127">
              <w:rPr>
                <w:rFonts w:eastAsia="Times New Roman" w:cs="Times New Roman"/>
                <w:b/>
                <w:bCs/>
                <w:color w:val="FFFFFF"/>
                <w:sz w:val="20"/>
                <w:szCs w:val="20"/>
                <w:lang w:val="cs-CZ" w:eastAsia="cs-CZ"/>
              </w:rPr>
              <w:t>Saldo</w:t>
            </w:r>
          </w:p>
        </w:tc>
      </w:tr>
      <w:tr w:rsidR="00A16DDB" w:rsidRPr="00D95127" w14:paraId="62C68C6E" w14:textId="77777777" w:rsidTr="007A627A">
        <w:trPr>
          <w:gridBefore w:val="1"/>
          <w:wBefore w:w="15" w:type="dxa"/>
          <w:trHeight w:val="270"/>
        </w:trPr>
        <w:tc>
          <w:tcPr>
            <w:tcW w:w="960" w:type="dxa"/>
            <w:gridSpan w:val="2"/>
            <w:vMerge/>
            <w:tcBorders>
              <w:top w:val="single" w:sz="12" w:space="0" w:color="00B050"/>
              <w:left w:val="single" w:sz="12" w:space="0" w:color="00B050"/>
              <w:bottom w:val="nil"/>
              <w:right w:val="single" w:sz="12" w:space="0" w:color="00B050"/>
            </w:tcBorders>
            <w:vAlign w:val="center"/>
            <w:hideMark/>
          </w:tcPr>
          <w:p w14:paraId="7AD34A58" w14:textId="77777777" w:rsidR="00A16DDB" w:rsidRPr="00D95127" w:rsidRDefault="00A16DDB" w:rsidP="007A627A">
            <w:pPr>
              <w:rPr>
                <w:rFonts w:eastAsia="Times New Roman" w:cs="Times New Roman"/>
                <w:b/>
                <w:bCs/>
                <w:color w:val="FFFFFF"/>
                <w:sz w:val="20"/>
                <w:szCs w:val="20"/>
                <w:lang w:val="cs-CZ" w:eastAsia="cs-CZ"/>
              </w:rPr>
            </w:pPr>
          </w:p>
        </w:tc>
        <w:tc>
          <w:tcPr>
            <w:tcW w:w="1120" w:type="dxa"/>
            <w:tcBorders>
              <w:top w:val="nil"/>
              <w:left w:val="nil"/>
              <w:bottom w:val="nil"/>
              <w:right w:val="nil"/>
            </w:tcBorders>
            <w:shd w:val="clear" w:color="000000" w:fill="00B050"/>
            <w:vAlign w:val="center"/>
            <w:hideMark/>
          </w:tcPr>
          <w:p w14:paraId="16D7F94C" w14:textId="77777777" w:rsidR="00A16DDB" w:rsidRPr="00D95127" w:rsidRDefault="00A16DDB" w:rsidP="007A627A">
            <w:pPr>
              <w:jc w:val="center"/>
              <w:rPr>
                <w:rFonts w:eastAsia="Times New Roman" w:cs="Times New Roman"/>
                <w:b/>
                <w:bCs/>
                <w:color w:val="FFFFFF"/>
                <w:sz w:val="20"/>
                <w:szCs w:val="20"/>
                <w:lang w:val="cs-CZ" w:eastAsia="cs-CZ"/>
              </w:rPr>
            </w:pPr>
            <w:r w:rsidRPr="00D95127">
              <w:rPr>
                <w:rFonts w:eastAsia="Times New Roman" w:cs="Times New Roman"/>
                <w:b/>
                <w:bCs/>
                <w:color w:val="FFFFFF"/>
                <w:sz w:val="20"/>
                <w:szCs w:val="20"/>
                <w:lang w:val="cs-CZ" w:eastAsia="cs-CZ"/>
              </w:rPr>
              <w:t>tun</w:t>
            </w:r>
          </w:p>
        </w:tc>
        <w:tc>
          <w:tcPr>
            <w:tcW w:w="1120" w:type="dxa"/>
            <w:tcBorders>
              <w:top w:val="nil"/>
              <w:left w:val="nil"/>
              <w:bottom w:val="nil"/>
              <w:right w:val="nil"/>
            </w:tcBorders>
            <w:shd w:val="clear" w:color="000000" w:fill="00B050"/>
            <w:vAlign w:val="center"/>
            <w:hideMark/>
          </w:tcPr>
          <w:p w14:paraId="76839EAA" w14:textId="77777777" w:rsidR="00A16DDB" w:rsidRPr="00D95127" w:rsidRDefault="00A16DDB" w:rsidP="007A627A">
            <w:pPr>
              <w:jc w:val="center"/>
              <w:rPr>
                <w:rFonts w:eastAsia="Times New Roman" w:cs="Times New Roman"/>
                <w:b/>
                <w:bCs/>
                <w:color w:val="FFFFFF"/>
                <w:sz w:val="20"/>
                <w:szCs w:val="20"/>
                <w:lang w:val="cs-CZ" w:eastAsia="cs-CZ"/>
              </w:rPr>
            </w:pPr>
            <w:r w:rsidRPr="00D95127">
              <w:rPr>
                <w:rFonts w:eastAsia="Times New Roman" w:cs="Times New Roman"/>
                <w:b/>
                <w:bCs/>
                <w:color w:val="FFFFFF"/>
                <w:sz w:val="20"/>
                <w:szCs w:val="20"/>
                <w:lang w:val="cs-CZ" w:eastAsia="cs-CZ"/>
              </w:rPr>
              <w:t>mil. Kč</w:t>
            </w:r>
          </w:p>
        </w:tc>
        <w:tc>
          <w:tcPr>
            <w:tcW w:w="960" w:type="dxa"/>
            <w:tcBorders>
              <w:top w:val="nil"/>
              <w:left w:val="nil"/>
              <w:bottom w:val="nil"/>
              <w:right w:val="single" w:sz="12" w:space="0" w:color="00B050"/>
            </w:tcBorders>
            <w:shd w:val="clear" w:color="000000" w:fill="00B050"/>
            <w:vAlign w:val="center"/>
            <w:hideMark/>
          </w:tcPr>
          <w:p w14:paraId="326AD998" w14:textId="77777777" w:rsidR="00A16DDB" w:rsidRPr="00D95127" w:rsidRDefault="00A16DDB" w:rsidP="007A627A">
            <w:pPr>
              <w:jc w:val="center"/>
              <w:rPr>
                <w:rFonts w:eastAsia="Times New Roman" w:cs="Times New Roman"/>
                <w:b/>
                <w:bCs/>
                <w:color w:val="FFFFFF"/>
                <w:sz w:val="20"/>
                <w:szCs w:val="20"/>
                <w:lang w:val="cs-CZ" w:eastAsia="cs-CZ"/>
              </w:rPr>
            </w:pPr>
            <w:r w:rsidRPr="00D95127">
              <w:rPr>
                <w:rFonts w:eastAsia="Times New Roman" w:cs="Times New Roman"/>
                <w:b/>
                <w:bCs/>
                <w:color w:val="FFFFFF"/>
                <w:sz w:val="20"/>
                <w:szCs w:val="20"/>
                <w:lang w:val="cs-CZ" w:eastAsia="cs-CZ"/>
              </w:rPr>
              <w:t>Kč/kg</w:t>
            </w:r>
          </w:p>
        </w:tc>
        <w:tc>
          <w:tcPr>
            <w:tcW w:w="960" w:type="dxa"/>
            <w:tcBorders>
              <w:top w:val="nil"/>
              <w:left w:val="nil"/>
              <w:bottom w:val="nil"/>
              <w:right w:val="nil"/>
            </w:tcBorders>
            <w:shd w:val="clear" w:color="000000" w:fill="00B050"/>
            <w:vAlign w:val="center"/>
            <w:hideMark/>
          </w:tcPr>
          <w:p w14:paraId="482A5D2E" w14:textId="77777777" w:rsidR="00A16DDB" w:rsidRPr="00D95127" w:rsidRDefault="00A16DDB" w:rsidP="007A627A">
            <w:pPr>
              <w:jc w:val="center"/>
              <w:rPr>
                <w:rFonts w:eastAsia="Times New Roman" w:cs="Times New Roman"/>
                <w:b/>
                <w:bCs/>
                <w:color w:val="FFFFFF"/>
                <w:sz w:val="20"/>
                <w:szCs w:val="20"/>
                <w:lang w:val="cs-CZ" w:eastAsia="cs-CZ"/>
              </w:rPr>
            </w:pPr>
            <w:r w:rsidRPr="00D95127">
              <w:rPr>
                <w:rFonts w:eastAsia="Times New Roman" w:cs="Times New Roman"/>
                <w:b/>
                <w:bCs/>
                <w:color w:val="FFFFFF"/>
                <w:sz w:val="20"/>
                <w:szCs w:val="20"/>
                <w:lang w:val="cs-CZ" w:eastAsia="cs-CZ"/>
              </w:rPr>
              <w:t>tun</w:t>
            </w:r>
          </w:p>
        </w:tc>
        <w:tc>
          <w:tcPr>
            <w:tcW w:w="1200" w:type="dxa"/>
            <w:tcBorders>
              <w:top w:val="nil"/>
              <w:left w:val="nil"/>
              <w:bottom w:val="nil"/>
              <w:right w:val="nil"/>
            </w:tcBorders>
            <w:shd w:val="clear" w:color="000000" w:fill="00B050"/>
            <w:vAlign w:val="center"/>
            <w:hideMark/>
          </w:tcPr>
          <w:p w14:paraId="1C459A0F" w14:textId="77777777" w:rsidR="00A16DDB" w:rsidRPr="00D95127" w:rsidRDefault="00A16DDB" w:rsidP="007A627A">
            <w:pPr>
              <w:jc w:val="center"/>
              <w:rPr>
                <w:rFonts w:eastAsia="Times New Roman" w:cs="Times New Roman"/>
                <w:b/>
                <w:bCs/>
                <w:color w:val="FFFFFF"/>
                <w:sz w:val="20"/>
                <w:szCs w:val="20"/>
                <w:lang w:val="cs-CZ" w:eastAsia="cs-CZ"/>
              </w:rPr>
            </w:pPr>
            <w:r w:rsidRPr="00D95127">
              <w:rPr>
                <w:rFonts w:eastAsia="Times New Roman" w:cs="Times New Roman"/>
                <w:b/>
                <w:bCs/>
                <w:color w:val="FFFFFF"/>
                <w:sz w:val="20"/>
                <w:szCs w:val="20"/>
                <w:lang w:val="cs-CZ" w:eastAsia="cs-CZ"/>
              </w:rPr>
              <w:t>mil. Kč</w:t>
            </w:r>
          </w:p>
        </w:tc>
        <w:tc>
          <w:tcPr>
            <w:tcW w:w="960" w:type="dxa"/>
            <w:tcBorders>
              <w:top w:val="nil"/>
              <w:left w:val="nil"/>
              <w:bottom w:val="nil"/>
              <w:right w:val="nil"/>
            </w:tcBorders>
            <w:shd w:val="clear" w:color="000000" w:fill="00B050"/>
            <w:vAlign w:val="center"/>
            <w:hideMark/>
          </w:tcPr>
          <w:p w14:paraId="3533FDF4" w14:textId="77777777" w:rsidR="00A16DDB" w:rsidRPr="00D95127" w:rsidRDefault="00A16DDB" w:rsidP="007A627A">
            <w:pPr>
              <w:jc w:val="center"/>
              <w:rPr>
                <w:rFonts w:eastAsia="Times New Roman" w:cs="Times New Roman"/>
                <w:b/>
                <w:bCs/>
                <w:color w:val="FFFFFF"/>
                <w:sz w:val="20"/>
                <w:szCs w:val="20"/>
                <w:lang w:val="cs-CZ" w:eastAsia="cs-CZ"/>
              </w:rPr>
            </w:pPr>
            <w:r w:rsidRPr="00D95127">
              <w:rPr>
                <w:rFonts w:eastAsia="Times New Roman" w:cs="Times New Roman"/>
                <w:b/>
                <w:bCs/>
                <w:color w:val="FFFFFF"/>
                <w:sz w:val="20"/>
                <w:szCs w:val="20"/>
                <w:lang w:val="cs-CZ" w:eastAsia="cs-CZ"/>
              </w:rPr>
              <w:t>Kč/kg</w:t>
            </w:r>
          </w:p>
        </w:tc>
        <w:tc>
          <w:tcPr>
            <w:tcW w:w="960" w:type="dxa"/>
            <w:tcBorders>
              <w:top w:val="nil"/>
              <w:left w:val="nil"/>
              <w:bottom w:val="nil"/>
              <w:right w:val="nil"/>
            </w:tcBorders>
            <w:shd w:val="clear" w:color="000000" w:fill="00B050"/>
            <w:vAlign w:val="center"/>
            <w:hideMark/>
          </w:tcPr>
          <w:p w14:paraId="26A23E94" w14:textId="77777777" w:rsidR="00A16DDB" w:rsidRPr="00D95127" w:rsidRDefault="00A16DDB" w:rsidP="007A627A">
            <w:pPr>
              <w:jc w:val="center"/>
              <w:rPr>
                <w:rFonts w:eastAsia="Times New Roman" w:cs="Times New Roman"/>
                <w:b/>
                <w:bCs/>
                <w:color w:val="FFFFFF"/>
                <w:sz w:val="20"/>
                <w:szCs w:val="20"/>
                <w:lang w:val="cs-CZ" w:eastAsia="cs-CZ"/>
              </w:rPr>
            </w:pPr>
            <w:r w:rsidRPr="00D95127">
              <w:rPr>
                <w:rFonts w:eastAsia="Times New Roman" w:cs="Times New Roman"/>
                <w:b/>
                <w:bCs/>
                <w:color w:val="FFFFFF"/>
                <w:sz w:val="20"/>
                <w:szCs w:val="20"/>
                <w:lang w:val="cs-CZ" w:eastAsia="cs-CZ"/>
              </w:rPr>
              <w:t>tun</w:t>
            </w:r>
          </w:p>
        </w:tc>
        <w:tc>
          <w:tcPr>
            <w:tcW w:w="1000" w:type="dxa"/>
            <w:tcBorders>
              <w:top w:val="nil"/>
              <w:left w:val="nil"/>
              <w:bottom w:val="nil"/>
              <w:right w:val="nil"/>
            </w:tcBorders>
            <w:shd w:val="clear" w:color="000000" w:fill="00B050"/>
            <w:vAlign w:val="center"/>
            <w:hideMark/>
          </w:tcPr>
          <w:p w14:paraId="39476B70" w14:textId="77777777" w:rsidR="00A16DDB" w:rsidRPr="00D95127" w:rsidRDefault="00A16DDB" w:rsidP="007A627A">
            <w:pPr>
              <w:jc w:val="center"/>
              <w:rPr>
                <w:rFonts w:eastAsia="Times New Roman" w:cs="Times New Roman"/>
                <w:b/>
                <w:bCs/>
                <w:color w:val="FFFFFF"/>
                <w:sz w:val="20"/>
                <w:szCs w:val="20"/>
                <w:lang w:val="cs-CZ" w:eastAsia="cs-CZ"/>
              </w:rPr>
            </w:pPr>
            <w:r w:rsidRPr="00D95127">
              <w:rPr>
                <w:rFonts w:eastAsia="Times New Roman" w:cs="Times New Roman"/>
                <w:b/>
                <w:bCs/>
                <w:color w:val="FFFFFF"/>
                <w:sz w:val="20"/>
                <w:szCs w:val="20"/>
                <w:lang w:val="cs-CZ" w:eastAsia="cs-CZ"/>
              </w:rPr>
              <w:t>mil. Kč</w:t>
            </w:r>
          </w:p>
        </w:tc>
        <w:tc>
          <w:tcPr>
            <w:tcW w:w="960" w:type="dxa"/>
            <w:gridSpan w:val="2"/>
            <w:tcBorders>
              <w:top w:val="nil"/>
              <w:left w:val="nil"/>
              <w:bottom w:val="nil"/>
              <w:right w:val="single" w:sz="12" w:space="0" w:color="00B050"/>
            </w:tcBorders>
            <w:shd w:val="clear" w:color="000000" w:fill="00B050"/>
            <w:vAlign w:val="center"/>
            <w:hideMark/>
          </w:tcPr>
          <w:p w14:paraId="03F17FF5" w14:textId="77777777" w:rsidR="00A16DDB" w:rsidRPr="00D95127" w:rsidRDefault="00A16DDB" w:rsidP="007A627A">
            <w:pPr>
              <w:jc w:val="center"/>
              <w:rPr>
                <w:rFonts w:eastAsia="Times New Roman" w:cs="Times New Roman"/>
                <w:b/>
                <w:bCs/>
                <w:color w:val="FFFFFF"/>
                <w:sz w:val="20"/>
                <w:szCs w:val="20"/>
                <w:lang w:val="cs-CZ" w:eastAsia="cs-CZ"/>
              </w:rPr>
            </w:pPr>
            <w:r w:rsidRPr="00D95127">
              <w:rPr>
                <w:rFonts w:eastAsia="Times New Roman" w:cs="Times New Roman"/>
                <w:b/>
                <w:bCs/>
                <w:color w:val="FFFFFF"/>
                <w:sz w:val="20"/>
                <w:szCs w:val="20"/>
                <w:lang w:val="cs-CZ" w:eastAsia="cs-CZ"/>
              </w:rPr>
              <w:t>Kč/kg</w:t>
            </w:r>
          </w:p>
        </w:tc>
      </w:tr>
      <w:tr w:rsidR="00A16DDB" w:rsidRPr="00D95127" w14:paraId="02E6FAB1" w14:textId="77777777" w:rsidTr="007A627A">
        <w:trPr>
          <w:gridBefore w:val="1"/>
          <w:wBefore w:w="15" w:type="dxa"/>
          <w:trHeight w:val="270"/>
        </w:trPr>
        <w:tc>
          <w:tcPr>
            <w:tcW w:w="960" w:type="dxa"/>
            <w:gridSpan w:val="2"/>
            <w:tcBorders>
              <w:top w:val="single" w:sz="12" w:space="0" w:color="00B050"/>
              <w:left w:val="single" w:sz="12" w:space="0" w:color="00B050"/>
              <w:bottom w:val="single" w:sz="4" w:space="0" w:color="000000"/>
              <w:right w:val="single" w:sz="12" w:space="0" w:color="00B050"/>
            </w:tcBorders>
            <w:shd w:val="clear" w:color="auto" w:fill="auto"/>
            <w:vAlign w:val="center"/>
            <w:hideMark/>
          </w:tcPr>
          <w:p w14:paraId="76063B2A"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2014</w:t>
            </w:r>
          </w:p>
        </w:tc>
        <w:tc>
          <w:tcPr>
            <w:tcW w:w="1120" w:type="dxa"/>
            <w:tcBorders>
              <w:top w:val="single" w:sz="12" w:space="0" w:color="00B050"/>
              <w:left w:val="nil"/>
              <w:bottom w:val="single" w:sz="4" w:space="0" w:color="auto"/>
              <w:right w:val="nil"/>
            </w:tcBorders>
            <w:shd w:val="clear" w:color="auto" w:fill="auto"/>
            <w:vAlign w:val="center"/>
            <w:hideMark/>
          </w:tcPr>
          <w:p w14:paraId="6818A6FA"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6 801</w:t>
            </w:r>
          </w:p>
        </w:tc>
        <w:tc>
          <w:tcPr>
            <w:tcW w:w="1120" w:type="dxa"/>
            <w:tcBorders>
              <w:top w:val="single" w:sz="12" w:space="0" w:color="00B050"/>
              <w:left w:val="single" w:sz="4" w:space="0" w:color="00B050"/>
              <w:bottom w:val="single" w:sz="4" w:space="0" w:color="auto"/>
              <w:right w:val="single" w:sz="4" w:space="0" w:color="00B050"/>
            </w:tcBorders>
            <w:shd w:val="clear" w:color="auto" w:fill="auto"/>
            <w:vAlign w:val="center"/>
            <w:hideMark/>
          </w:tcPr>
          <w:p w14:paraId="14CAB43E"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285 741</w:t>
            </w:r>
          </w:p>
        </w:tc>
        <w:tc>
          <w:tcPr>
            <w:tcW w:w="960" w:type="dxa"/>
            <w:tcBorders>
              <w:top w:val="single" w:sz="12" w:space="0" w:color="00B050"/>
              <w:left w:val="nil"/>
              <w:bottom w:val="single" w:sz="4" w:space="0" w:color="auto"/>
              <w:right w:val="single" w:sz="12" w:space="0" w:color="00B050"/>
            </w:tcBorders>
            <w:shd w:val="clear" w:color="auto" w:fill="auto"/>
            <w:vAlign w:val="center"/>
            <w:hideMark/>
          </w:tcPr>
          <w:p w14:paraId="3F7165D2"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42,02</w:t>
            </w:r>
          </w:p>
        </w:tc>
        <w:tc>
          <w:tcPr>
            <w:tcW w:w="960" w:type="dxa"/>
            <w:tcBorders>
              <w:top w:val="single" w:sz="12" w:space="0" w:color="00B050"/>
              <w:left w:val="nil"/>
              <w:bottom w:val="single" w:sz="4" w:space="0" w:color="auto"/>
              <w:right w:val="nil"/>
            </w:tcBorders>
            <w:shd w:val="clear" w:color="auto" w:fill="auto"/>
            <w:vAlign w:val="center"/>
            <w:hideMark/>
          </w:tcPr>
          <w:p w14:paraId="7C5C0513"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2 646</w:t>
            </w:r>
          </w:p>
        </w:tc>
        <w:tc>
          <w:tcPr>
            <w:tcW w:w="1200" w:type="dxa"/>
            <w:tcBorders>
              <w:top w:val="single" w:sz="12" w:space="0" w:color="00B050"/>
              <w:left w:val="single" w:sz="4" w:space="0" w:color="00B050"/>
              <w:bottom w:val="single" w:sz="4" w:space="0" w:color="auto"/>
              <w:right w:val="single" w:sz="4" w:space="0" w:color="00B050"/>
            </w:tcBorders>
            <w:shd w:val="clear" w:color="auto" w:fill="auto"/>
            <w:vAlign w:val="center"/>
            <w:hideMark/>
          </w:tcPr>
          <w:p w14:paraId="713B974C"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121 642</w:t>
            </w:r>
          </w:p>
        </w:tc>
        <w:tc>
          <w:tcPr>
            <w:tcW w:w="960" w:type="dxa"/>
            <w:tcBorders>
              <w:top w:val="single" w:sz="12" w:space="0" w:color="00B050"/>
              <w:left w:val="nil"/>
              <w:bottom w:val="single" w:sz="4" w:space="0" w:color="auto"/>
              <w:right w:val="single" w:sz="12" w:space="0" w:color="00B050"/>
            </w:tcBorders>
            <w:shd w:val="clear" w:color="auto" w:fill="auto"/>
            <w:vAlign w:val="center"/>
            <w:hideMark/>
          </w:tcPr>
          <w:p w14:paraId="16281FF2"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45,97</w:t>
            </w:r>
          </w:p>
        </w:tc>
        <w:tc>
          <w:tcPr>
            <w:tcW w:w="960" w:type="dxa"/>
            <w:tcBorders>
              <w:top w:val="single" w:sz="12" w:space="0" w:color="00B050"/>
              <w:left w:val="nil"/>
              <w:bottom w:val="single" w:sz="4" w:space="0" w:color="auto"/>
              <w:right w:val="nil"/>
            </w:tcBorders>
            <w:shd w:val="clear" w:color="auto" w:fill="auto"/>
            <w:vAlign w:val="center"/>
            <w:hideMark/>
          </w:tcPr>
          <w:p w14:paraId="1C5E3898"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4 155</w:t>
            </w:r>
          </w:p>
        </w:tc>
        <w:tc>
          <w:tcPr>
            <w:tcW w:w="1000" w:type="dxa"/>
            <w:tcBorders>
              <w:top w:val="single" w:sz="12" w:space="0" w:color="00B050"/>
              <w:left w:val="single" w:sz="4" w:space="0" w:color="00B050"/>
              <w:bottom w:val="single" w:sz="4" w:space="0" w:color="auto"/>
              <w:right w:val="single" w:sz="4" w:space="0" w:color="00B050"/>
            </w:tcBorders>
            <w:shd w:val="clear" w:color="auto" w:fill="auto"/>
            <w:vAlign w:val="center"/>
            <w:hideMark/>
          </w:tcPr>
          <w:p w14:paraId="65ADE31A"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164 099</w:t>
            </w:r>
          </w:p>
        </w:tc>
        <w:tc>
          <w:tcPr>
            <w:tcW w:w="960" w:type="dxa"/>
            <w:gridSpan w:val="2"/>
            <w:tcBorders>
              <w:top w:val="single" w:sz="12" w:space="0" w:color="00B050"/>
              <w:left w:val="nil"/>
              <w:bottom w:val="single" w:sz="4" w:space="0" w:color="auto"/>
              <w:right w:val="single" w:sz="12" w:space="0" w:color="00B050"/>
            </w:tcBorders>
            <w:shd w:val="clear" w:color="auto" w:fill="auto"/>
            <w:vAlign w:val="center"/>
            <w:hideMark/>
          </w:tcPr>
          <w:p w14:paraId="5AEE4C03"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-3,96</w:t>
            </w:r>
          </w:p>
        </w:tc>
      </w:tr>
      <w:tr w:rsidR="00A16DDB" w:rsidRPr="00D95127" w14:paraId="7A5B8C93" w14:textId="77777777" w:rsidTr="007A627A">
        <w:trPr>
          <w:gridBefore w:val="1"/>
          <w:wBefore w:w="15" w:type="dxa"/>
          <w:trHeight w:val="255"/>
        </w:trPr>
        <w:tc>
          <w:tcPr>
            <w:tcW w:w="960" w:type="dxa"/>
            <w:gridSpan w:val="2"/>
            <w:tcBorders>
              <w:top w:val="nil"/>
              <w:left w:val="single" w:sz="12" w:space="0" w:color="00B050"/>
              <w:bottom w:val="single" w:sz="4" w:space="0" w:color="000000"/>
              <w:right w:val="single" w:sz="12" w:space="0" w:color="00B050"/>
            </w:tcBorders>
            <w:shd w:val="clear" w:color="auto" w:fill="auto"/>
            <w:vAlign w:val="center"/>
            <w:hideMark/>
          </w:tcPr>
          <w:p w14:paraId="722C057B"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2015</w:t>
            </w:r>
          </w:p>
        </w:tc>
        <w:tc>
          <w:tcPr>
            <w:tcW w:w="1120" w:type="dxa"/>
            <w:tcBorders>
              <w:top w:val="nil"/>
              <w:left w:val="nil"/>
              <w:bottom w:val="single" w:sz="4" w:space="0" w:color="auto"/>
              <w:right w:val="nil"/>
            </w:tcBorders>
            <w:shd w:val="clear" w:color="auto" w:fill="auto"/>
            <w:vAlign w:val="center"/>
            <w:hideMark/>
          </w:tcPr>
          <w:p w14:paraId="1DDB2DD5"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7 676</w:t>
            </w:r>
          </w:p>
        </w:tc>
        <w:tc>
          <w:tcPr>
            <w:tcW w:w="1120" w:type="dxa"/>
            <w:tcBorders>
              <w:top w:val="nil"/>
              <w:left w:val="single" w:sz="4" w:space="0" w:color="00B050"/>
              <w:bottom w:val="single" w:sz="4" w:space="0" w:color="auto"/>
              <w:right w:val="single" w:sz="4" w:space="0" w:color="00B050"/>
            </w:tcBorders>
            <w:shd w:val="clear" w:color="auto" w:fill="auto"/>
            <w:vAlign w:val="center"/>
            <w:hideMark/>
          </w:tcPr>
          <w:p w14:paraId="7C7A0F61"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284 786</w:t>
            </w:r>
          </w:p>
        </w:tc>
        <w:tc>
          <w:tcPr>
            <w:tcW w:w="960" w:type="dxa"/>
            <w:tcBorders>
              <w:top w:val="nil"/>
              <w:left w:val="nil"/>
              <w:bottom w:val="single" w:sz="4" w:space="0" w:color="auto"/>
              <w:right w:val="single" w:sz="12" w:space="0" w:color="00B050"/>
            </w:tcBorders>
            <w:shd w:val="clear" w:color="auto" w:fill="auto"/>
            <w:vAlign w:val="center"/>
            <w:hideMark/>
          </w:tcPr>
          <w:p w14:paraId="71ACF59F"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37,10</w:t>
            </w:r>
          </w:p>
        </w:tc>
        <w:tc>
          <w:tcPr>
            <w:tcW w:w="960" w:type="dxa"/>
            <w:tcBorders>
              <w:top w:val="nil"/>
              <w:left w:val="nil"/>
              <w:bottom w:val="single" w:sz="4" w:space="0" w:color="auto"/>
              <w:right w:val="nil"/>
            </w:tcBorders>
            <w:shd w:val="clear" w:color="auto" w:fill="auto"/>
            <w:vAlign w:val="center"/>
            <w:hideMark/>
          </w:tcPr>
          <w:p w14:paraId="1357B87F"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3 480</w:t>
            </w:r>
          </w:p>
        </w:tc>
        <w:tc>
          <w:tcPr>
            <w:tcW w:w="1200" w:type="dxa"/>
            <w:tcBorders>
              <w:top w:val="nil"/>
              <w:left w:val="single" w:sz="4" w:space="0" w:color="00B050"/>
              <w:bottom w:val="single" w:sz="4" w:space="0" w:color="auto"/>
              <w:right w:val="single" w:sz="4" w:space="0" w:color="00B050"/>
            </w:tcBorders>
            <w:shd w:val="clear" w:color="auto" w:fill="auto"/>
            <w:vAlign w:val="center"/>
            <w:hideMark/>
          </w:tcPr>
          <w:p w14:paraId="274D8A9F"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158 438</w:t>
            </w:r>
          </w:p>
        </w:tc>
        <w:tc>
          <w:tcPr>
            <w:tcW w:w="960" w:type="dxa"/>
            <w:tcBorders>
              <w:top w:val="nil"/>
              <w:left w:val="nil"/>
              <w:bottom w:val="single" w:sz="4" w:space="0" w:color="auto"/>
              <w:right w:val="single" w:sz="12" w:space="0" w:color="00B050"/>
            </w:tcBorders>
            <w:shd w:val="clear" w:color="auto" w:fill="auto"/>
            <w:vAlign w:val="center"/>
            <w:hideMark/>
          </w:tcPr>
          <w:p w14:paraId="64CBCF39"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45,53</w:t>
            </w:r>
          </w:p>
        </w:tc>
        <w:tc>
          <w:tcPr>
            <w:tcW w:w="960" w:type="dxa"/>
            <w:tcBorders>
              <w:top w:val="nil"/>
              <w:left w:val="nil"/>
              <w:bottom w:val="single" w:sz="4" w:space="0" w:color="auto"/>
              <w:right w:val="nil"/>
            </w:tcBorders>
            <w:shd w:val="clear" w:color="auto" w:fill="auto"/>
            <w:vAlign w:val="center"/>
            <w:hideMark/>
          </w:tcPr>
          <w:p w14:paraId="79D9B943"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4 197</w:t>
            </w:r>
          </w:p>
        </w:tc>
        <w:tc>
          <w:tcPr>
            <w:tcW w:w="1000" w:type="dxa"/>
            <w:tcBorders>
              <w:top w:val="nil"/>
              <w:left w:val="single" w:sz="4" w:space="0" w:color="00B050"/>
              <w:bottom w:val="single" w:sz="4" w:space="0" w:color="auto"/>
              <w:right w:val="single" w:sz="4" w:space="0" w:color="00B050"/>
            </w:tcBorders>
            <w:shd w:val="clear" w:color="auto" w:fill="auto"/>
            <w:vAlign w:val="center"/>
            <w:hideMark/>
          </w:tcPr>
          <w:p w14:paraId="30A52D56"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126 348</w:t>
            </w:r>
          </w:p>
        </w:tc>
        <w:tc>
          <w:tcPr>
            <w:tcW w:w="960" w:type="dxa"/>
            <w:gridSpan w:val="2"/>
            <w:tcBorders>
              <w:top w:val="nil"/>
              <w:left w:val="nil"/>
              <w:bottom w:val="single" w:sz="4" w:space="0" w:color="auto"/>
              <w:right w:val="single" w:sz="12" w:space="0" w:color="00B050"/>
            </w:tcBorders>
            <w:shd w:val="clear" w:color="auto" w:fill="auto"/>
            <w:vAlign w:val="center"/>
            <w:hideMark/>
          </w:tcPr>
          <w:p w14:paraId="4BC90898"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-8,43</w:t>
            </w:r>
          </w:p>
        </w:tc>
      </w:tr>
      <w:tr w:rsidR="00A16DDB" w:rsidRPr="00D95127" w14:paraId="384849E8" w14:textId="77777777" w:rsidTr="007A627A">
        <w:trPr>
          <w:gridBefore w:val="1"/>
          <w:wBefore w:w="15" w:type="dxa"/>
          <w:trHeight w:val="255"/>
        </w:trPr>
        <w:tc>
          <w:tcPr>
            <w:tcW w:w="960" w:type="dxa"/>
            <w:gridSpan w:val="2"/>
            <w:tcBorders>
              <w:top w:val="nil"/>
              <w:left w:val="single" w:sz="12" w:space="0" w:color="00B050"/>
              <w:bottom w:val="single" w:sz="4" w:space="0" w:color="000000"/>
              <w:right w:val="single" w:sz="12" w:space="0" w:color="00B050"/>
            </w:tcBorders>
            <w:shd w:val="clear" w:color="auto" w:fill="auto"/>
            <w:vAlign w:val="center"/>
            <w:hideMark/>
          </w:tcPr>
          <w:p w14:paraId="252CF00B"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2016</w:t>
            </w:r>
          </w:p>
        </w:tc>
        <w:tc>
          <w:tcPr>
            <w:tcW w:w="1120" w:type="dxa"/>
            <w:tcBorders>
              <w:top w:val="nil"/>
              <w:left w:val="nil"/>
              <w:bottom w:val="single" w:sz="4" w:space="0" w:color="auto"/>
              <w:right w:val="nil"/>
            </w:tcBorders>
            <w:shd w:val="clear" w:color="auto" w:fill="auto"/>
            <w:vAlign w:val="center"/>
            <w:hideMark/>
          </w:tcPr>
          <w:p w14:paraId="4801AD96"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7 205</w:t>
            </w:r>
          </w:p>
        </w:tc>
        <w:tc>
          <w:tcPr>
            <w:tcW w:w="1120" w:type="dxa"/>
            <w:tcBorders>
              <w:top w:val="nil"/>
              <w:left w:val="single" w:sz="4" w:space="0" w:color="00B050"/>
              <w:bottom w:val="single" w:sz="4" w:space="0" w:color="auto"/>
              <w:right w:val="single" w:sz="4" w:space="0" w:color="00B050"/>
            </w:tcBorders>
            <w:shd w:val="clear" w:color="auto" w:fill="auto"/>
            <w:vAlign w:val="center"/>
            <w:hideMark/>
          </w:tcPr>
          <w:p w14:paraId="036D3A4C"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283 163</w:t>
            </w:r>
          </w:p>
        </w:tc>
        <w:tc>
          <w:tcPr>
            <w:tcW w:w="960" w:type="dxa"/>
            <w:tcBorders>
              <w:top w:val="nil"/>
              <w:left w:val="nil"/>
              <w:bottom w:val="single" w:sz="4" w:space="0" w:color="auto"/>
              <w:right w:val="single" w:sz="12" w:space="0" w:color="00B050"/>
            </w:tcBorders>
            <w:shd w:val="clear" w:color="auto" w:fill="auto"/>
            <w:vAlign w:val="center"/>
            <w:hideMark/>
          </w:tcPr>
          <w:p w14:paraId="1062312E"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39,30</w:t>
            </w:r>
          </w:p>
        </w:tc>
        <w:tc>
          <w:tcPr>
            <w:tcW w:w="960" w:type="dxa"/>
            <w:tcBorders>
              <w:top w:val="nil"/>
              <w:left w:val="nil"/>
              <w:bottom w:val="single" w:sz="4" w:space="0" w:color="auto"/>
              <w:right w:val="nil"/>
            </w:tcBorders>
            <w:shd w:val="clear" w:color="auto" w:fill="auto"/>
            <w:vAlign w:val="center"/>
            <w:hideMark/>
          </w:tcPr>
          <w:p w14:paraId="220574B3"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3 128</w:t>
            </w:r>
          </w:p>
        </w:tc>
        <w:tc>
          <w:tcPr>
            <w:tcW w:w="1200" w:type="dxa"/>
            <w:tcBorders>
              <w:top w:val="nil"/>
              <w:left w:val="single" w:sz="4" w:space="0" w:color="00B050"/>
              <w:bottom w:val="single" w:sz="4" w:space="0" w:color="auto"/>
              <w:right w:val="single" w:sz="4" w:space="0" w:color="00B050"/>
            </w:tcBorders>
            <w:shd w:val="clear" w:color="auto" w:fill="auto"/>
            <w:vAlign w:val="center"/>
            <w:hideMark/>
          </w:tcPr>
          <w:p w14:paraId="465AB957"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148 941</w:t>
            </w:r>
          </w:p>
        </w:tc>
        <w:tc>
          <w:tcPr>
            <w:tcW w:w="960" w:type="dxa"/>
            <w:tcBorders>
              <w:top w:val="nil"/>
              <w:left w:val="nil"/>
              <w:bottom w:val="single" w:sz="4" w:space="0" w:color="auto"/>
              <w:right w:val="single" w:sz="12" w:space="0" w:color="00B050"/>
            </w:tcBorders>
            <w:shd w:val="clear" w:color="auto" w:fill="auto"/>
            <w:vAlign w:val="center"/>
            <w:hideMark/>
          </w:tcPr>
          <w:p w14:paraId="21850EEE"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47,62</w:t>
            </w:r>
          </w:p>
        </w:tc>
        <w:tc>
          <w:tcPr>
            <w:tcW w:w="960" w:type="dxa"/>
            <w:tcBorders>
              <w:top w:val="nil"/>
              <w:left w:val="nil"/>
              <w:bottom w:val="single" w:sz="4" w:space="0" w:color="auto"/>
              <w:right w:val="nil"/>
            </w:tcBorders>
            <w:shd w:val="clear" w:color="auto" w:fill="auto"/>
            <w:vAlign w:val="center"/>
            <w:hideMark/>
          </w:tcPr>
          <w:p w14:paraId="089A8F84"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4 078</w:t>
            </w:r>
          </w:p>
        </w:tc>
        <w:tc>
          <w:tcPr>
            <w:tcW w:w="1000" w:type="dxa"/>
            <w:tcBorders>
              <w:top w:val="nil"/>
              <w:left w:val="single" w:sz="4" w:space="0" w:color="00B050"/>
              <w:bottom w:val="single" w:sz="4" w:space="0" w:color="auto"/>
              <w:right w:val="single" w:sz="4" w:space="0" w:color="00B050"/>
            </w:tcBorders>
            <w:shd w:val="clear" w:color="auto" w:fill="auto"/>
            <w:vAlign w:val="center"/>
            <w:hideMark/>
          </w:tcPr>
          <w:p w14:paraId="2C806045"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134 222</w:t>
            </w:r>
          </w:p>
        </w:tc>
        <w:tc>
          <w:tcPr>
            <w:tcW w:w="960" w:type="dxa"/>
            <w:gridSpan w:val="2"/>
            <w:tcBorders>
              <w:top w:val="nil"/>
              <w:left w:val="nil"/>
              <w:bottom w:val="single" w:sz="4" w:space="0" w:color="auto"/>
              <w:right w:val="single" w:sz="12" w:space="0" w:color="00B050"/>
            </w:tcBorders>
            <w:shd w:val="clear" w:color="auto" w:fill="auto"/>
            <w:vAlign w:val="center"/>
            <w:hideMark/>
          </w:tcPr>
          <w:p w14:paraId="53F9FC13"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-8,32</w:t>
            </w:r>
          </w:p>
        </w:tc>
      </w:tr>
      <w:tr w:rsidR="00A16DDB" w:rsidRPr="00D95127" w14:paraId="43CEFC6E" w14:textId="77777777" w:rsidTr="007A627A">
        <w:trPr>
          <w:gridBefore w:val="1"/>
          <w:wBefore w:w="15" w:type="dxa"/>
          <w:trHeight w:val="255"/>
        </w:trPr>
        <w:tc>
          <w:tcPr>
            <w:tcW w:w="960" w:type="dxa"/>
            <w:gridSpan w:val="2"/>
            <w:tcBorders>
              <w:top w:val="nil"/>
              <w:left w:val="single" w:sz="12" w:space="0" w:color="00B050"/>
              <w:bottom w:val="single" w:sz="4" w:space="0" w:color="000000"/>
              <w:right w:val="single" w:sz="12" w:space="0" w:color="00B050"/>
            </w:tcBorders>
            <w:shd w:val="clear" w:color="auto" w:fill="auto"/>
            <w:vAlign w:val="center"/>
            <w:hideMark/>
          </w:tcPr>
          <w:p w14:paraId="48481D6D"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2017</w:t>
            </w:r>
          </w:p>
        </w:tc>
        <w:tc>
          <w:tcPr>
            <w:tcW w:w="1120" w:type="dxa"/>
            <w:tcBorders>
              <w:top w:val="nil"/>
              <w:left w:val="nil"/>
              <w:bottom w:val="single" w:sz="4" w:space="0" w:color="auto"/>
              <w:right w:val="nil"/>
            </w:tcBorders>
            <w:shd w:val="clear" w:color="auto" w:fill="auto"/>
            <w:vAlign w:val="center"/>
            <w:hideMark/>
          </w:tcPr>
          <w:p w14:paraId="119DB7C4"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7 330</w:t>
            </w:r>
          </w:p>
        </w:tc>
        <w:tc>
          <w:tcPr>
            <w:tcW w:w="1120" w:type="dxa"/>
            <w:tcBorders>
              <w:top w:val="nil"/>
              <w:left w:val="single" w:sz="4" w:space="0" w:color="00B050"/>
              <w:bottom w:val="single" w:sz="4" w:space="0" w:color="auto"/>
              <w:right w:val="single" w:sz="4" w:space="0" w:color="00B050"/>
            </w:tcBorders>
            <w:shd w:val="clear" w:color="auto" w:fill="auto"/>
            <w:vAlign w:val="center"/>
            <w:hideMark/>
          </w:tcPr>
          <w:p w14:paraId="6A9F9385"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265 116</w:t>
            </w:r>
          </w:p>
        </w:tc>
        <w:tc>
          <w:tcPr>
            <w:tcW w:w="960" w:type="dxa"/>
            <w:tcBorders>
              <w:top w:val="nil"/>
              <w:left w:val="nil"/>
              <w:bottom w:val="single" w:sz="4" w:space="0" w:color="auto"/>
              <w:right w:val="single" w:sz="12" w:space="0" w:color="00B050"/>
            </w:tcBorders>
            <w:shd w:val="clear" w:color="auto" w:fill="auto"/>
            <w:vAlign w:val="center"/>
            <w:hideMark/>
          </w:tcPr>
          <w:p w14:paraId="06EB53CD"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36,17</w:t>
            </w:r>
          </w:p>
        </w:tc>
        <w:tc>
          <w:tcPr>
            <w:tcW w:w="960" w:type="dxa"/>
            <w:tcBorders>
              <w:top w:val="nil"/>
              <w:left w:val="nil"/>
              <w:bottom w:val="single" w:sz="4" w:space="0" w:color="auto"/>
              <w:right w:val="nil"/>
            </w:tcBorders>
            <w:shd w:val="clear" w:color="auto" w:fill="auto"/>
            <w:vAlign w:val="center"/>
            <w:hideMark/>
          </w:tcPr>
          <w:p w14:paraId="0CFA83F7"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3 451</w:t>
            </w:r>
          </w:p>
        </w:tc>
        <w:tc>
          <w:tcPr>
            <w:tcW w:w="1200" w:type="dxa"/>
            <w:tcBorders>
              <w:top w:val="nil"/>
              <w:left w:val="single" w:sz="4" w:space="0" w:color="00B050"/>
              <w:bottom w:val="single" w:sz="4" w:space="0" w:color="auto"/>
              <w:right w:val="single" w:sz="4" w:space="0" w:color="00B050"/>
            </w:tcBorders>
            <w:shd w:val="clear" w:color="auto" w:fill="auto"/>
            <w:vAlign w:val="center"/>
            <w:hideMark/>
          </w:tcPr>
          <w:p w14:paraId="01A55FD2"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174 791</w:t>
            </w:r>
          </w:p>
        </w:tc>
        <w:tc>
          <w:tcPr>
            <w:tcW w:w="960" w:type="dxa"/>
            <w:tcBorders>
              <w:top w:val="nil"/>
              <w:left w:val="nil"/>
              <w:bottom w:val="single" w:sz="4" w:space="0" w:color="auto"/>
              <w:right w:val="single" w:sz="12" w:space="0" w:color="00B050"/>
            </w:tcBorders>
            <w:shd w:val="clear" w:color="auto" w:fill="auto"/>
            <w:vAlign w:val="center"/>
            <w:hideMark/>
          </w:tcPr>
          <w:p w14:paraId="40599A89"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50,65</w:t>
            </w:r>
          </w:p>
        </w:tc>
        <w:tc>
          <w:tcPr>
            <w:tcW w:w="960" w:type="dxa"/>
            <w:tcBorders>
              <w:top w:val="nil"/>
              <w:left w:val="nil"/>
              <w:bottom w:val="single" w:sz="4" w:space="0" w:color="auto"/>
              <w:right w:val="nil"/>
            </w:tcBorders>
            <w:shd w:val="clear" w:color="auto" w:fill="auto"/>
            <w:vAlign w:val="center"/>
            <w:hideMark/>
          </w:tcPr>
          <w:p w14:paraId="488A49CB"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3 879</w:t>
            </w:r>
          </w:p>
        </w:tc>
        <w:tc>
          <w:tcPr>
            <w:tcW w:w="1000" w:type="dxa"/>
            <w:tcBorders>
              <w:top w:val="nil"/>
              <w:left w:val="single" w:sz="4" w:space="0" w:color="00B050"/>
              <w:bottom w:val="single" w:sz="4" w:space="0" w:color="auto"/>
              <w:right w:val="single" w:sz="4" w:space="0" w:color="00B050"/>
            </w:tcBorders>
            <w:shd w:val="clear" w:color="auto" w:fill="auto"/>
            <w:vAlign w:val="center"/>
            <w:hideMark/>
          </w:tcPr>
          <w:p w14:paraId="7C3DD5BF"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90 325</w:t>
            </w:r>
          </w:p>
        </w:tc>
        <w:tc>
          <w:tcPr>
            <w:tcW w:w="960" w:type="dxa"/>
            <w:gridSpan w:val="2"/>
            <w:tcBorders>
              <w:top w:val="nil"/>
              <w:left w:val="nil"/>
              <w:bottom w:val="single" w:sz="4" w:space="0" w:color="auto"/>
              <w:right w:val="single" w:sz="12" w:space="0" w:color="00B050"/>
            </w:tcBorders>
            <w:shd w:val="clear" w:color="auto" w:fill="auto"/>
            <w:vAlign w:val="center"/>
            <w:hideMark/>
          </w:tcPr>
          <w:p w14:paraId="6B3DFAE4"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-14,48</w:t>
            </w:r>
          </w:p>
        </w:tc>
      </w:tr>
      <w:tr w:rsidR="00A16DDB" w:rsidRPr="00D95127" w14:paraId="12535A7B" w14:textId="77777777" w:rsidTr="007A627A">
        <w:trPr>
          <w:gridBefore w:val="1"/>
          <w:wBefore w:w="15" w:type="dxa"/>
          <w:trHeight w:val="255"/>
        </w:trPr>
        <w:tc>
          <w:tcPr>
            <w:tcW w:w="960" w:type="dxa"/>
            <w:gridSpan w:val="2"/>
            <w:tcBorders>
              <w:top w:val="nil"/>
              <w:left w:val="single" w:sz="12" w:space="0" w:color="00B050"/>
              <w:bottom w:val="single" w:sz="4" w:space="0" w:color="000000"/>
              <w:right w:val="single" w:sz="12" w:space="0" w:color="00B050"/>
            </w:tcBorders>
            <w:shd w:val="clear" w:color="auto" w:fill="auto"/>
            <w:vAlign w:val="center"/>
            <w:hideMark/>
          </w:tcPr>
          <w:p w14:paraId="76B6EEAF"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2018</w:t>
            </w:r>
          </w:p>
        </w:tc>
        <w:tc>
          <w:tcPr>
            <w:tcW w:w="1120" w:type="dxa"/>
            <w:tcBorders>
              <w:top w:val="nil"/>
              <w:left w:val="nil"/>
              <w:bottom w:val="single" w:sz="4" w:space="0" w:color="auto"/>
              <w:right w:val="nil"/>
            </w:tcBorders>
            <w:shd w:val="clear" w:color="auto" w:fill="auto"/>
            <w:vAlign w:val="center"/>
            <w:hideMark/>
          </w:tcPr>
          <w:p w14:paraId="62EFB0E6"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7 900</w:t>
            </w:r>
          </w:p>
        </w:tc>
        <w:tc>
          <w:tcPr>
            <w:tcW w:w="1120" w:type="dxa"/>
            <w:tcBorders>
              <w:top w:val="nil"/>
              <w:left w:val="single" w:sz="4" w:space="0" w:color="00B050"/>
              <w:bottom w:val="single" w:sz="4" w:space="0" w:color="auto"/>
              <w:right w:val="single" w:sz="4" w:space="0" w:color="00B050"/>
            </w:tcBorders>
            <w:shd w:val="clear" w:color="auto" w:fill="auto"/>
            <w:vAlign w:val="center"/>
            <w:hideMark/>
          </w:tcPr>
          <w:p w14:paraId="2062552D"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279 884</w:t>
            </w:r>
          </w:p>
        </w:tc>
        <w:tc>
          <w:tcPr>
            <w:tcW w:w="960" w:type="dxa"/>
            <w:tcBorders>
              <w:top w:val="nil"/>
              <w:left w:val="nil"/>
              <w:bottom w:val="single" w:sz="4" w:space="0" w:color="auto"/>
              <w:right w:val="single" w:sz="12" w:space="0" w:color="00B050"/>
            </w:tcBorders>
            <w:shd w:val="clear" w:color="auto" w:fill="auto"/>
            <w:vAlign w:val="center"/>
            <w:hideMark/>
          </w:tcPr>
          <w:p w14:paraId="776A6F38"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35,43</w:t>
            </w:r>
          </w:p>
        </w:tc>
        <w:tc>
          <w:tcPr>
            <w:tcW w:w="960" w:type="dxa"/>
            <w:tcBorders>
              <w:top w:val="nil"/>
              <w:left w:val="nil"/>
              <w:bottom w:val="single" w:sz="4" w:space="0" w:color="auto"/>
              <w:right w:val="nil"/>
            </w:tcBorders>
            <w:shd w:val="clear" w:color="auto" w:fill="auto"/>
            <w:vAlign w:val="center"/>
            <w:hideMark/>
          </w:tcPr>
          <w:p w14:paraId="4939A94F"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3 203</w:t>
            </w:r>
          </w:p>
        </w:tc>
        <w:tc>
          <w:tcPr>
            <w:tcW w:w="1200" w:type="dxa"/>
            <w:tcBorders>
              <w:top w:val="nil"/>
              <w:left w:val="single" w:sz="4" w:space="0" w:color="00B050"/>
              <w:bottom w:val="single" w:sz="4" w:space="0" w:color="auto"/>
              <w:right w:val="single" w:sz="4" w:space="0" w:color="00B050"/>
            </w:tcBorders>
            <w:shd w:val="clear" w:color="auto" w:fill="auto"/>
            <w:vAlign w:val="center"/>
            <w:hideMark/>
          </w:tcPr>
          <w:p w14:paraId="4421202E"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156 087</w:t>
            </w:r>
          </w:p>
        </w:tc>
        <w:tc>
          <w:tcPr>
            <w:tcW w:w="960" w:type="dxa"/>
            <w:tcBorders>
              <w:top w:val="nil"/>
              <w:left w:val="nil"/>
              <w:bottom w:val="single" w:sz="4" w:space="0" w:color="auto"/>
              <w:right w:val="single" w:sz="12" w:space="0" w:color="00B050"/>
            </w:tcBorders>
            <w:shd w:val="clear" w:color="auto" w:fill="auto"/>
            <w:vAlign w:val="center"/>
            <w:hideMark/>
          </w:tcPr>
          <w:p w14:paraId="45DC4E71"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48,73</w:t>
            </w:r>
          </w:p>
        </w:tc>
        <w:tc>
          <w:tcPr>
            <w:tcW w:w="960" w:type="dxa"/>
            <w:tcBorders>
              <w:top w:val="nil"/>
              <w:left w:val="nil"/>
              <w:bottom w:val="single" w:sz="4" w:space="0" w:color="auto"/>
              <w:right w:val="nil"/>
            </w:tcBorders>
            <w:shd w:val="clear" w:color="auto" w:fill="auto"/>
            <w:vAlign w:val="center"/>
            <w:hideMark/>
          </w:tcPr>
          <w:p w14:paraId="2FBA14B3"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4 698</w:t>
            </w:r>
          </w:p>
        </w:tc>
        <w:tc>
          <w:tcPr>
            <w:tcW w:w="1000" w:type="dxa"/>
            <w:tcBorders>
              <w:top w:val="nil"/>
              <w:left w:val="single" w:sz="4" w:space="0" w:color="00B050"/>
              <w:bottom w:val="single" w:sz="4" w:space="0" w:color="auto"/>
              <w:right w:val="single" w:sz="4" w:space="0" w:color="00B050"/>
            </w:tcBorders>
            <w:shd w:val="clear" w:color="auto" w:fill="auto"/>
            <w:vAlign w:val="center"/>
            <w:hideMark/>
          </w:tcPr>
          <w:p w14:paraId="10B8F417"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123 797</w:t>
            </w:r>
          </w:p>
        </w:tc>
        <w:tc>
          <w:tcPr>
            <w:tcW w:w="960" w:type="dxa"/>
            <w:gridSpan w:val="2"/>
            <w:tcBorders>
              <w:top w:val="nil"/>
              <w:left w:val="nil"/>
              <w:bottom w:val="single" w:sz="4" w:space="0" w:color="auto"/>
              <w:right w:val="single" w:sz="12" w:space="0" w:color="00B050"/>
            </w:tcBorders>
            <w:shd w:val="clear" w:color="auto" w:fill="auto"/>
            <w:vAlign w:val="center"/>
            <w:hideMark/>
          </w:tcPr>
          <w:p w14:paraId="2278E0C3"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-13,31</w:t>
            </w:r>
          </w:p>
        </w:tc>
      </w:tr>
      <w:tr w:rsidR="00A16DDB" w:rsidRPr="00D95127" w14:paraId="05501706" w14:textId="77777777" w:rsidTr="007A627A">
        <w:trPr>
          <w:gridBefore w:val="1"/>
          <w:wBefore w:w="15" w:type="dxa"/>
          <w:trHeight w:val="255"/>
        </w:trPr>
        <w:tc>
          <w:tcPr>
            <w:tcW w:w="960" w:type="dxa"/>
            <w:gridSpan w:val="2"/>
            <w:tcBorders>
              <w:top w:val="nil"/>
              <w:left w:val="single" w:sz="12" w:space="0" w:color="00B050"/>
              <w:bottom w:val="single" w:sz="4" w:space="0" w:color="000000"/>
              <w:right w:val="single" w:sz="12" w:space="0" w:color="00B050"/>
            </w:tcBorders>
            <w:shd w:val="clear" w:color="auto" w:fill="auto"/>
            <w:vAlign w:val="center"/>
            <w:hideMark/>
          </w:tcPr>
          <w:p w14:paraId="22C2D8A8"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2019</w:t>
            </w:r>
          </w:p>
        </w:tc>
        <w:tc>
          <w:tcPr>
            <w:tcW w:w="1120" w:type="dxa"/>
            <w:tcBorders>
              <w:top w:val="nil"/>
              <w:left w:val="nil"/>
              <w:bottom w:val="single" w:sz="4" w:space="0" w:color="auto"/>
              <w:right w:val="nil"/>
            </w:tcBorders>
            <w:shd w:val="clear" w:color="auto" w:fill="auto"/>
            <w:vAlign w:val="center"/>
            <w:hideMark/>
          </w:tcPr>
          <w:p w14:paraId="27FE72CF"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7 442</w:t>
            </w:r>
          </w:p>
        </w:tc>
        <w:tc>
          <w:tcPr>
            <w:tcW w:w="1120" w:type="dxa"/>
            <w:tcBorders>
              <w:top w:val="nil"/>
              <w:left w:val="single" w:sz="4" w:space="0" w:color="00B050"/>
              <w:bottom w:val="single" w:sz="4" w:space="0" w:color="auto"/>
              <w:right w:val="single" w:sz="4" w:space="0" w:color="00B050"/>
            </w:tcBorders>
            <w:shd w:val="clear" w:color="auto" w:fill="auto"/>
            <w:vAlign w:val="center"/>
            <w:hideMark/>
          </w:tcPr>
          <w:p w14:paraId="67873781"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306 687</w:t>
            </w:r>
          </w:p>
        </w:tc>
        <w:tc>
          <w:tcPr>
            <w:tcW w:w="960" w:type="dxa"/>
            <w:tcBorders>
              <w:top w:val="nil"/>
              <w:left w:val="nil"/>
              <w:bottom w:val="single" w:sz="4" w:space="0" w:color="auto"/>
              <w:right w:val="single" w:sz="12" w:space="0" w:color="00B050"/>
            </w:tcBorders>
            <w:shd w:val="clear" w:color="auto" w:fill="auto"/>
            <w:vAlign w:val="center"/>
            <w:hideMark/>
          </w:tcPr>
          <w:p w14:paraId="49693491"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41,21</w:t>
            </w:r>
          </w:p>
        </w:tc>
        <w:tc>
          <w:tcPr>
            <w:tcW w:w="960" w:type="dxa"/>
            <w:tcBorders>
              <w:top w:val="nil"/>
              <w:left w:val="nil"/>
              <w:bottom w:val="single" w:sz="4" w:space="0" w:color="auto"/>
              <w:right w:val="nil"/>
            </w:tcBorders>
            <w:shd w:val="clear" w:color="auto" w:fill="auto"/>
            <w:vAlign w:val="center"/>
            <w:hideMark/>
          </w:tcPr>
          <w:p w14:paraId="64127D4F"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4 033</w:t>
            </w:r>
          </w:p>
        </w:tc>
        <w:tc>
          <w:tcPr>
            <w:tcW w:w="1200" w:type="dxa"/>
            <w:tcBorders>
              <w:top w:val="nil"/>
              <w:left w:val="single" w:sz="4" w:space="0" w:color="00B050"/>
              <w:bottom w:val="single" w:sz="4" w:space="0" w:color="auto"/>
              <w:right w:val="single" w:sz="4" w:space="0" w:color="00B050"/>
            </w:tcBorders>
            <w:shd w:val="clear" w:color="auto" w:fill="auto"/>
            <w:vAlign w:val="center"/>
            <w:hideMark/>
          </w:tcPr>
          <w:p w14:paraId="345E2959"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197 885</w:t>
            </w:r>
          </w:p>
        </w:tc>
        <w:tc>
          <w:tcPr>
            <w:tcW w:w="960" w:type="dxa"/>
            <w:tcBorders>
              <w:top w:val="nil"/>
              <w:left w:val="nil"/>
              <w:bottom w:val="single" w:sz="4" w:space="0" w:color="auto"/>
              <w:right w:val="single" w:sz="12" w:space="0" w:color="00B050"/>
            </w:tcBorders>
            <w:shd w:val="clear" w:color="auto" w:fill="auto"/>
            <w:vAlign w:val="center"/>
            <w:hideMark/>
          </w:tcPr>
          <w:p w14:paraId="1B651985"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49,06</w:t>
            </w:r>
          </w:p>
        </w:tc>
        <w:tc>
          <w:tcPr>
            <w:tcW w:w="960" w:type="dxa"/>
            <w:tcBorders>
              <w:top w:val="nil"/>
              <w:left w:val="nil"/>
              <w:bottom w:val="single" w:sz="4" w:space="0" w:color="auto"/>
              <w:right w:val="nil"/>
            </w:tcBorders>
            <w:shd w:val="clear" w:color="auto" w:fill="auto"/>
            <w:vAlign w:val="center"/>
            <w:hideMark/>
          </w:tcPr>
          <w:p w14:paraId="1090C329"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3 409</w:t>
            </w:r>
          </w:p>
        </w:tc>
        <w:tc>
          <w:tcPr>
            <w:tcW w:w="1000" w:type="dxa"/>
            <w:tcBorders>
              <w:top w:val="nil"/>
              <w:left w:val="single" w:sz="4" w:space="0" w:color="00B050"/>
              <w:bottom w:val="single" w:sz="4" w:space="0" w:color="auto"/>
              <w:right w:val="single" w:sz="4" w:space="0" w:color="00B050"/>
            </w:tcBorders>
            <w:shd w:val="clear" w:color="auto" w:fill="auto"/>
            <w:vAlign w:val="center"/>
            <w:hideMark/>
          </w:tcPr>
          <w:p w14:paraId="1C9BA615"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108 802</w:t>
            </w:r>
          </w:p>
        </w:tc>
        <w:tc>
          <w:tcPr>
            <w:tcW w:w="960" w:type="dxa"/>
            <w:gridSpan w:val="2"/>
            <w:tcBorders>
              <w:top w:val="nil"/>
              <w:left w:val="nil"/>
              <w:bottom w:val="single" w:sz="4" w:space="0" w:color="auto"/>
              <w:right w:val="single" w:sz="12" w:space="0" w:color="00B050"/>
            </w:tcBorders>
            <w:shd w:val="clear" w:color="auto" w:fill="auto"/>
            <w:vAlign w:val="center"/>
            <w:hideMark/>
          </w:tcPr>
          <w:p w14:paraId="1A3F3139"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-7,85</w:t>
            </w:r>
          </w:p>
        </w:tc>
      </w:tr>
      <w:tr w:rsidR="00A16DDB" w:rsidRPr="00D95127" w14:paraId="641D0125" w14:textId="77777777" w:rsidTr="007A627A">
        <w:trPr>
          <w:gridBefore w:val="1"/>
          <w:wBefore w:w="15" w:type="dxa"/>
          <w:trHeight w:val="270"/>
        </w:trPr>
        <w:tc>
          <w:tcPr>
            <w:tcW w:w="960" w:type="dxa"/>
            <w:gridSpan w:val="2"/>
            <w:tcBorders>
              <w:top w:val="nil"/>
              <w:left w:val="single" w:sz="12" w:space="0" w:color="00B050"/>
              <w:bottom w:val="single" w:sz="12" w:space="0" w:color="00B050"/>
              <w:right w:val="single" w:sz="12" w:space="0" w:color="00B050"/>
            </w:tcBorders>
            <w:shd w:val="clear" w:color="auto" w:fill="auto"/>
            <w:vAlign w:val="center"/>
            <w:hideMark/>
          </w:tcPr>
          <w:p w14:paraId="6C90074F"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2020</w:t>
            </w:r>
          </w:p>
        </w:tc>
        <w:tc>
          <w:tcPr>
            <w:tcW w:w="1120" w:type="dxa"/>
            <w:tcBorders>
              <w:top w:val="nil"/>
              <w:left w:val="nil"/>
              <w:bottom w:val="single" w:sz="12" w:space="0" w:color="00B050"/>
              <w:right w:val="nil"/>
            </w:tcBorders>
            <w:shd w:val="clear" w:color="auto" w:fill="auto"/>
            <w:vAlign w:val="center"/>
            <w:hideMark/>
          </w:tcPr>
          <w:p w14:paraId="6C756280"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5 107</w:t>
            </w:r>
          </w:p>
        </w:tc>
        <w:tc>
          <w:tcPr>
            <w:tcW w:w="1120" w:type="dxa"/>
            <w:tcBorders>
              <w:top w:val="nil"/>
              <w:left w:val="single" w:sz="4" w:space="0" w:color="00B050"/>
              <w:bottom w:val="single" w:sz="12" w:space="0" w:color="00B050"/>
              <w:right w:val="single" w:sz="4" w:space="0" w:color="00B050"/>
            </w:tcBorders>
            <w:shd w:val="clear" w:color="auto" w:fill="auto"/>
            <w:vAlign w:val="center"/>
            <w:hideMark/>
          </w:tcPr>
          <w:p w14:paraId="6E50ABA1"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240 851</w:t>
            </w:r>
          </w:p>
        </w:tc>
        <w:tc>
          <w:tcPr>
            <w:tcW w:w="960" w:type="dxa"/>
            <w:tcBorders>
              <w:top w:val="nil"/>
              <w:left w:val="nil"/>
              <w:bottom w:val="single" w:sz="12" w:space="0" w:color="00B050"/>
              <w:right w:val="single" w:sz="12" w:space="0" w:color="00B050"/>
            </w:tcBorders>
            <w:shd w:val="clear" w:color="auto" w:fill="auto"/>
            <w:vAlign w:val="center"/>
            <w:hideMark/>
          </w:tcPr>
          <w:p w14:paraId="27D52551"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47,16</w:t>
            </w:r>
          </w:p>
        </w:tc>
        <w:tc>
          <w:tcPr>
            <w:tcW w:w="960" w:type="dxa"/>
            <w:tcBorders>
              <w:top w:val="nil"/>
              <w:left w:val="nil"/>
              <w:bottom w:val="single" w:sz="12" w:space="0" w:color="00B050"/>
              <w:right w:val="nil"/>
            </w:tcBorders>
            <w:shd w:val="clear" w:color="auto" w:fill="auto"/>
            <w:vAlign w:val="center"/>
            <w:hideMark/>
          </w:tcPr>
          <w:p w14:paraId="37056892"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4 684</w:t>
            </w:r>
          </w:p>
        </w:tc>
        <w:tc>
          <w:tcPr>
            <w:tcW w:w="1200" w:type="dxa"/>
            <w:tcBorders>
              <w:top w:val="nil"/>
              <w:left w:val="single" w:sz="4" w:space="0" w:color="00B050"/>
              <w:bottom w:val="single" w:sz="12" w:space="0" w:color="00B050"/>
              <w:right w:val="single" w:sz="4" w:space="0" w:color="00B050"/>
            </w:tcBorders>
            <w:shd w:val="clear" w:color="auto" w:fill="auto"/>
            <w:vAlign w:val="center"/>
            <w:hideMark/>
          </w:tcPr>
          <w:p w14:paraId="65898234"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232 346</w:t>
            </w:r>
          </w:p>
        </w:tc>
        <w:tc>
          <w:tcPr>
            <w:tcW w:w="960" w:type="dxa"/>
            <w:tcBorders>
              <w:top w:val="nil"/>
              <w:left w:val="nil"/>
              <w:bottom w:val="single" w:sz="12" w:space="0" w:color="00B050"/>
              <w:right w:val="single" w:sz="12" w:space="0" w:color="00B050"/>
            </w:tcBorders>
            <w:shd w:val="clear" w:color="auto" w:fill="auto"/>
            <w:vAlign w:val="center"/>
            <w:hideMark/>
          </w:tcPr>
          <w:p w14:paraId="6754E492"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49,61</w:t>
            </w:r>
          </w:p>
        </w:tc>
        <w:tc>
          <w:tcPr>
            <w:tcW w:w="960" w:type="dxa"/>
            <w:tcBorders>
              <w:top w:val="nil"/>
              <w:left w:val="nil"/>
              <w:bottom w:val="single" w:sz="12" w:space="0" w:color="00B050"/>
              <w:right w:val="nil"/>
            </w:tcBorders>
            <w:shd w:val="clear" w:color="auto" w:fill="auto"/>
            <w:vAlign w:val="center"/>
            <w:hideMark/>
          </w:tcPr>
          <w:p w14:paraId="3ED1B385"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424</w:t>
            </w:r>
          </w:p>
        </w:tc>
        <w:tc>
          <w:tcPr>
            <w:tcW w:w="1000" w:type="dxa"/>
            <w:tcBorders>
              <w:top w:val="nil"/>
              <w:left w:val="single" w:sz="4" w:space="0" w:color="00B050"/>
              <w:bottom w:val="single" w:sz="12" w:space="0" w:color="00B050"/>
              <w:right w:val="single" w:sz="4" w:space="0" w:color="00B050"/>
            </w:tcBorders>
            <w:shd w:val="clear" w:color="auto" w:fill="auto"/>
            <w:vAlign w:val="center"/>
            <w:hideMark/>
          </w:tcPr>
          <w:p w14:paraId="0DE0C02C"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8 505</w:t>
            </w:r>
          </w:p>
        </w:tc>
        <w:tc>
          <w:tcPr>
            <w:tcW w:w="960" w:type="dxa"/>
            <w:gridSpan w:val="2"/>
            <w:tcBorders>
              <w:top w:val="nil"/>
              <w:left w:val="nil"/>
              <w:bottom w:val="single" w:sz="12" w:space="0" w:color="00B050"/>
              <w:right w:val="single" w:sz="12" w:space="0" w:color="00B050"/>
            </w:tcBorders>
            <w:shd w:val="clear" w:color="auto" w:fill="auto"/>
            <w:vAlign w:val="center"/>
            <w:hideMark/>
          </w:tcPr>
          <w:p w14:paraId="02391D13"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-2,45</w:t>
            </w:r>
          </w:p>
        </w:tc>
      </w:tr>
      <w:tr w:rsidR="00A16DDB" w:rsidRPr="00D95127" w14:paraId="375B500C" w14:textId="77777777" w:rsidTr="007A627A">
        <w:trPr>
          <w:gridAfter w:val="1"/>
          <w:wAfter w:w="697" w:type="dxa"/>
          <w:trHeight w:val="255"/>
        </w:trPr>
        <w:tc>
          <w:tcPr>
            <w:tcW w:w="9518" w:type="dxa"/>
            <w:gridSpan w:val="12"/>
            <w:tcBorders>
              <w:top w:val="nil"/>
              <w:left w:val="nil"/>
              <w:bottom w:val="nil"/>
              <w:right w:val="nil"/>
            </w:tcBorders>
            <w:shd w:val="clear" w:color="auto" w:fill="auto"/>
            <w:noWrap/>
            <w:vAlign w:val="bottom"/>
            <w:hideMark/>
          </w:tcPr>
          <w:p w14:paraId="47C1DED5" w14:textId="77777777" w:rsidR="00A16DDB" w:rsidRPr="00D95127" w:rsidRDefault="00A16DDB" w:rsidP="007A627A">
            <w:pPr>
              <w:rPr>
                <w:rFonts w:cs="Times New Roman"/>
                <w:i/>
                <w:iCs/>
                <w:sz w:val="16"/>
                <w:szCs w:val="16"/>
                <w:lang w:val="cs-CZ"/>
              </w:rPr>
            </w:pPr>
            <w:r w:rsidRPr="00D95127">
              <w:rPr>
                <w:rFonts w:cs="Times New Roman"/>
                <w:i/>
                <w:iCs/>
                <w:sz w:val="16"/>
                <w:szCs w:val="16"/>
                <w:lang w:val="cs-CZ"/>
              </w:rPr>
              <w:t>Zdroj: Celní statistika MZe</w:t>
            </w:r>
          </w:p>
          <w:p w14:paraId="738E5B8E" w14:textId="77777777" w:rsidR="00A16DDB" w:rsidRPr="00D95127" w:rsidRDefault="00A16DDB" w:rsidP="007A627A">
            <w:pPr>
              <w:rPr>
                <w:rFonts w:eastAsia="Times New Roman" w:cs="Times New Roman"/>
                <w:i/>
                <w:iCs/>
                <w:sz w:val="16"/>
                <w:szCs w:val="16"/>
                <w:lang w:val="cs-CZ" w:eastAsia="cs-CZ"/>
              </w:rPr>
            </w:pPr>
            <w:r w:rsidRPr="00D95127">
              <w:rPr>
                <w:rFonts w:eastAsia="Times New Roman" w:cs="Times New Roman"/>
                <w:i/>
                <w:iCs/>
                <w:sz w:val="16"/>
                <w:szCs w:val="16"/>
                <w:lang w:val="cs-CZ" w:eastAsia="cs-CZ"/>
              </w:rPr>
              <w:t>Poznámka: Vybrané druhy trav:</w:t>
            </w:r>
          </w:p>
        </w:tc>
      </w:tr>
      <w:tr w:rsidR="00A16DDB" w:rsidRPr="00D95127" w14:paraId="0CB3F531" w14:textId="77777777" w:rsidTr="007A627A">
        <w:trPr>
          <w:gridAfter w:val="1"/>
          <w:wAfter w:w="697" w:type="dxa"/>
          <w:trHeight w:val="255"/>
        </w:trPr>
        <w:tc>
          <w:tcPr>
            <w:tcW w:w="146" w:type="dxa"/>
            <w:gridSpan w:val="2"/>
            <w:tcBorders>
              <w:top w:val="nil"/>
              <w:left w:val="nil"/>
              <w:bottom w:val="nil"/>
              <w:right w:val="nil"/>
            </w:tcBorders>
            <w:shd w:val="clear" w:color="auto" w:fill="auto"/>
            <w:noWrap/>
            <w:vAlign w:val="bottom"/>
            <w:hideMark/>
          </w:tcPr>
          <w:p w14:paraId="451AA0C5" w14:textId="77777777" w:rsidR="00A16DDB" w:rsidRPr="00D95127" w:rsidRDefault="00A16DDB" w:rsidP="007A627A">
            <w:pPr>
              <w:rPr>
                <w:rFonts w:eastAsia="Times New Roman" w:cs="Times New Roman"/>
                <w:i/>
                <w:iCs/>
                <w:sz w:val="16"/>
                <w:szCs w:val="16"/>
                <w:lang w:val="cs-CZ" w:eastAsia="cs-CZ"/>
              </w:rPr>
            </w:pPr>
          </w:p>
        </w:tc>
        <w:tc>
          <w:tcPr>
            <w:tcW w:w="9372" w:type="dxa"/>
            <w:gridSpan w:val="10"/>
            <w:tcBorders>
              <w:top w:val="nil"/>
              <w:left w:val="nil"/>
              <w:bottom w:val="nil"/>
              <w:right w:val="nil"/>
            </w:tcBorders>
            <w:shd w:val="clear" w:color="auto" w:fill="auto"/>
            <w:noWrap/>
            <w:vAlign w:val="bottom"/>
            <w:hideMark/>
          </w:tcPr>
          <w:p w14:paraId="29967930" w14:textId="77777777" w:rsidR="00A16DDB" w:rsidRPr="00D95127" w:rsidRDefault="00A16DDB" w:rsidP="007A627A">
            <w:pPr>
              <w:rPr>
                <w:rFonts w:eastAsia="Times New Roman" w:cs="Times New Roman"/>
                <w:i/>
                <w:iCs/>
                <w:sz w:val="16"/>
                <w:szCs w:val="16"/>
                <w:lang w:val="cs-CZ" w:eastAsia="cs-CZ"/>
              </w:rPr>
            </w:pPr>
            <w:r w:rsidRPr="00D95127">
              <w:rPr>
                <w:rFonts w:eastAsia="Times New Roman" w:cs="Times New Roman"/>
                <w:i/>
                <w:iCs/>
                <w:sz w:val="16"/>
                <w:szCs w:val="16"/>
                <w:lang w:val="cs-CZ" w:eastAsia="cs-CZ"/>
              </w:rPr>
              <w:t>Semena kostřavy luční Festuca pratensis Huds., k setí</w:t>
            </w:r>
          </w:p>
        </w:tc>
      </w:tr>
      <w:tr w:rsidR="00A16DDB" w:rsidRPr="00D95127" w14:paraId="5C4F570D" w14:textId="77777777" w:rsidTr="007A627A">
        <w:trPr>
          <w:gridAfter w:val="1"/>
          <w:wAfter w:w="697" w:type="dxa"/>
          <w:trHeight w:val="255"/>
        </w:trPr>
        <w:tc>
          <w:tcPr>
            <w:tcW w:w="146" w:type="dxa"/>
            <w:gridSpan w:val="2"/>
            <w:tcBorders>
              <w:top w:val="nil"/>
              <w:left w:val="nil"/>
              <w:bottom w:val="nil"/>
              <w:right w:val="nil"/>
            </w:tcBorders>
            <w:shd w:val="clear" w:color="auto" w:fill="auto"/>
            <w:noWrap/>
            <w:vAlign w:val="bottom"/>
            <w:hideMark/>
          </w:tcPr>
          <w:p w14:paraId="6ED2089A" w14:textId="77777777" w:rsidR="00A16DDB" w:rsidRPr="00D95127" w:rsidRDefault="00A16DDB" w:rsidP="007A627A">
            <w:pPr>
              <w:rPr>
                <w:rFonts w:eastAsia="Times New Roman" w:cs="Times New Roman"/>
                <w:i/>
                <w:iCs/>
                <w:sz w:val="16"/>
                <w:szCs w:val="16"/>
                <w:lang w:val="cs-CZ" w:eastAsia="cs-CZ"/>
              </w:rPr>
            </w:pPr>
          </w:p>
        </w:tc>
        <w:tc>
          <w:tcPr>
            <w:tcW w:w="9372" w:type="dxa"/>
            <w:gridSpan w:val="10"/>
            <w:tcBorders>
              <w:top w:val="nil"/>
              <w:left w:val="nil"/>
              <w:bottom w:val="nil"/>
              <w:right w:val="nil"/>
            </w:tcBorders>
            <w:shd w:val="clear" w:color="auto" w:fill="auto"/>
            <w:noWrap/>
            <w:vAlign w:val="bottom"/>
            <w:hideMark/>
          </w:tcPr>
          <w:p w14:paraId="0AA0F7CE" w14:textId="77777777" w:rsidR="00A16DDB" w:rsidRPr="00D95127" w:rsidRDefault="00A16DDB" w:rsidP="007A627A">
            <w:pPr>
              <w:rPr>
                <w:rFonts w:eastAsia="Times New Roman" w:cs="Times New Roman"/>
                <w:i/>
                <w:iCs/>
                <w:sz w:val="16"/>
                <w:szCs w:val="16"/>
                <w:lang w:val="cs-CZ" w:eastAsia="cs-CZ"/>
              </w:rPr>
            </w:pPr>
            <w:r w:rsidRPr="00D95127">
              <w:rPr>
                <w:rFonts w:eastAsia="Times New Roman" w:cs="Times New Roman"/>
                <w:i/>
                <w:iCs/>
                <w:sz w:val="16"/>
                <w:szCs w:val="16"/>
                <w:lang w:val="cs-CZ" w:eastAsia="cs-CZ"/>
              </w:rPr>
              <w:t>Semena lipnice luční Poa pratensis L., k setí</w:t>
            </w:r>
          </w:p>
        </w:tc>
      </w:tr>
      <w:tr w:rsidR="00A16DDB" w:rsidRPr="00D95127" w14:paraId="3DD0F899" w14:textId="77777777" w:rsidTr="007A627A">
        <w:trPr>
          <w:gridAfter w:val="1"/>
          <w:wAfter w:w="697" w:type="dxa"/>
          <w:trHeight w:val="255"/>
        </w:trPr>
        <w:tc>
          <w:tcPr>
            <w:tcW w:w="146" w:type="dxa"/>
            <w:gridSpan w:val="2"/>
            <w:tcBorders>
              <w:top w:val="nil"/>
              <w:left w:val="nil"/>
              <w:bottom w:val="nil"/>
              <w:right w:val="nil"/>
            </w:tcBorders>
            <w:shd w:val="clear" w:color="auto" w:fill="auto"/>
            <w:noWrap/>
            <w:vAlign w:val="bottom"/>
            <w:hideMark/>
          </w:tcPr>
          <w:p w14:paraId="6ACB76EB" w14:textId="77777777" w:rsidR="00A16DDB" w:rsidRPr="00D95127" w:rsidRDefault="00A16DDB" w:rsidP="007A627A">
            <w:pPr>
              <w:rPr>
                <w:rFonts w:eastAsia="Times New Roman" w:cs="Times New Roman"/>
                <w:i/>
                <w:iCs/>
                <w:sz w:val="16"/>
                <w:szCs w:val="16"/>
                <w:lang w:val="cs-CZ" w:eastAsia="cs-CZ"/>
              </w:rPr>
            </w:pPr>
          </w:p>
        </w:tc>
        <w:tc>
          <w:tcPr>
            <w:tcW w:w="9372" w:type="dxa"/>
            <w:gridSpan w:val="10"/>
            <w:tcBorders>
              <w:top w:val="nil"/>
              <w:left w:val="nil"/>
              <w:bottom w:val="nil"/>
              <w:right w:val="nil"/>
            </w:tcBorders>
            <w:shd w:val="clear" w:color="auto" w:fill="auto"/>
            <w:noWrap/>
            <w:vAlign w:val="bottom"/>
            <w:hideMark/>
          </w:tcPr>
          <w:p w14:paraId="1A9E167A" w14:textId="77777777" w:rsidR="00A16DDB" w:rsidRPr="00D95127" w:rsidRDefault="00A16DDB" w:rsidP="007A627A">
            <w:pPr>
              <w:rPr>
                <w:rFonts w:eastAsia="Times New Roman" w:cs="Times New Roman"/>
                <w:i/>
                <w:iCs/>
                <w:sz w:val="16"/>
                <w:szCs w:val="16"/>
                <w:lang w:val="cs-CZ" w:eastAsia="cs-CZ"/>
              </w:rPr>
            </w:pPr>
            <w:r w:rsidRPr="00D95127">
              <w:rPr>
                <w:rFonts w:eastAsia="Times New Roman" w:cs="Times New Roman"/>
                <w:i/>
                <w:iCs/>
                <w:sz w:val="16"/>
                <w:szCs w:val="16"/>
                <w:lang w:val="cs-CZ" w:eastAsia="cs-CZ"/>
              </w:rPr>
              <w:t>Semena jílku italského Lolium multiflorum Lam., k setí</w:t>
            </w:r>
          </w:p>
        </w:tc>
      </w:tr>
      <w:tr w:rsidR="00A16DDB" w:rsidRPr="00D95127" w14:paraId="0CC87958" w14:textId="77777777" w:rsidTr="007A627A">
        <w:trPr>
          <w:gridAfter w:val="1"/>
          <w:wAfter w:w="697" w:type="dxa"/>
          <w:trHeight w:val="255"/>
        </w:trPr>
        <w:tc>
          <w:tcPr>
            <w:tcW w:w="146" w:type="dxa"/>
            <w:gridSpan w:val="2"/>
            <w:tcBorders>
              <w:top w:val="nil"/>
              <w:left w:val="nil"/>
              <w:bottom w:val="nil"/>
              <w:right w:val="nil"/>
            </w:tcBorders>
            <w:shd w:val="clear" w:color="auto" w:fill="auto"/>
            <w:noWrap/>
            <w:vAlign w:val="bottom"/>
            <w:hideMark/>
          </w:tcPr>
          <w:p w14:paraId="14DDDADA" w14:textId="77777777" w:rsidR="00A16DDB" w:rsidRPr="00D95127" w:rsidRDefault="00A16DDB" w:rsidP="007A627A">
            <w:pPr>
              <w:rPr>
                <w:rFonts w:eastAsia="Times New Roman" w:cs="Times New Roman"/>
                <w:i/>
                <w:iCs/>
                <w:sz w:val="16"/>
                <w:szCs w:val="16"/>
                <w:lang w:val="cs-CZ" w:eastAsia="cs-CZ"/>
              </w:rPr>
            </w:pPr>
          </w:p>
        </w:tc>
        <w:tc>
          <w:tcPr>
            <w:tcW w:w="9372" w:type="dxa"/>
            <w:gridSpan w:val="10"/>
            <w:tcBorders>
              <w:top w:val="nil"/>
              <w:left w:val="nil"/>
              <w:bottom w:val="nil"/>
              <w:right w:val="nil"/>
            </w:tcBorders>
            <w:shd w:val="clear" w:color="auto" w:fill="auto"/>
            <w:noWrap/>
            <w:vAlign w:val="bottom"/>
            <w:hideMark/>
          </w:tcPr>
          <w:p w14:paraId="1E21ABCC" w14:textId="77777777" w:rsidR="00A16DDB" w:rsidRPr="00D95127" w:rsidRDefault="00A16DDB" w:rsidP="007A627A">
            <w:pPr>
              <w:rPr>
                <w:rFonts w:eastAsia="Times New Roman" w:cs="Times New Roman"/>
                <w:i/>
                <w:iCs/>
                <w:sz w:val="16"/>
                <w:szCs w:val="16"/>
                <w:lang w:val="cs-CZ" w:eastAsia="cs-CZ"/>
              </w:rPr>
            </w:pPr>
            <w:r w:rsidRPr="00D95127">
              <w:rPr>
                <w:rFonts w:eastAsia="Times New Roman" w:cs="Times New Roman"/>
                <w:i/>
                <w:iCs/>
                <w:sz w:val="16"/>
                <w:szCs w:val="16"/>
                <w:lang w:val="cs-CZ" w:eastAsia="cs-CZ"/>
              </w:rPr>
              <w:t>Semena jílku vytrvalého Loloium perenne L., k setí</w:t>
            </w:r>
          </w:p>
        </w:tc>
      </w:tr>
      <w:tr w:rsidR="00A16DDB" w:rsidRPr="00D95127" w14:paraId="25E12AB3" w14:textId="77777777" w:rsidTr="007A627A">
        <w:trPr>
          <w:gridAfter w:val="1"/>
          <w:wAfter w:w="697" w:type="dxa"/>
          <w:trHeight w:val="255"/>
        </w:trPr>
        <w:tc>
          <w:tcPr>
            <w:tcW w:w="146" w:type="dxa"/>
            <w:gridSpan w:val="2"/>
            <w:tcBorders>
              <w:top w:val="nil"/>
              <w:left w:val="nil"/>
              <w:bottom w:val="nil"/>
              <w:right w:val="nil"/>
            </w:tcBorders>
            <w:shd w:val="clear" w:color="auto" w:fill="auto"/>
            <w:noWrap/>
            <w:vAlign w:val="bottom"/>
            <w:hideMark/>
          </w:tcPr>
          <w:p w14:paraId="01E3DC58" w14:textId="77777777" w:rsidR="00A16DDB" w:rsidRPr="00D95127" w:rsidRDefault="00A16DDB" w:rsidP="007A627A">
            <w:pPr>
              <w:rPr>
                <w:rFonts w:eastAsia="Times New Roman" w:cs="Times New Roman"/>
                <w:i/>
                <w:iCs/>
                <w:sz w:val="16"/>
                <w:szCs w:val="16"/>
                <w:lang w:val="cs-CZ" w:eastAsia="cs-CZ"/>
              </w:rPr>
            </w:pPr>
          </w:p>
        </w:tc>
        <w:tc>
          <w:tcPr>
            <w:tcW w:w="9372" w:type="dxa"/>
            <w:gridSpan w:val="10"/>
            <w:tcBorders>
              <w:top w:val="nil"/>
              <w:left w:val="nil"/>
              <w:bottom w:val="nil"/>
              <w:right w:val="nil"/>
            </w:tcBorders>
            <w:shd w:val="clear" w:color="auto" w:fill="auto"/>
            <w:noWrap/>
            <w:vAlign w:val="bottom"/>
            <w:hideMark/>
          </w:tcPr>
          <w:p w14:paraId="1D88D85D" w14:textId="77777777" w:rsidR="00A16DDB" w:rsidRPr="00D95127" w:rsidRDefault="00A16DDB" w:rsidP="007A627A">
            <w:pPr>
              <w:rPr>
                <w:rFonts w:eastAsia="Times New Roman" w:cs="Times New Roman"/>
                <w:i/>
                <w:iCs/>
                <w:sz w:val="16"/>
                <w:szCs w:val="16"/>
                <w:lang w:val="cs-CZ" w:eastAsia="cs-CZ"/>
              </w:rPr>
            </w:pPr>
            <w:r w:rsidRPr="00D95127">
              <w:rPr>
                <w:rFonts w:eastAsia="Times New Roman" w:cs="Times New Roman"/>
                <w:i/>
                <w:iCs/>
                <w:sz w:val="16"/>
                <w:szCs w:val="16"/>
                <w:lang w:val="cs-CZ" w:eastAsia="cs-CZ"/>
              </w:rPr>
              <w:t>Semena bojínku,vikve,lipnice Poa,srhy laločnaté,psinečku k setí</w:t>
            </w:r>
          </w:p>
        </w:tc>
      </w:tr>
      <w:tr w:rsidR="00A16DDB" w:rsidRPr="00D95127" w14:paraId="72F1A21C" w14:textId="77777777" w:rsidTr="007A627A">
        <w:trPr>
          <w:gridAfter w:val="1"/>
          <w:wAfter w:w="697" w:type="dxa"/>
          <w:trHeight w:val="255"/>
        </w:trPr>
        <w:tc>
          <w:tcPr>
            <w:tcW w:w="146" w:type="dxa"/>
            <w:gridSpan w:val="2"/>
            <w:tcBorders>
              <w:top w:val="nil"/>
              <w:left w:val="nil"/>
              <w:bottom w:val="nil"/>
              <w:right w:val="nil"/>
            </w:tcBorders>
            <w:shd w:val="clear" w:color="auto" w:fill="auto"/>
            <w:noWrap/>
            <w:vAlign w:val="bottom"/>
            <w:hideMark/>
          </w:tcPr>
          <w:p w14:paraId="4A2FE760" w14:textId="77777777" w:rsidR="00A16DDB" w:rsidRPr="00D95127" w:rsidRDefault="00A16DDB" w:rsidP="007A627A">
            <w:pPr>
              <w:rPr>
                <w:rFonts w:eastAsia="Times New Roman" w:cs="Times New Roman"/>
                <w:i/>
                <w:iCs/>
                <w:sz w:val="16"/>
                <w:szCs w:val="16"/>
                <w:lang w:val="cs-CZ" w:eastAsia="cs-CZ"/>
              </w:rPr>
            </w:pPr>
          </w:p>
        </w:tc>
        <w:tc>
          <w:tcPr>
            <w:tcW w:w="9372" w:type="dxa"/>
            <w:gridSpan w:val="10"/>
            <w:tcBorders>
              <w:top w:val="nil"/>
              <w:left w:val="nil"/>
              <w:bottom w:val="nil"/>
              <w:right w:val="nil"/>
            </w:tcBorders>
            <w:shd w:val="clear" w:color="auto" w:fill="auto"/>
            <w:noWrap/>
            <w:vAlign w:val="bottom"/>
            <w:hideMark/>
          </w:tcPr>
          <w:p w14:paraId="2ACC1941" w14:textId="77777777" w:rsidR="00A16DDB" w:rsidRPr="00D95127" w:rsidRDefault="00A16DDB" w:rsidP="007A627A">
            <w:pPr>
              <w:rPr>
                <w:rFonts w:eastAsia="Times New Roman" w:cs="Times New Roman"/>
                <w:i/>
                <w:iCs/>
                <w:sz w:val="16"/>
                <w:szCs w:val="16"/>
                <w:lang w:val="cs-CZ" w:eastAsia="cs-CZ"/>
              </w:rPr>
            </w:pPr>
            <w:r w:rsidRPr="00D95127">
              <w:rPr>
                <w:rFonts w:eastAsia="Times New Roman" w:cs="Times New Roman"/>
                <w:i/>
                <w:iCs/>
                <w:sz w:val="16"/>
                <w:szCs w:val="16"/>
                <w:lang w:val="cs-CZ" w:eastAsia="cs-CZ"/>
              </w:rPr>
              <w:t>Semena pícnin, k setí (kromě obilovin a semen krmné řepy, vojtěšky, jetele, kostřavy, lipnice luční, jílku, bojínku, vikve, semen druhů Poa, srhy, psinečku a vlčího bobu)</w:t>
            </w:r>
          </w:p>
        </w:tc>
      </w:tr>
      <w:tr w:rsidR="00A16DDB" w:rsidRPr="00D95127" w14:paraId="3018FDE3" w14:textId="77777777" w:rsidTr="007A627A">
        <w:trPr>
          <w:gridAfter w:val="1"/>
          <w:wAfter w:w="697" w:type="dxa"/>
          <w:trHeight w:val="255"/>
        </w:trPr>
        <w:tc>
          <w:tcPr>
            <w:tcW w:w="146" w:type="dxa"/>
            <w:gridSpan w:val="2"/>
            <w:tcBorders>
              <w:top w:val="nil"/>
              <w:left w:val="nil"/>
              <w:bottom w:val="nil"/>
              <w:right w:val="nil"/>
            </w:tcBorders>
            <w:shd w:val="clear" w:color="auto" w:fill="auto"/>
            <w:noWrap/>
            <w:vAlign w:val="bottom"/>
            <w:hideMark/>
          </w:tcPr>
          <w:p w14:paraId="3AE501A9" w14:textId="77777777" w:rsidR="00A16DDB" w:rsidRPr="00D95127" w:rsidRDefault="00A16DDB" w:rsidP="007A627A">
            <w:pPr>
              <w:rPr>
                <w:rFonts w:eastAsia="Times New Roman" w:cs="Times New Roman"/>
                <w:i/>
                <w:iCs/>
                <w:sz w:val="16"/>
                <w:szCs w:val="16"/>
                <w:lang w:val="cs-CZ" w:eastAsia="cs-CZ"/>
              </w:rPr>
            </w:pPr>
          </w:p>
        </w:tc>
        <w:tc>
          <w:tcPr>
            <w:tcW w:w="9372" w:type="dxa"/>
            <w:gridSpan w:val="10"/>
            <w:tcBorders>
              <w:top w:val="nil"/>
              <w:left w:val="nil"/>
              <w:bottom w:val="nil"/>
              <w:right w:val="nil"/>
            </w:tcBorders>
            <w:shd w:val="clear" w:color="auto" w:fill="auto"/>
            <w:noWrap/>
            <w:vAlign w:val="bottom"/>
            <w:hideMark/>
          </w:tcPr>
          <w:p w14:paraId="7E7D8309" w14:textId="77777777" w:rsidR="00A16DDB" w:rsidRPr="00D95127" w:rsidRDefault="00A16DDB" w:rsidP="007A627A">
            <w:pPr>
              <w:rPr>
                <w:rFonts w:eastAsia="Times New Roman" w:cs="Times New Roman"/>
                <w:i/>
                <w:iCs/>
                <w:sz w:val="16"/>
                <w:szCs w:val="16"/>
                <w:lang w:val="cs-CZ" w:eastAsia="cs-CZ"/>
              </w:rPr>
            </w:pPr>
            <w:r w:rsidRPr="00D95127">
              <w:rPr>
                <w:rFonts w:eastAsia="Times New Roman" w:cs="Times New Roman"/>
                <w:i/>
                <w:iCs/>
                <w:sz w:val="16"/>
                <w:szCs w:val="16"/>
                <w:lang w:val="cs-CZ" w:eastAsia="cs-CZ"/>
              </w:rPr>
              <w:t>Semena kostřavy červené Festuca rubra L., k setí</w:t>
            </w:r>
          </w:p>
        </w:tc>
      </w:tr>
      <w:tr w:rsidR="00A16DDB" w:rsidRPr="00D95127" w14:paraId="3A2087F0" w14:textId="77777777" w:rsidTr="007A627A">
        <w:trPr>
          <w:gridAfter w:val="1"/>
          <w:wAfter w:w="697" w:type="dxa"/>
          <w:trHeight w:val="255"/>
        </w:trPr>
        <w:tc>
          <w:tcPr>
            <w:tcW w:w="146" w:type="dxa"/>
            <w:gridSpan w:val="2"/>
            <w:tcBorders>
              <w:top w:val="nil"/>
              <w:left w:val="nil"/>
              <w:bottom w:val="nil"/>
              <w:right w:val="nil"/>
            </w:tcBorders>
            <w:shd w:val="clear" w:color="auto" w:fill="auto"/>
            <w:noWrap/>
            <w:vAlign w:val="bottom"/>
            <w:hideMark/>
          </w:tcPr>
          <w:p w14:paraId="49D0ACA1" w14:textId="77777777" w:rsidR="00A16DDB" w:rsidRPr="00D95127" w:rsidRDefault="00A16DDB" w:rsidP="007A627A">
            <w:pPr>
              <w:rPr>
                <w:rFonts w:eastAsia="Times New Roman" w:cs="Times New Roman"/>
                <w:i/>
                <w:iCs/>
                <w:sz w:val="16"/>
                <w:szCs w:val="16"/>
                <w:lang w:val="cs-CZ" w:eastAsia="cs-CZ"/>
              </w:rPr>
            </w:pPr>
          </w:p>
        </w:tc>
        <w:tc>
          <w:tcPr>
            <w:tcW w:w="9372" w:type="dxa"/>
            <w:gridSpan w:val="10"/>
            <w:tcBorders>
              <w:top w:val="nil"/>
              <w:left w:val="nil"/>
              <w:bottom w:val="nil"/>
              <w:right w:val="nil"/>
            </w:tcBorders>
            <w:shd w:val="clear" w:color="auto" w:fill="auto"/>
            <w:noWrap/>
            <w:vAlign w:val="bottom"/>
            <w:hideMark/>
          </w:tcPr>
          <w:p w14:paraId="657B7B0C" w14:textId="77777777" w:rsidR="00A16DDB" w:rsidRPr="00D95127" w:rsidRDefault="00A16DDB" w:rsidP="007A627A">
            <w:pPr>
              <w:rPr>
                <w:rFonts w:eastAsia="Times New Roman" w:cs="Times New Roman"/>
                <w:i/>
                <w:iCs/>
                <w:sz w:val="16"/>
                <w:szCs w:val="16"/>
                <w:lang w:val="cs-CZ" w:eastAsia="cs-CZ"/>
              </w:rPr>
            </w:pPr>
            <w:r w:rsidRPr="00D95127">
              <w:rPr>
                <w:rFonts w:eastAsia="Times New Roman" w:cs="Times New Roman"/>
                <w:i/>
                <w:iCs/>
                <w:sz w:val="16"/>
                <w:szCs w:val="16"/>
                <w:lang w:val="cs-CZ" w:eastAsia="cs-CZ"/>
              </w:rPr>
              <w:t>Semena kostřavy, k setí (kromě semen kostřavy luční a kostřavy červené)</w:t>
            </w:r>
          </w:p>
          <w:p w14:paraId="4D2C5E0A" w14:textId="77777777" w:rsidR="00A16DDB" w:rsidRPr="00D95127" w:rsidRDefault="00A16DDB" w:rsidP="007A627A">
            <w:pPr>
              <w:rPr>
                <w:rFonts w:eastAsia="Times New Roman" w:cs="Times New Roman"/>
                <w:i/>
                <w:iCs/>
                <w:sz w:val="16"/>
                <w:szCs w:val="16"/>
                <w:lang w:val="cs-CZ" w:eastAsia="cs-CZ"/>
              </w:rPr>
            </w:pPr>
          </w:p>
        </w:tc>
      </w:tr>
    </w:tbl>
    <w:p w14:paraId="0D0BE805" w14:textId="77777777" w:rsidR="00A16DDB" w:rsidRPr="00D95127" w:rsidRDefault="00A16DDB" w:rsidP="00A16DDB">
      <w:pPr>
        <w:rPr>
          <w:rFonts w:cs="Times New Roman"/>
          <w:i/>
          <w:iCs/>
          <w:sz w:val="16"/>
          <w:szCs w:val="16"/>
          <w:lang w:val="cs-CZ"/>
        </w:rPr>
      </w:pPr>
    </w:p>
    <w:p w14:paraId="1CD0B586" w14:textId="050BE335" w:rsidR="00A16DDB" w:rsidRPr="00D95127" w:rsidRDefault="00A16DDB" w:rsidP="00DC55E0">
      <w:pPr>
        <w:pStyle w:val="UZEIGraf"/>
      </w:pPr>
      <w:bookmarkStart w:id="794" w:name="_Toc81738817"/>
      <w:r w:rsidRPr="00D95127">
        <w:t>Zahraniční obchod - Trávy na semeno (t)</w:t>
      </w:r>
      <w:bookmarkEnd w:id="794"/>
    </w:p>
    <w:p w14:paraId="0DD0A7E1" w14:textId="77777777" w:rsidR="00A16DDB" w:rsidRPr="00D95127" w:rsidRDefault="00A16DDB" w:rsidP="00A16DDB">
      <w:pPr>
        <w:rPr>
          <w:rFonts w:cs="Times New Roman"/>
          <w:i/>
          <w:iCs/>
          <w:sz w:val="16"/>
          <w:szCs w:val="16"/>
          <w:lang w:val="cs-CZ"/>
        </w:rPr>
      </w:pPr>
      <w:r w:rsidRPr="00D95127">
        <w:rPr>
          <w:rFonts w:cs="Times New Roman"/>
          <w:noProof/>
          <w:lang w:val="cs-CZ"/>
        </w:rPr>
        <w:drawing>
          <wp:inline distT="0" distB="0" distL="0" distR="0" wp14:anchorId="6E6FDEC3" wp14:editId="54C1C724">
            <wp:extent cx="5760720" cy="2731158"/>
            <wp:effectExtent l="0" t="0" r="11430" b="12065"/>
            <wp:docPr id="77" name="Graf 77">
              <a:extLst xmlns:a="http://schemas.openxmlformats.org/drawingml/2006/main">
                <a:ext uri="{FF2B5EF4-FFF2-40B4-BE49-F238E27FC236}">
                  <a16:creationId xmlns:a16="http://schemas.microsoft.com/office/drawing/2014/main" id="{EF8A3E07-CDF1-4070-BAF1-A0EC89D76DF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18C5202F" w14:textId="77777777" w:rsidR="00A16DDB" w:rsidRPr="00D95127" w:rsidRDefault="00A16DDB" w:rsidP="00A16DDB">
      <w:pPr>
        <w:rPr>
          <w:rFonts w:cs="Times New Roman"/>
          <w:i/>
          <w:iCs/>
          <w:sz w:val="16"/>
          <w:szCs w:val="16"/>
          <w:lang w:val="cs-CZ"/>
        </w:rPr>
      </w:pPr>
      <w:r w:rsidRPr="00D95127">
        <w:rPr>
          <w:rFonts w:cs="Times New Roman"/>
          <w:i/>
          <w:iCs/>
          <w:sz w:val="16"/>
          <w:szCs w:val="16"/>
          <w:lang w:val="cs-CZ"/>
        </w:rPr>
        <w:t>Zdroj: Celní statistika MZe</w:t>
      </w:r>
    </w:p>
    <w:tbl>
      <w:tblPr>
        <w:tblW w:w="9406" w:type="dxa"/>
        <w:tblCellMar>
          <w:left w:w="70" w:type="dxa"/>
          <w:right w:w="70" w:type="dxa"/>
        </w:tblCellMar>
        <w:tblLook w:val="04A0" w:firstRow="1" w:lastRow="0" w:firstColumn="1" w:lastColumn="0" w:noHBand="0" w:noVBand="1"/>
      </w:tblPr>
      <w:tblGrid>
        <w:gridCol w:w="146"/>
        <w:gridCol w:w="9372"/>
      </w:tblGrid>
      <w:tr w:rsidR="00A16DDB" w:rsidRPr="00D95127" w14:paraId="3A979C84" w14:textId="77777777" w:rsidTr="007A627A">
        <w:trPr>
          <w:trHeight w:val="255"/>
        </w:trPr>
        <w:tc>
          <w:tcPr>
            <w:tcW w:w="9406" w:type="dxa"/>
            <w:gridSpan w:val="2"/>
            <w:tcBorders>
              <w:top w:val="nil"/>
              <w:left w:val="nil"/>
              <w:bottom w:val="nil"/>
              <w:right w:val="nil"/>
            </w:tcBorders>
            <w:shd w:val="clear" w:color="auto" w:fill="auto"/>
            <w:noWrap/>
            <w:vAlign w:val="bottom"/>
            <w:hideMark/>
          </w:tcPr>
          <w:p w14:paraId="5D705C73" w14:textId="77777777" w:rsidR="00A16DDB" w:rsidRPr="00D95127" w:rsidRDefault="00A16DDB" w:rsidP="007A627A">
            <w:pPr>
              <w:rPr>
                <w:rFonts w:eastAsia="Times New Roman" w:cs="Times New Roman"/>
                <w:i/>
                <w:iCs/>
                <w:sz w:val="16"/>
                <w:szCs w:val="16"/>
                <w:lang w:val="cs-CZ" w:eastAsia="cs-CZ"/>
              </w:rPr>
            </w:pPr>
            <w:r w:rsidRPr="00D95127">
              <w:rPr>
                <w:rFonts w:eastAsia="Times New Roman" w:cs="Times New Roman"/>
                <w:i/>
                <w:iCs/>
                <w:sz w:val="16"/>
                <w:szCs w:val="16"/>
                <w:lang w:val="cs-CZ" w:eastAsia="cs-CZ"/>
              </w:rPr>
              <w:t>Poznámka: Vybrané druhy trav:</w:t>
            </w:r>
          </w:p>
        </w:tc>
      </w:tr>
      <w:tr w:rsidR="00A16DDB" w:rsidRPr="00D95127" w14:paraId="35A4AC7B" w14:textId="77777777" w:rsidTr="007A627A">
        <w:trPr>
          <w:trHeight w:val="255"/>
        </w:trPr>
        <w:tc>
          <w:tcPr>
            <w:tcW w:w="34" w:type="dxa"/>
            <w:tcBorders>
              <w:top w:val="nil"/>
              <w:left w:val="nil"/>
              <w:bottom w:val="nil"/>
              <w:right w:val="nil"/>
            </w:tcBorders>
            <w:shd w:val="clear" w:color="auto" w:fill="auto"/>
            <w:noWrap/>
            <w:vAlign w:val="bottom"/>
            <w:hideMark/>
          </w:tcPr>
          <w:p w14:paraId="655C4DA4" w14:textId="77777777" w:rsidR="00A16DDB" w:rsidRPr="00D95127" w:rsidRDefault="00A16DDB" w:rsidP="007A627A">
            <w:pPr>
              <w:rPr>
                <w:rFonts w:eastAsia="Times New Roman" w:cs="Times New Roman"/>
                <w:i/>
                <w:iCs/>
                <w:sz w:val="20"/>
                <w:szCs w:val="20"/>
                <w:lang w:val="cs-CZ" w:eastAsia="cs-CZ"/>
              </w:rPr>
            </w:pPr>
          </w:p>
        </w:tc>
        <w:tc>
          <w:tcPr>
            <w:tcW w:w="9372" w:type="dxa"/>
            <w:tcBorders>
              <w:top w:val="nil"/>
              <w:left w:val="nil"/>
              <w:bottom w:val="nil"/>
              <w:right w:val="nil"/>
            </w:tcBorders>
            <w:shd w:val="clear" w:color="auto" w:fill="auto"/>
            <w:noWrap/>
            <w:vAlign w:val="bottom"/>
            <w:hideMark/>
          </w:tcPr>
          <w:p w14:paraId="211B76AE" w14:textId="77777777" w:rsidR="00A16DDB" w:rsidRPr="00D95127" w:rsidRDefault="00A16DDB" w:rsidP="007A627A">
            <w:pPr>
              <w:rPr>
                <w:rFonts w:eastAsia="Times New Roman" w:cs="Times New Roman"/>
                <w:i/>
                <w:iCs/>
                <w:sz w:val="16"/>
                <w:szCs w:val="16"/>
                <w:lang w:val="cs-CZ" w:eastAsia="cs-CZ"/>
              </w:rPr>
            </w:pPr>
            <w:r w:rsidRPr="00D95127">
              <w:rPr>
                <w:rFonts w:eastAsia="Times New Roman" w:cs="Times New Roman"/>
                <w:i/>
                <w:iCs/>
                <w:sz w:val="16"/>
                <w:szCs w:val="16"/>
                <w:lang w:val="cs-CZ" w:eastAsia="cs-CZ"/>
              </w:rPr>
              <w:t>Semena kostřavy luční Festuca pratensis Huds., k setí</w:t>
            </w:r>
          </w:p>
        </w:tc>
      </w:tr>
      <w:tr w:rsidR="00A16DDB" w:rsidRPr="00D95127" w14:paraId="571E8820" w14:textId="77777777" w:rsidTr="007A627A">
        <w:trPr>
          <w:trHeight w:val="255"/>
        </w:trPr>
        <w:tc>
          <w:tcPr>
            <w:tcW w:w="34" w:type="dxa"/>
            <w:tcBorders>
              <w:top w:val="nil"/>
              <w:left w:val="nil"/>
              <w:bottom w:val="nil"/>
              <w:right w:val="nil"/>
            </w:tcBorders>
            <w:shd w:val="clear" w:color="auto" w:fill="auto"/>
            <w:noWrap/>
            <w:vAlign w:val="bottom"/>
            <w:hideMark/>
          </w:tcPr>
          <w:p w14:paraId="0979B82A" w14:textId="77777777" w:rsidR="00A16DDB" w:rsidRPr="00D95127" w:rsidRDefault="00A16DDB" w:rsidP="007A627A">
            <w:pPr>
              <w:rPr>
                <w:rFonts w:eastAsia="Times New Roman" w:cs="Times New Roman"/>
                <w:i/>
                <w:iCs/>
                <w:sz w:val="20"/>
                <w:szCs w:val="20"/>
                <w:lang w:val="cs-CZ" w:eastAsia="cs-CZ"/>
              </w:rPr>
            </w:pPr>
          </w:p>
        </w:tc>
        <w:tc>
          <w:tcPr>
            <w:tcW w:w="9372" w:type="dxa"/>
            <w:tcBorders>
              <w:top w:val="nil"/>
              <w:left w:val="nil"/>
              <w:bottom w:val="nil"/>
              <w:right w:val="nil"/>
            </w:tcBorders>
            <w:shd w:val="clear" w:color="auto" w:fill="auto"/>
            <w:noWrap/>
            <w:vAlign w:val="bottom"/>
            <w:hideMark/>
          </w:tcPr>
          <w:p w14:paraId="1D9ACFB1" w14:textId="77777777" w:rsidR="00A16DDB" w:rsidRPr="00D95127" w:rsidRDefault="00A16DDB" w:rsidP="007A627A">
            <w:pPr>
              <w:rPr>
                <w:rFonts w:eastAsia="Times New Roman" w:cs="Times New Roman"/>
                <w:i/>
                <w:iCs/>
                <w:sz w:val="16"/>
                <w:szCs w:val="16"/>
                <w:lang w:val="cs-CZ" w:eastAsia="cs-CZ"/>
              </w:rPr>
            </w:pPr>
            <w:r w:rsidRPr="00D95127">
              <w:rPr>
                <w:rFonts w:eastAsia="Times New Roman" w:cs="Times New Roman"/>
                <w:i/>
                <w:iCs/>
                <w:sz w:val="16"/>
                <w:szCs w:val="16"/>
                <w:lang w:val="cs-CZ" w:eastAsia="cs-CZ"/>
              </w:rPr>
              <w:t>Semena lipnice luční Poa pratensis L., k setí</w:t>
            </w:r>
          </w:p>
        </w:tc>
      </w:tr>
      <w:tr w:rsidR="00A16DDB" w:rsidRPr="00D95127" w14:paraId="7E942D7E" w14:textId="77777777" w:rsidTr="007A627A">
        <w:trPr>
          <w:trHeight w:val="255"/>
        </w:trPr>
        <w:tc>
          <w:tcPr>
            <w:tcW w:w="34" w:type="dxa"/>
            <w:tcBorders>
              <w:top w:val="nil"/>
              <w:left w:val="nil"/>
              <w:bottom w:val="nil"/>
              <w:right w:val="nil"/>
            </w:tcBorders>
            <w:shd w:val="clear" w:color="auto" w:fill="auto"/>
            <w:noWrap/>
            <w:vAlign w:val="bottom"/>
            <w:hideMark/>
          </w:tcPr>
          <w:p w14:paraId="495910C3" w14:textId="77777777" w:rsidR="00A16DDB" w:rsidRPr="00D95127" w:rsidRDefault="00A16DDB" w:rsidP="007A627A">
            <w:pPr>
              <w:rPr>
                <w:rFonts w:eastAsia="Times New Roman" w:cs="Times New Roman"/>
                <w:i/>
                <w:iCs/>
                <w:sz w:val="20"/>
                <w:szCs w:val="20"/>
                <w:lang w:val="cs-CZ" w:eastAsia="cs-CZ"/>
              </w:rPr>
            </w:pPr>
          </w:p>
        </w:tc>
        <w:tc>
          <w:tcPr>
            <w:tcW w:w="9372" w:type="dxa"/>
            <w:tcBorders>
              <w:top w:val="nil"/>
              <w:left w:val="nil"/>
              <w:bottom w:val="nil"/>
              <w:right w:val="nil"/>
            </w:tcBorders>
            <w:shd w:val="clear" w:color="auto" w:fill="auto"/>
            <w:noWrap/>
            <w:vAlign w:val="bottom"/>
            <w:hideMark/>
          </w:tcPr>
          <w:p w14:paraId="78E4DA35" w14:textId="77777777" w:rsidR="00A16DDB" w:rsidRPr="00D95127" w:rsidRDefault="00A16DDB" w:rsidP="007A627A">
            <w:pPr>
              <w:rPr>
                <w:rFonts w:eastAsia="Times New Roman" w:cs="Times New Roman"/>
                <w:i/>
                <w:iCs/>
                <w:sz w:val="16"/>
                <w:szCs w:val="16"/>
                <w:lang w:val="cs-CZ" w:eastAsia="cs-CZ"/>
              </w:rPr>
            </w:pPr>
            <w:r w:rsidRPr="00D95127">
              <w:rPr>
                <w:rFonts w:eastAsia="Times New Roman" w:cs="Times New Roman"/>
                <w:i/>
                <w:iCs/>
                <w:sz w:val="16"/>
                <w:szCs w:val="16"/>
                <w:lang w:val="cs-CZ" w:eastAsia="cs-CZ"/>
              </w:rPr>
              <w:t>Semena jílku italského Lolium multiflorum Lam., k setí</w:t>
            </w:r>
          </w:p>
        </w:tc>
      </w:tr>
      <w:tr w:rsidR="00A16DDB" w:rsidRPr="00D95127" w14:paraId="686F99D1" w14:textId="77777777" w:rsidTr="007A627A">
        <w:trPr>
          <w:trHeight w:val="255"/>
        </w:trPr>
        <w:tc>
          <w:tcPr>
            <w:tcW w:w="34" w:type="dxa"/>
            <w:tcBorders>
              <w:top w:val="nil"/>
              <w:left w:val="nil"/>
              <w:bottom w:val="nil"/>
              <w:right w:val="nil"/>
            </w:tcBorders>
            <w:shd w:val="clear" w:color="auto" w:fill="auto"/>
            <w:noWrap/>
            <w:vAlign w:val="bottom"/>
            <w:hideMark/>
          </w:tcPr>
          <w:p w14:paraId="15A23FED" w14:textId="77777777" w:rsidR="00A16DDB" w:rsidRPr="00D95127" w:rsidRDefault="00A16DDB" w:rsidP="007A627A">
            <w:pPr>
              <w:rPr>
                <w:rFonts w:eastAsia="Times New Roman" w:cs="Times New Roman"/>
                <w:i/>
                <w:iCs/>
                <w:sz w:val="20"/>
                <w:szCs w:val="20"/>
                <w:lang w:val="cs-CZ" w:eastAsia="cs-CZ"/>
              </w:rPr>
            </w:pPr>
          </w:p>
        </w:tc>
        <w:tc>
          <w:tcPr>
            <w:tcW w:w="9372" w:type="dxa"/>
            <w:tcBorders>
              <w:top w:val="nil"/>
              <w:left w:val="nil"/>
              <w:bottom w:val="nil"/>
              <w:right w:val="nil"/>
            </w:tcBorders>
            <w:shd w:val="clear" w:color="auto" w:fill="auto"/>
            <w:noWrap/>
            <w:vAlign w:val="bottom"/>
            <w:hideMark/>
          </w:tcPr>
          <w:p w14:paraId="0C7B1209" w14:textId="77777777" w:rsidR="00A16DDB" w:rsidRPr="00D95127" w:rsidRDefault="00A16DDB" w:rsidP="007A627A">
            <w:pPr>
              <w:rPr>
                <w:rFonts w:eastAsia="Times New Roman" w:cs="Times New Roman"/>
                <w:i/>
                <w:iCs/>
                <w:sz w:val="16"/>
                <w:szCs w:val="16"/>
                <w:lang w:val="cs-CZ" w:eastAsia="cs-CZ"/>
              </w:rPr>
            </w:pPr>
            <w:r w:rsidRPr="00D95127">
              <w:rPr>
                <w:rFonts w:eastAsia="Times New Roman" w:cs="Times New Roman"/>
                <w:i/>
                <w:iCs/>
                <w:sz w:val="16"/>
                <w:szCs w:val="16"/>
                <w:lang w:val="cs-CZ" w:eastAsia="cs-CZ"/>
              </w:rPr>
              <w:t>Semena jílku vytrvalého Loloium perenne L., k setí</w:t>
            </w:r>
          </w:p>
        </w:tc>
      </w:tr>
      <w:tr w:rsidR="00A16DDB" w:rsidRPr="00D95127" w14:paraId="48C63DA5" w14:textId="77777777" w:rsidTr="007A627A">
        <w:trPr>
          <w:trHeight w:val="255"/>
        </w:trPr>
        <w:tc>
          <w:tcPr>
            <w:tcW w:w="34" w:type="dxa"/>
            <w:tcBorders>
              <w:top w:val="nil"/>
              <w:left w:val="nil"/>
              <w:bottom w:val="nil"/>
              <w:right w:val="nil"/>
            </w:tcBorders>
            <w:shd w:val="clear" w:color="auto" w:fill="auto"/>
            <w:noWrap/>
            <w:vAlign w:val="bottom"/>
            <w:hideMark/>
          </w:tcPr>
          <w:p w14:paraId="1C6CC9C2" w14:textId="77777777" w:rsidR="00A16DDB" w:rsidRPr="00D95127" w:rsidRDefault="00A16DDB" w:rsidP="007A627A">
            <w:pPr>
              <w:rPr>
                <w:rFonts w:eastAsia="Times New Roman" w:cs="Times New Roman"/>
                <w:i/>
                <w:iCs/>
                <w:sz w:val="20"/>
                <w:szCs w:val="20"/>
                <w:lang w:val="cs-CZ" w:eastAsia="cs-CZ"/>
              </w:rPr>
            </w:pPr>
          </w:p>
        </w:tc>
        <w:tc>
          <w:tcPr>
            <w:tcW w:w="9372" w:type="dxa"/>
            <w:tcBorders>
              <w:top w:val="nil"/>
              <w:left w:val="nil"/>
              <w:bottom w:val="nil"/>
              <w:right w:val="nil"/>
            </w:tcBorders>
            <w:shd w:val="clear" w:color="auto" w:fill="auto"/>
            <w:noWrap/>
            <w:vAlign w:val="bottom"/>
            <w:hideMark/>
          </w:tcPr>
          <w:p w14:paraId="1484E15C" w14:textId="77777777" w:rsidR="00A16DDB" w:rsidRPr="00D95127" w:rsidRDefault="00A16DDB" w:rsidP="007A627A">
            <w:pPr>
              <w:rPr>
                <w:rFonts w:eastAsia="Times New Roman" w:cs="Times New Roman"/>
                <w:i/>
                <w:iCs/>
                <w:sz w:val="16"/>
                <w:szCs w:val="16"/>
                <w:lang w:val="cs-CZ" w:eastAsia="cs-CZ"/>
              </w:rPr>
            </w:pPr>
            <w:r w:rsidRPr="00D95127">
              <w:rPr>
                <w:rFonts w:eastAsia="Times New Roman" w:cs="Times New Roman"/>
                <w:i/>
                <w:iCs/>
                <w:sz w:val="16"/>
                <w:szCs w:val="16"/>
                <w:lang w:val="cs-CZ" w:eastAsia="cs-CZ"/>
              </w:rPr>
              <w:t>Semena bojínku,vikve,lipnice Poa,srhy laločnaté,psinečku k setí</w:t>
            </w:r>
          </w:p>
        </w:tc>
      </w:tr>
      <w:tr w:rsidR="00A16DDB" w:rsidRPr="00D95127" w14:paraId="44C1B74E" w14:textId="77777777" w:rsidTr="007A627A">
        <w:trPr>
          <w:trHeight w:val="255"/>
        </w:trPr>
        <w:tc>
          <w:tcPr>
            <w:tcW w:w="34" w:type="dxa"/>
            <w:tcBorders>
              <w:top w:val="nil"/>
              <w:left w:val="nil"/>
              <w:bottom w:val="nil"/>
              <w:right w:val="nil"/>
            </w:tcBorders>
            <w:shd w:val="clear" w:color="auto" w:fill="auto"/>
            <w:noWrap/>
            <w:vAlign w:val="bottom"/>
            <w:hideMark/>
          </w:tcPr>
          <w:p w14:paraId="7837B7C2" w14:textId="77777777" w:rsidR="00A16DDB" w:rsidRPr="00D95127" w:rsidRDefault="00A16DDB" w:rsidP="007A627A">
            <w:pPr>
              <w:rPr>
                <w:rFonts w:eastAsia="Times New Roman" w:cs="Times New Roman"/>
                <w:i/>
                <w:iCs/>
                <w:sz w:val="20"/>
                <w:szCs w:val="20"/>
                <w:lang w:val="cs-CZ" w:eastAsia="cs-CZ"/>
              </w:rPr>
            </w:pPr>
          </w:p>
        </w:tc>
        <w:tc>
          <w:tcPr>
            <w:tcW w:w="9372" w:type="dxa"/>
            <w:tcBorders>
              <w:top w:val="nil"/>
              <w:left w:val="nil"/>
              <w:bottom w:val="nil"/>
              <w:right w:val="nil"/>
            </w:tcBorders>
            <w:shd w:val="clear" w:color="auto" w:fill="auto"/>
            <w:noWrap/>
            <w:vAlign w:val="bottom"/>
            <w:hideMark/>
          </w:tcPr>
          <w:p w14:paraId="0C917EFF" w14:textId="77777777" w:rsidR="00A16DDB" w:rsidRPr="00D95127" w:rsidRDefault="00A16DDB" w:rsidP="007A627A">
            <w:pPr>
              <w:rPr>
                <w:rFonts w:eastAsia="Times New Roman" w:cs="Times New Roman"/>
                <w:i/>
                <w:iCs/>
                <w:sz w:val="16"/>
                <w:szCs w:val="16"/>
                <w:lang w:val="cs-CZ" w:eastAsia="cs-CZ"/>
              </w:rPr>
            </w:pPr>
            <w:r w:rsidRPr="00D95127">
              <w:rPr>
                <w:rFonts w:eastAsia="Times New Roman" w:cs="Times New Roman"/>
                <w:i/>
                <w:iCs/>
                <w:sz w:val="16"/>
                <w:szCs w:val="16"/>
                <w:lang w:val="cs-CZ" w:eastAsia="cs-CZ"/>
              </w:rPr>
              <w:t>Semena pícnin, k setí (kromě obilovin a semen krmné řepy, vojtěšky, jetele, kostřavy, lipnice luční, jílku, bojínku, vikve, semen druhů Poa, srhy, psinečku a vlčího bobu)</w:t>
            </w:r>
          </w:p>
        </w:tc>
      </w:tr>
      <w:tr w:rsidR="00A16DDB" w:rsidRPr="00D95127" w14:paraId="401167A2" w14:textId="77777777" w:rsidTr="007A627A">
        <w:trPr>
          <w:trHeight w:val="255"/>
        </w:trPr>
        <w:tc>
          <w:tcPr>
            <w:tcW w:w="34" w:type="dxa"/>
            <w:tcBorders>
              <w:top w:val="nil"/>
              <w:left w:val="nil"/>
              <w:bottom w:val="nil"/>
              <w:right w:val="nil"/>
            </w:tcBorders>
            <w:shd w:val="clear" w:color="auto" w:fill="auto"/>
            <w:noWrap/>
            <w:vAlign w:val="bottom"/>
            <w:hideMark/>
          </w:tcPr>
          <w:p w14:paraId="56A20DCA" w14:textId="77777777" w:rsidR="00A16DDB" w:rsidRPr="00D95127" w:rsidRDefault="00A16DDB" w:rsidP="007A627A">
            <w:pPr>
              <w:rPr>
                <w:rFonts w:eastAsia="Times New Roman" w:cs="Times New Roman"/>
                <w:i/>
                <w:iCs/>
                <w:sz w:val="20"/>
                <w:szCs w:val="20"/>
                <w:lang w:val="cs-CZ" w:eastAsia="cs-CZ"/>
              </w:rPr>
            </w:pPr>
          </w:p>
        </w:tc>
        <w:tc>
          <w:tcPr>
            <w:tcW w:w="9372" w:type="dxa"/>
            <w:tcBorders>
              <w:top w:val="nil"/>
              <w:left w:val="nil"/>
              <w:bottom w:val="nil"/>
              <w:right w:val="nil"/>
            </w:tcBorders>
            <w:shd w:val="clear" w:color="auto" w:fill="auto"/>
            <w:noWrap/>
            <w:vAlign w:val="bottom"/>
            <w:hideMark/>
          </w:tcPr>
          <w:p w14:paraId="21F7F226" w14:textId="77777777" w:rsidR="00A16DDB" w:rsidRPr="00D95127" w:rsidRDefault="00A16DDB" w:rsidP="007A627A">
            <w:pPr>
              <w:rPr>
                <w:rFonts w:eastAsia="Times New Roman" w:cs="Times New Roman"/>
                <w:i/>
                <w:iCs/>
                <w:sz w:val="16"/>
                <w:szCs w:val="16"/>
                <w:lang w:val="cs-CZ" w:eastAsia="cs-CZ"/>
              </w:rPr>
            </w:pPr>
            <w:r w:rsidRPr="00D95127">
              <w:rPr>
                <w:rFonts w:eastAsia="Times New Roman" w:cs="Times New Roman"/>
                <w:i/>
                <w:iCs/>
                <w:sz w:val="16"/>
                <w:szCs w:val="16"/>
                <w:lang w:val="cs-CZ" w:eastAsia="cs-CZ"/>
              </w:rPr>
              <w:t>Semena kostřavy červené Festuca rubra L., k setí</w:t>
            </w:r>
          </w:p>
        </w:tc>
      </w:tr>
      <w:tr w:rsidR="00A16DDB" w:rsidRPr="00D95127" w14:paraId="04ADDA0F" w14:textId="77777777" w:rsidTr="007A627A">
        <w:trPr>
          <w:trHeight w:val="255"/>
        </w:trPr>
        <w:tc>
          <w:tcPr>
            <w:tcW w:w="34" w:type="dxa"/>
            <w:tcBorders>
              <w:top w:val="nil"/>
              <w:left w:val="nil"/>
              <w:bottom w:val="nil"/>
              <w:right w:val="nil"/>
            </w:tcBorders>
            <w:shd w:val="clear" w:color="auto" w:fill="auto"/>
            <w:noWrap/>
            <w:vAlign w:val="bottom"/>
            <w:hideMark/>
          </w:tcPr>
          <w:p w14:paraId="76C184CB" w14:textId="77777777" w:rsidR="00A16DDB" w:rsidRPr="00D95127" w:rsidRDefault="00A16DDB" w:rsidP="007A627A">
            <w:pPr>
              <w:rPr>
                <w:rFonts w:eastAsia="Times New Roman" w:cs="Times New Roman"/>
                <w:i/>
                <w:iCs/>
                <w:sz w:val="20"/>
                <w:szCs w:val="20"/>
                <w:lang w:val="cs-CZ" w:eastAsia="cs-CZ"/>
              </w:rPr>
            </w:pPr>
          </w:p>
        </w:tc>
        <w:tc>
          <w:tcPr>
            <w:tcW w:w="9372" w:type="dxa"/>
            <w:tcBorders>
              <w:top w:val="nil"/>
              <w:left w:val="nil"/>
              <w:bottom w:val="nil"/>
              <w:right w:val="nil"/>
            </w:tcBorders>
            <w:shd w:val="clear" w:color="auto" w:fill="auto"/>
            <w:noWrap/>
            <w:vAlign w:val="bottom"/>
            <w:hideMark/>
          </w:tcPr>
          <w:p w14:paraId="791062DE" w14:textId="77777777" w:rsidR="00A16DDB" w:rsidRPr="00D95127" w:rsidRDefault="00A16DDB" w:rsidP="007A627A">
            <w:pPr>
              <w:rPr>
                <w:rFonts w:eastAsia="Times New Roman" w:cs="Times New Roman"/>
                <w:i/>
                <w:iCs/>
                <w:sz w:val="16"/>
                <w:szCs w:val="16"/>
                <w:lang w:val="cs-CZ" w:eastAsia="cs-CZ"/>
              </w:rPr>
            </w:pPr>
            <w:r w:rsidRPr="00D95127">
              <w:rPr>
                <w:rFonts w:eastAsia="Times New Roman" w:cs="Times New Roman"/>
                <w:i/>
                <w:iCs/>
                <w:sz w:val="16"/>
                <w:szCs w:val="16"/>
                <w:lang w:val="cs-CZ" w:eastAsia="cs-CZ"/>
              </w:rPr>
              <w:t>Semena kostřavy, k setí (kromě semen kostřavy luční a kostřavy červené)</w:t>
            </w:r>
          </w:p>
        </w:tc>
      </w:tr>
    </w:tbl>
    <w:p w14:paraId="1C932B39" w14:textId="77777777" w:rsidR="00A16DDB" w:rsidRPr="00D95127" w:rsidRDefault="00A16DDB" w:rsidP="00A16DDB">
      <w:pPr>
        <w:rPr>
          <w:rFonts w:cs="Times New Roman"/>
          <w:i/>
          <w:iCs/>
          <w:sz w:val="16"/>
          <w:szCs w:val="16"/>
          <w:lang w:val="cs-CZ"/>
        </w:rPr>
      </w:pPr>
    </w:p>
    <w:p w14:paraId="54EDDEE8" w14:textId="391F577F" w:rsidR="00A16DDB" w:rsidRPr="00D95127" w:rsidRDefault="00A16DDB" w:rsidP="00DC55E0">
      <w:pPr>
        <w:pStyle w:val="UZEIGraf"/>
      </w:pPr>
      <w:bookmarkStart w:id="795" w:name="_Toc81738818"/>
      <w:r w:rsidRPr="00D95127">
        <w:t>Zahraniční obchod - Trávy na semeno (mil. Kč)</w:t>
      </w:r>
      <w:bookmarkEnd w:id="795"/>
    </w:p>
    <w:p w14:paraId="448D42C6" w14:textId="77777777" w:rsidR="00A16DDB" w:rsidRPr="00D95127" w:rsidRDefault="00A16DDB" w:rsidP="00A16DDB">
      <w:pPr>
        <w:rPr>
          <w:rFonts w:cs="Times New Roman"/>
          <w:i/>
          <w:iCs/>
          <w:sz w:val="16"/>
          <w:szCs w:val="16"/>
          <w:lang w:val="cs-CZ"/>
        </w:rPr>
      </w:pPr>
      <w:r w:rsidRPr="00D95127">
        <w:rPr>
          <w:rFonts w:cs="Times New Roman"/>
          <w:noProof/>
          <w:lang w:val="cs-CZ"/>
        </w:rPr>
        <w:drawing>
          <wp:inline distT="0" distB="0" distL="0" distR="0" wp14:anchorId="290183ED" wp14:editId="3A2ED864">
            <wp:extent cx="5459105" cy="2743200"/>
            <wp:effectExtent l="0" t="0" r="8255" b="0"/>
            <wp:docPr id="84" name="Graf 84">
              <a:extLst xmlns:a="http://schemas.openxmlformats.org/drawingml/2006/main">
                <a:ext uri="{FF2B5EF4-FFF2-40B4-BE49-F238E27FC236}">
                  <a16:creationId xmlns:a16="http://schemas.microsoft.com/office/drawing/2014/main" id="{D4F1DED0-EF0E-41A0-858A-B1996BC5B0E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7A476D42" w14:textId="77777777" w:rsidR="00A16DDB" w:rsidRPr="00D95127" w:rsidRDefault="00A16DDB" w:rsidP="00A16DDB">
      <w:pPr>
        <w:rPr>
          <w:rFonts w:cs="Times New Roman"/>
          <w:i/>
          <w:iCs/>
          <w:sz w:val="16"/>
          <w:szCs w:val="16"/>
          <w:lang w:val="cs-CZ"/>
        </w:rPr>
      </w:pPr>
      <w:r w:rsidRPr="00D95127">
        <w:rPr>
          <w:rFonts w:cs="Times New Roman"/>
          <w:i/>
          <w:iCs/>
          <w:sz w:val="16"/>
          <w:szCs w:val="16"/>
          <w:lang w:val="cs-CZ"/>
        </w:rPr>
        <w:t>Zdroj: Celní statistika MZe</w:t>
      </w:r>
    </w:p>
    <w:tbl>
      <w:tblPr>
        <w:tblW w:w="9406" w:type="dxa"/>
        <w:tblCellMar>
          <w:left w:w="70" w:type="dxa"/>
          <w:right w:w="70" w:type="dxa"/>
        </w:tblCellMar>
        <w:tblLook w:val="04A0" w:firstRow="1" w:lastRow="0" w:firstColumn="1" w:lastColumn="0" w:noHBand="0" w:noVBand="1"/>
      </w:tblPr>
      <w:tblGrid>
        <w:gridCol w:w="146"/>
        <w:gridCol w:w="9372"/>
      </w:tblGrid>
      <w:tr w:rsidR="00A16DDB" w:rsidRPr="00D95127" w14:paraId="685724A1" w14:textId="77777777" w:rsidTr="007A627A">
        <w:trPr>
          <w:trHeight w:val="255"/>
        </w:trPr>
        <w:tc>
          <w:tcPr>
            <w:tcW w:w="9406" w:type="dxa"/>
            <w:gridSpan w:val="2"/>
            <w:tcBorders>
              <w:top w:val="nil"/>
              <w:left w:val="nil"/>
              <w:bottom w:val="nil"/>
              <w:right w:val="nil"/>
            </w:tcBorders>
            <w:shd w:val="clear" w:color="auto" w:fill="auto"/>
            <w:noWrap/>
            <w:vAlign w:val="bottom"/>
            <w:hideMark/>
          </w:tcPr>
          <w:p w14:paraId="21377A2F" w14:textId="77777777" w:rsidR="00A16DDB" w:rsidRPr="00D95127" w:rsidRDefault="00A16DDB" w:rsidP="007A627A">
            <w:pPr>
              <w:rPr>
                <w:rFonts w:eastAsia="Times New Roman" w:cs="Times New Roman"/>
                <w:i/>
                <w:iCs/>
                <w:sz w:val="16"/>
                <w:szCs w:val="16"/>
                <w:lang w:val="cs-CZ" w:eastAsia="cs-CZ"/>
              </w:rPr>
            </w:pPr>
            <w:r w:rsidRPr="00D95127">
              <w:rPr>
                <w:rFonts w:eastAsia="Times New Roman" w:cs="Times New Roman"/>
                <w:i/>
                <w:iCs/>
                <w:sz w:val="16"/>
                <w:szCs w:val="16"/>
                <w:lang w:val="cs-CZ" w:eastAsia="cs-CZ"/>
              </w:rPr>
              <w:t>Poznámka: Vybrané druhy trav:</w:t>
            </w:r>
          </w:p>
        </w:tc>
      </w:tr>
      <w:tr w:rsidR="00A16DDB" w:rsidRPr="00D95127" w14:paraId="18E9ACC6" w14:textId="77777777" w:rsidTr="007A627A">
        <w:trPr>
          <w:trHeight w:val="255"/>
        </w:trPr>
        <w:tc>
          <w:tcPr>
            <w:tcW w:w="34" w:type="dxa"/>
            <w:tcBorders>
              <w:top w:val="nil"/>
              <w:left w:val="nil"/>
              <w:bottom w:val="nil"/>
              <w:right w:val="nil"/>
            </w:tcBorders>
            <w:shd w:val="clear" w:color="auto" w:fill="auto"/>
            <w:noWrap/>
            <w:vAlign w:val="bottom"/>
            <w:hideMark/>
          </w:tcPr>
          <w:p w14:paraId="7225203C" w14:textId="77777777" w:rsidR="00A16DDB" w:rsidRPr="00D95127" w:rsidRDefault="00A16DDB" w:rsidP="007A627A">
            <w:pPr>
              <w:rPr>
                <w:rFonts w:eastAsia="Times New Roman" w:cs="Times New Roman"/>
                <w:i/>
                <w:iCs/>
                <w:sz w:val="20"/>
                <w:szCs w:val="20"/>
                <w:lang w:val="cs-CZ" w:eastAsia="cs-CZ"/>
              </w:rPr>
            </w:pPr>
          </w:p>
        </w:tc>
        <w:tc>
          <w:tcPr>
            <w:tcW w:w="9372" w:type="dxa"/>
            <w:tcBorders>
              <w:top w:val="nil"/>
              <w:left w:val="nil"/>
              <w:bottom w:val="nil"/>
              <w:right w:val="nil"/>
            </w:tcBorders>
            <w:shd w:val="clear" w:color="auto" w:fill="auto"/>
            <w:noWrap/>
            <w:vAlign w:val="bottom"/>
            <w:hideMark/>
          </w:tcPr>
          <w:p w14:paraId="15527F48" w14:textId="77777777" w:rsidR="00A16DDB" w:rsidRPr="00D95127" w:rsidRDefault="00A16DDB" w:rsidP="007A627A">
            <w:pPr>
              <w:rPr>
                <w:rFonts w:eastAsia="Times New Roman" w:cs="Times New Roman"/>
                <w:i/>
                <w:iCs/>
                <w:sz w:val="16"/>
                <w:szCs w:val="16"/>
                <w:lang w:val="cs-CZ" w:eastAsia="cs-CZ"/>
              </w:rPr>
            </w:pPr>
            <w:r w:rsidRPr="00D95127">
              <w:rPr>
                <w:rFonts w:eastAsia="Times New Roman" w:cs="Times New Roman"/>
                <w:i/>
                <w:iCs/>
                <w:sz w:val="16"/>
                <w:szCs w:val="16"/>
                <w:lang w:val="cs-CZ" w:eastAsia="cs-CZ"/>
              </w:rPr>
              <w:t>Semena kostřavy luční Festuca pratensis Huds., k setí</w:t>
            </w:r>
          </w:p>
        </w:tc>
      </w:tr>
      <w:tr w:rsidR="00A16DDB" w:rsidRPr="00D95127" w14:paraId="6C0CAF9C" w14:textId="77777777" w:rsidTr="007A627A">
        <w:trPr>
          <w:trHeight w:val="255"/>
        </w:trPr>
        <w:tc>
          <w:tcPr>
            <w:tcW w:w="34" w:type="dxa"/>
            <w:tcBorders>
              <w:top w:val="nil"/>
              <w:left w:val="nil"/>
              <w:bottom w:val="nil"/>
              <w:right w:val="nil"/>
            </w:tcBorders>
            <w:shd w:val="clear" w:color="auto" w:fill="auto"/>
            <w:noWrap/>
            <w:vAlign w:val="bottom"/>
            <w:hideMark/>
          </w:tcPr>
          <w:p w14:paraId="5795E392" w14:textId="77777777" w:rsidR="00A16DDB" w:rsidRPr="00D95127" w:rsidRDefault="00A16DDB" w:rsidP="007A627A">
            <w:pPr>
              <w:rPr>
                <w:rFonts w:eastAsia="Times New Roman" w:cs="Times New Roman"/>
                <w:i/>
                <w:iCs/>
                <w:sz w:val="20"/>
                <w:szCs w:val="20"/>
                <w:lang w:val="cs-CZ" w:eastAsia="cs-CZ"/>
              </w:rPr>
            </w:pPr>
          </w:p>
        </w:tc>
        <w:tc>
          <w:tcPr>
            <w:tcW w:w="9372" w:type="dxa"/>
            <w:tcBorders>
              <w:top w:val="nil"/>
              <w:left w:val="nil"/>
              <w:bottom w:val="nil"/>
              <w:right w:val="nil"/>
            </w:tcBorders>
            <w:shd w:val="clear" w:color="auto" w:fill="auto"/>
            <w:noWrap/>
            <w:vAlign w:val="bottom"/>
            <w:hideMark/>
          </w:tcPr>
          <w:p w14:paraId="2C48485C" w14:textId="77777777" w:rsidR="00A16DDB" w:rsidRPr="00D95127" w:rsidRDefault="00A16DDB" w:rsidP="007A627A">
            <w:pPr>
              <w:rPr>
                <w:rFonts w:eastAsia="Times New Roman" w:cs="Times New Roman"/>
                <w:i/>
                <w:iCs/>
                <w:sz w:val="16"/>
                <w:szCs w:val="16"/>
                <w:lang w:val="cs-CZ" w:eastAsia="cs-CZ"/>
              </w:rPr>
            </w:pPr>
            <w:r w:rsidRPr="00D95127">
              <w:rPr>
                <w:rFonts w:eastAsia="Times New Roman" w:cs="Times New Roman"/>
                <w:i/>
                <w:iCs/>
                <w:sz w:val="16"/>
                <w:szCs w:val="16"/>
                <w:lang w:val="cs-CZ" w:eastAsia="cs-CZ"/>
              </w:rPr>
              <w:t>Semena lipnice luční Poa pratensis L., k setí</w:t>
            </w:r>
          </w:p>
        </w:tc>
      </w:tr>
      <w:tr w:rsidR="00A16DDB" w:rsidRPr="00D95127" w14:paraId="5C75D0F5" w14:textId="77777777" w:rsidTr="007A627A">
        <w:trPr>
          <w:trHeight w:val="255"/>
        </w:trPr>
        <w:tc>
          <w:tcPr>
            <w:tcW w:w="34" w:type="dxa"/>
            <w:tcBorders>
              <w:top w:val="nil"/>
              <w:left w:val="nil"/>
              <w:bottom w:val="nil"/>
              <w:right w:val="nil"/>
            </w:tcBorders>
            <w:shd w:val="clear" w:color="auto" w:fill="auto"/>
            <w:noWrap/>
            <w:vAlign w:val="bottom"/>
            <w:hideMark/>
          </w:tcPr>
          <w:p w14:paraId="3DB9EABC" w14:textId="77777777" w:rsidR="00A16DDB" w:rsidRPr="00D95127" w:rsidRDefault="00A16DDB" w:rsidP="007A627A">
            <w:pPr>
              <w:rPr>
                <w:rFonts w:eastAsia="Times New Roman" w:cs="Times New Roman"/>
                <w:i/>
                <w:iCs/>
                <w:sz w:val="20"/>
                <w:szCs w:val="20"/>
                <w:lang w:val="cs-CZ" w:eastAsia="cs-CZ"/>
              </w:rPr>
            </w:pPr>
          </w:p>
        </w:tc>
        <w:tc>
          <w:tcPr>
            <w:tcW w:w="9372" w:type="dxa"/>
            <w:tcBorders>
              <w:top w:val="nil"/>
              <w:left w:val="nil"/>
              <w:bottom w:val="nil"/>
              <w:right w:val="nil"/>
            </w:tcBorders>
            <w:shd w:val="clear" w:color="auto" w:fill="auto"/>
            <w:noWrap/>
            <w:vAlign w:val="bottom"/>
            <w:hideMark/>
          </w:tcPr>
          <w:p w14:paraId="206EF9E7" w14:textId="77777777" w:rsidR="00A16DDB" w:rsidRPr="00D95127" w:rsidRDefault="00A16DDB" w:rsidP="007A627A">
            <w:pPr>
              <w:rPr>
                <w:rFonts w:eastAsia="Times New Roman" w:cs="Times New Roman"/>
                <w:i/>
                <w:iCs/>
                <w:sz w:val="16"/>
                <w:szCs w:val="16"/>
                <w:lang w:val="cs-CZ" w:eastAsia="cs-CZ"/>
              </w:rPr>
            </w:pPr>
            <w:r w:rsidRPr="00D95127">
              <w:rPr>
                <w:rFonts w:eastAsia="Times New Roman" w:cs="Times New Roman"/>
                <w:i/>
                <w:iCs/>
                <w:sz w:val="16"/>
                <w:szCs w:val="16"/>
                <w:lang w:val="cs-CZ" w:eastAsia="cs-CZ"/>
              </w:rPr>
              <w:t>Semena jílku italského Lolium multiflorum Lam., k setí</w:t>
            </w:r>
          </w:p>
        </w:tc>
      </w:tr>
      <w:tr w:rsidR="00A16DDB" w:rsidRPr="00D95127" w14:paraId="39C0302A" w14:textId="77777777" w:rsidTr="007A627A">
        <w:trPr>
          <w:trHeight w:val="255"/>
        </w:trPr>
        <w:tc>
          <w:tcPr>
            <w:tcW w:w="34" w:type="dxa"/>
            <w:tcBorders>
              <w:top w:val="nil"/>
              <w:left w:val="nil"/>
              <w:bottom w:val="nil"/>
              <w:right w:val="nil"/>
            </w:tcBorders>
            <w:shd w:val="clear" w:color="auto" w:fill="auto"/>
            <w:noWrap/>
            <w:vAlign w:val="bottom"/>
            <w:hideMark/>
          </w:tcPr>
          <w:p w14:paraId="2EDE3021" w14:textId="77777777" w:rsidR="00A16DDB" w:rsidRPr="00D95127" w:rsidRDefault="00A16DDB" w:rsidP="007A627A">
            <w:pPr>
              <w:rPr>
                <w:rFonts w:eastAsia="Times New Roman" w:cs="Times New Roman"/>
                <w:i/>
                <w:iCs/>
                <w:sz w:val="20"/>
                <w:szCs w:val="20"/>
                <w:lang w:val="cs-CZ" w:eastAsia="cs-CZ"/>
              </w:rPr>
            </w:pPr>
          </w:p>
        </w:tc>
        <w:tc>
          <w:tcPr>
            <w:tcW w:w="9372" w:type="dxa"/>
            <w:tcBorders>
              <w:top w:val="nil"/>
              <w:left w:val="nil"/>
              <w:bottom w:val="nil"/>
              <w:right w:val="nil"/>
            </w:tcBorders>
            <w:shd w:val="clear" w:color="auto" w:fill="auto"/>
            <w:noWrap/>
            <w:vAlign w:val="bottom"/>
            <w:hideMark/>
          </w:tcPr>
          <w:p w14:paraId="1CE935C3" w14:textId="77777777" w:rsidR="00A16DDB" w:rsidRPr="00D95127" w:rsidRDefault="00A16DDB" w:rsidP="007A627A">
            <w:pPr>
              <w:rPr>
                <w:rFonts w:eastAsia="Times New Roman" w:cs="Times New Roman"/>
                <w:i/>
                <w:iCs/>
                <w:sz w:val="16"/>
                <w:szCs w:val="16"/>
                <w:lang w:val="cs-CZ" w:eastAsia="cs-CZ"/>
              </w:rPr>
            </w:pPr>
            <w:r w:rsidRPr="00D95127">
              <w:rPr>
                <w:rFonts w:eastAsia="Times New Roman" w:cs="Times New Roman"/>
                <w:i/>
                <w:iCs/>
                <w:sz w:val="16"/>
                <w:szCs w:val="16"/>
                <w:lang w:val="cs-CZ" w:eastAsia="cs-CZ"/>
              </w:rPr>
              <w:t>Semena jílku vytrvalého Loloium perenne L., k setí</w:t>
            </w:r>
          </w:p>
        </w:tc>
      </w:tr>
      <w:tr w:rsidR="00A16DDB" w:rsidRPr="00D95127" w14:paraId="3D6C4DE3" w14:textId="77777777" w:rsidTr="007A627A">
        <w:trPr>
          <w:trHeight w:val="255"/>
        </w:trPr>
        <w:tc>
          <w:tcPr>
            <w:tcW w:w="34" w:type="dxa"/>
            <w:tcBorders>
              <w:top w:val="nil"/>
              <w:left w:val="nil"/>
              <w:bottom w:val="nil"/>
              <w:right w:val="nil"/>
            </w:tcBorders>
            <w:shd w:val="clear" w:color="auto" w:fill="auto"/>
            <w:noWrap/>
            <w:vAlign w:val="bottom"/>
            <w:hideMark/>
          </w:tcPr>
          <w:p w14:paraId="1D048930" w14:textId="77777777" w:rsidR="00A16DDB" w:rsidRPr="00D95127" w:rsidRDefault="00A16DDB" w:rsidP="007A627A">
            <w:pPr>
              <w:rPr>
                <w:rFonts w:eastAsia="Times New Roman" w:cs="Times New Roman"/>
                <w:i/>
                <w:iCs/>
                <w:sz w:val="20"/>
                <w:szCs w:val="20"/>
                <w:lang w:val="cs-CZ" w:eastAsia="cs-CZ"/>
              </w:rPr>
            </w:pPr>
          </w:p>
        </w:tc>
        <w:tc>
          <w:tcPr>
            <w:tcW w:w="9372" w:type="dxa"/>
            <w:tcBorders>
              <w:top w:val="nil"/>
              <w:left w:val="nil"/>
              <w:bottom w:val="nil"/>
              <w:right w:val="nil"/>
            </w:tcBorders>
            <w:shd w:val="clear" w:color="auto" w:fill="auto"/>
            <w:noWrap/>
            <w:vAlign w:val="bottom"/>
            <w:hideMark/>
          </w:tcPr>
          <w:p w14:paraId="520FA651" w14:textId="77777777" w:rsidR="00A16DDB" w:rsidRPr="00D95127" w:rsidRDefault="00A16DDB" w:rsidP="007A627A">
            <w:pPr>
              <w:rPr>
                <w:rFonts w:eastAsia="Times New Roman" w:cs="Times New Roman"/>
                <w:i/>
                <w:iCs/>
                <w:sz w:val="16"/>
                <w:szCs w:val="16"/>
                <w:lang w:val="cs-CZ" w:eastAsia="cs-CZ"/>
              </w:rPr>
            </w:pPr>
            <w:r w:rsidRPr="00D95127">
              <w:rPr>
                <w:rFonts w:eastAsia="Times New Roman" w:cs="Times New Roman"/>
                <w:i/>
                <w:iCs/>
                <w:sz w:val="16"/>
                <w:szCs w:val="16"/>
                <w:lang w:val="cs-CZ" w:eastAsia="cs-CZ"/>
              </w:rPr>
              <w:t>Semena bojínku,vikve,lipnice Poa,srhy laločnaté,psinečku k setí</w:t>
            </w:r>
          </w:p>
        </w:tc>
      </w:tr>
    </w:tbl>
    <w:p w14:paraId="12C95371" w14:textId="1B1DBC30" w:rsidR="00A16DDB" w:rsidRDefault="00A16DDB" w:rsidP="00DC55E0">
      <w:pPr>
        <w:pStyle w:val="UZEINormaln"/>
      </w:pPr>
      <w:r w:rsidRPr="00D95127">
        <w:t>Sortiment trav na semeno a jejich kvalita se odráží ve vývozu semen. Ve sledovaných druzích trav se nejvíce obchodovaly 3 druhy. Semena jílku vytrvalého se v období 2014-2020 dovezlo i vyvezlo největší množství. Z mnoha zemí, se kterými ČR obchodovala, se nejvíce importovalo z Dánska, Německa a Nizozemska. Nejčastější vývozní destinací bylo Nizozemsko a Německo. Vývoz směřoval i do Polska, Itálie a Dánska.</w:t>
      </w:r>
    </w:p>
    <w:p w14:paraId="5EC937E1" w14:textId="6871A6A6" w:rsidR="00DC55E0" w:rsidRDefault="00DC55E0" w:rsidP="00DC55E0">
      <w:pPr>
        <w:pStyle w:val="UZEINormaln"/>
      </w:pPr>
    </w:p>
    <w:p w14:paraId="6B132E6E" w14:textId="59E92307" w:rsidR="00DC55E0" w:rsidRDefault="00DC55E0" w:rsidP="00DC55E0">
      <w:pPr>
        <w:pStyle w:val="UZEINormaln"/>
      </w:pPr>
    </w:p>
    <w:p w14:paraId="5FF1A120" w14:textId="53BF43CE" w:rsidR="00DC55E0" w:rsidRDefault="00DC55E0" w:rsidP="00DC55E0">
      <w:pPr>
        <w:pStyle w:val="UZEINormaln"/>
      </w:pPr>
    </w:p>
    <w:p w14:paraId="6B99275A" w14:textId="6D8788A6" w:rsidR="00DC55E0" w:rsidRDefault="00DC55E0" w:rsidP="00DC55E0">
      <w:pPr>
        <w:pStyle w:val="UZEINormaln"/>
      </w:pPr>
    </w:p>
    <w:p w14:paraId="03924A4F" w14:textId="1E3971DF" w:rsidR="00DC55E0" w:rsidRDefault="00DC55E0" w:rsidP="00DC55E0">
      <w:pPr>
        <w:pStyle w:val="UZEINormaln"/>
      </w:pPr>
    </w:p>
    <w:p w14:paraId="1CD24231" w14:textId="494224E5" w:rsidR="00DC55E0" w:rsidRDefault="00DC55E0" w:rsidP="00DC55E0">
      <w:pPr>
        <w:pStyle w:val="UZEINormaln"/>
      </w:pPr>
    </w:p>
    <w:p w14:paraId="098E4FE5" w14:textId="339BAA7B" w:rsidR="00DC55E0" w:rsidRDefault="00DC55E0" w:rsidP="00DC55E0">
      <w:pPr>
        <w:pStyle w:val="UZEINormaln"/>
      </w:pPr>
    </w:p>
    <w:p w14:paraId="75E8038D" w14:textId="60DD3461" w:rsidR="00DC55E0" w:rsidRDefault="00DC55E0" w:rsidP="00DC55E0">
      <w:pPr>
        <w:pStyle w:val="UZEINormaln"/>
      </w:pPr>
    </w:p>
    <w:p w14:paraId="212F4655" w14:textId="2DA9DD3B" w:rsidR="00DC55E0" w:rsidRDefault="00DC55E0" w:rsidP="00DC55E0">
      <w:pPr>
        <w:pStyle w:val="UZEINormaln"/>
      </w:pPr>
    </w:p>
    <w:p w14:paraId="6898FCAB" w14:textId="50221CF6" w:rsidR="00DC55E0" w:rsidRDefault="00DC55E0" w:rsidP="00DC55E0">
      <w:pPr>
        <w:pStyle w:val="UZEINormaln"/>
      </w:pPr>
    </w:p>
    <w:p w14:paraId="47BDF856" w14:textId="5DECD574" w:rsidR="00DC55E0" w:rsidRDefault="00DC55E0" w:rsidP="00DC55E0">
      <w:pPr>
        <w:pStyle w:val="UZEINormaln"/>
      </w:pPr>
    </w:p>
    <w:p w14:paraId="61C5B7A7" w14:textId="79236CD0" w:rsidR="00DC55E0" w:rsidRDefault="00DC55E0" w:rsidP="00DC55E0">
      <w:pPr>
        <w:pStyle w:val="UZEINormaln"/>
      </w:pPr>
    </w:p>
    <w:p w14:paraId="5F125E06" w14:textId="5EADECC3" w:rsidR="00DC55E0" w:rsidRDefault="00DC55E0" w:rsidP="00DC55E0">
      <w:pPr>
        <w:pStyle w:val="UZEINormaln"/>
      </w:pPr>
    </w:p>
    <w:p w14:paraId="5160D3D9" w14:textId="77777777" w:rsidR="00DC55E0" w:rsidRPr="00D95127" w:rsidRDefault="00DC55E0" w:rsidP="00DC55E0">
      <w:pPr>
        <w:pStyle w:val="UZEINormaln"/>
      </w:pPr>
    </w:p>
    <w:p w14:paraId="5092CB06" w14:textId="434023D3" w:rsidR="00A16DDB" w:rsidRPr="00D95127" w:rsidRDefault="00DC55E0" w:rsidP="00DC55E0">
      <w:pPr>
        <w:pStyle w:val="UZEITaB"/>
      </w:pPr>
      <w:r>
        <w:t xml:space="preserve"> </w:t>
      </w:r>
      <w:bookmarkStart w:id="796" w:name="_Toc81738518"/>
      <w:r w:rsidR="00A16DDB" w:rsidRPr="00D95127">
        <w:t>Zahraniční obchod – hlavní partneři</w:t>
      </w:r>
      <w:bookmarkEnd w:id="796"/>
    </w:p>
    <w:p w14:paraId="2A838F21" w14:textId="77777777" w:rsidR="00A16DDB" w:rsidRPr="00D95127" w:rsidRDefault="00A16DDB" w:rsidP="00A16DDB">
      <w:pPr>
        <w:rPr>
          <w:rFonts w:cs="Times New Roman"/>
          <w:szCs w:val="24"/>
          <w:lang w:val="cs-CZ"/>
        </w:rPr>
      </w:pPr>
      <w:r w:rsidRPr="00D95127">
        <w:rPr>
          <w:rFonts w:cs="Times New Roman"/>
          <w:noProof/>
          <w:lang w:val="cs-CZ"/>
        </w:rPr>
        <w:drawing>
          <wp:inline distT="0" distB="0" distL="0" distR="0" wp14:anchorId="32303E22" wp14:editId="7FCC74F7">
            <wp:extent cx="5098211" cy="4885690"/>
            <wp:effectExtent l="0" t="0" r="0" b="0"/>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100926" cy="4888292"/>
                    </a:xfrm>
                    <a:prstGeom prst="rect">
                      <a:avLst/>
                    </a:prstGeom>
                    <a:noFill/>
                    <a:ln>
                      <a:noFill/>
                    </a:ln>
                  </pic:spPr>
                </pic:pic>
              </a:graphicData>
            </a:graphic>
          </wp:inline>
        </w:drawing>
      </w:r>
    </w:p>
    <w:p w14:paraId="1416B8B0" w14:textId="0AAC11F6" w:rsidR="00A16DDB" w:rsidRDefault="00A16DDB" w:rsidP="00DC55E0">
      <w:pPr>
        <w:pStyle w:val="UZEINormaln"/>
      </w:pPr>
      <w:r w:rsidRPr="00D95127">
        <w:t>Hlavní dovozní destinace Jílku italského bylo hlavně Slovensko, Dánsko a Německo. Exportní zemí Jílku italského byla každým rokem Itálie s odstupem následována Německem a Dánskem.</w:t>
      </w:r>
    </w:p>
    <w:p w14:paraId="0639D3F3" w14:textId="7384D2FD" w:rsidR="00DC55E0" w:rsidRDefault="00DC55E0" w:rsidP="00DC55E0">
      <w:pPr>
        <w:pStyle w:val="UZEINormaln"/>
      </w:pPr>
    </w:p>
    <w:p w14:paraId="499F1937" w14:textId="77971CA2" w:rsidR="00DC55E0" w:rsidRDefault="00DC55E0" w:rsidP="00DC55E0">
      <w:pPr>
        <w:pStyle w:val="UZEINormaln"/>
      </w:pPr>
    </w:p>
    <w:p w14:paraId="7B3261E4" w14:textId="56E26F86" w:rsidR="00DC55E0" w:rsidRDefault="00DC55E0" w:rsidP="00DC55E0">
      <w:pPr>
        <w:pStyle w:val="UZEINormaln"/>
      </w:pPr>
    </w:p>
    <w:p w14:paraId="47DD3FB8" w14:textId="0DE26018" w:rsidR="00DC55E0" w:rsidRDefault="00DC55E0" w:rsidP="00DC55E0">
      <w:pPr>
        <w:pStyle w:val="UZEINormaln"/>
      </w:pPr>
    </w:p>
    <w:p w14:paraId="408D41ED" w14:textId="0626E656" w:rsidR="00DC55E0" w:rsidRDefault="00DC55E0" w:rsidP="00DC55E0">
      <w:pPr>
        <w:pStyle w:val="UZEINormaln"/>
      </w:pPr>
    </w:p>
    <w:p w14:paraId="1D5F1E6D" w14:textId="651F0361" w:rsidR="00DC55E0" w:rsidRDefault="00DC55E0" w:rsidP="00DC55E0">
      <w:pPr>
        <w:pStyle w:val="UZEINormaln"/>
      </w:pPr>
    </w:p>
    <w:p w14:paraId="71D17A86" w14:textId="0C56622A" w:rsidR="00DC55E0" w:rsidRDefault="00DC55E0" w:rsidP="00DC55E0">
      <w:pPr>
        <w:pStyle w:val="UZEINormaln"/>
      </w:pPr>
    </w:p>
    <w:p w14:paraId="6900A5EB" w14:textId="58EA1F35" w:rsidR="00DC55E0" w:rsidRDefault="00DC55E0" w:rsidP="00DC55E0">
      <w:pPr>
        <w:pStyle w:val="UZEINormaln"/>
      </w:pPr>
    </w:p>
    <w:p w14:paraId="28BC113E" w14:textId="51EE3AF5" w:rsidR="00DC55E0" w:rsidRDefault="00DC55E0" w:rsidP="00DC55E0">
      <w:pPr>
        <w:pStyle w:val="UZEINormaln"/>
      </w:pPr>
    </w:p>
    <w:p w14:paraId="3B58B520" w14:textId="55296A96" w:rsidR="00DC55E0" w:rsidRDefault="00DC55E0" w:rsidP="00DC55E0">
      <w:pPr>
        <w:pStyle w:val="UZEINormaln"/>
      </w:pPr>
    </w:p>
    <w:p w14:paraId="30EACDCA" w14:textId="3AE59B4B" w:rsidR="00DC55E0" w:rsidRDefault="00DC55E0" w:rsidP="00DC55E0">
      <w:pPr>
        <w:pStyle w:val="UZEINormaln"/>
      </w:pPr>
    </w:p>
    <w:p w14:paraId="15836F14" w14:textId="6E491C24" w:rsidR="00DC55E0" w:rsidRDefault="00DC55E0" w:rsidP="00DC55E0">
      <w:pPr>
        <w:pStyle w:val="UZEINormaln"/>
      </w:pPr>
    </w:p>
    <w:p w14:paraId="05C99508" w14:textId="77777777" w:rsidR="00DC55E0" w:rsidRPr="00D95127" w:rsidRDefault="00DC55E0" w:rsidP="00DC55E0">
      <w:pPr>
        <w:pStyle w:val="UZEINormaln"/>
      </w:pPr>
    </w:p>
    <w:p w14:paraId="46B7E74B" w14:textId="30DD4580" w:rsidR="00A16DDB" w:rsidRPr="00D95127" w:rsidRDefault="00A16DDB" w:rsidP="00DC55E0">
      <w:pPr>
        <w:pStyle w:val="UZEITaB"/>
      </w:pPr>
      <w:bookmarkStart w:id="797" w:name="_Toc81738519"/>
      <w:r w:rsidRPr="00D95127">
        <w:t>Zahraniční obchod – hlavní partneři</w:t>
      </w:r>
      <w:bookmarkEnd w:id="797"/>
    </w:p>
    <w:p w14:paraId="29FEE51E" w14:textId="7237F848" w:rsidR="00A16DDB" w:rsidRPr="00D95127" w:rsidRDefault="00A16DDB" w:rsidP="00A16DDB">
      <w:pPr>
        <w:rPr>
          <w:rFonts w:cs="Times New Roman"/>
          <w:szCs w:val="24"/>
          <w:lang w:val="cs-CZ"/>
        </w:rPr>
      </w:pPr>
      <w:r w:rsidRPr="00D95127">
        <w:rPr>
          <w:rFonts w:cs="Times New Roman"/>
          <w:noProof/>
          <w:lang w:val="cs-CZ"/>
        </w:rPr>
        <w:drawing>
          <wp:inline distT="0" distB="0" distL="0" distR="0" wp14:anchorId="61B02708" wp14:editId="3DD64F20">
            <wp:extent cx="4945712" cy="4885690"/>
            <wp:effectExtent l="0" t="0" r="0" b="0"/>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947339" cy="4887297"/>
                    </a:xfrm>
                    <a:prstGeom prst="rect">
                      <a:avLst/>
                    </a:prstGeom>
                    <a:noFill/>
                    <a:ln>
                      <a:noFill/>
                    </a:ln>
                  </pic:spPr>
                </pic:pic>
              </a:graphicData>
            </a:graphic>
          </wp:inline>
        </w:drawing>
      </w:r>
    </w:p>
    <w:p w14:paraId="32A86985" w14:textId="77777777" w:rsidR="00A16DDB" w:rsidRPr="00D95127" w:rsidRDefault="00A16DDB" w:rsidP="00DC55E0">
      <w:pPr>
        <w:pStyle w:val="UZEINormaln"/>
      </w:pPr>
      <w:r w:rsidRPr="00D95127">
        <w:t>Semena kostřavy červené se ze všech destinací nejvíce dovezlo z Dánska, Německa a Nizozemska. Nejčastěji směřoval vývoz semen pícnin k setí (kromě obilovin a semen krmné řepy, vojtěšky, jetele, kostřavy, lipnice luční, jílku, bojínku, vikve, semen druhů Poa, srhy, psinečku a vlčího bobu) do Nizozemska, Itálie a Polska.</w:t>
      </w:r>
    </w:p>
    <w:p w14:paraId="01E4E0F2" w14:textId="683CD339" w:rsidR="00A16DDB" w:rsidRDefault="00A16DDB" w:rsidP="00DC55E0">
      <w:pPr>
        <w:pStyle w:val="UZEINormaln"/>
      </w:pPr>
    </w:p>
    <w:p w14:paraId="00800F4C" w14:textId="4BD78511" w:rsidR="00DC55E0" w:rsidRDefault="00DC55E0" w:rsidP="00DC55E0">
      <w:pPr>
        <w:pStyle w:val="UZEINormaln"/>
      </w:pPr>
    </w:p>
    <w:p w14:paraId="2618A855" w14:textId="1AFE8AF0" w:rsidR="00DC55E0" w:rsidRDefault="00DC55E0" w:rsidP="00DC55E0">
      <w:pPr>
        <w:pStyle w:val="UZEINormaln"/>
      </w:pPr>
    </w:p>
    <w:p w14:paraId="3224ECA9" w14:textId="4D97D035" w:rsidR="00DC55E0" w:rsidRDefault="00DC55E0" w:rsidP="00DC55E0">
      <w:pPr>
        <w:pStyle w:val="UZEINormaln"/>
      </w:pPr>
    </w:p>
    <w:p w14:paraId="541B5FAA" w14:textId="3931D181" w:rsidR="00DC55E0" w:rsidRDefault="00DC55E0" w:rsidP="00DC55E0">
      <w:pPr>
        <w:pStyle w:val="UZEINormaln"/>
      </w:pPr>
    </w:p>
    <w:p w14:paraId="473F060C" w14:textId="57D7DF70" w:rsidR="00DC55E0" w:rsidRDefault="00DC55E0" w:rsidP="00DC55E0">
      <w:pPr>
        <w:pStyle w:val="UZEINormaln"/>
      </w:pPr>
    </w:p>
    <w:p w14:paraId="0FA3A6CE" w14:textId="1442DB85" w:rsidR="00DC55E0" w:rsidRDefault="00DC55E0" w:rsidP="00DC55E0">
      <w:pPr>
        <w:pStyle w:val="UZEINormaln"/>
      </w:pPr>
    </w:p>
    <w:p w14:paraId="63EC3702" w14:textId="780742AE" w:rsidR="00DC55E0" w:rsidRDefault="00DC55E0" w:rsidP="00DC55E0">
      <w:pPr>
        <w:pStyle w:val="UZEINormaln"/>
      </w:pPr>
    </w:p>
    <w:p w14:paraId="4996102F" w14:textId="1CF7C866" w:rsidR="00DC55E0" w:rsidRDefault="00DC55E0" w:rsidP="00DC55E0">
      <w:pPr>
        <w:pStyle w:val="UZEINormaln"/>
      </w:pPr>
    </w:p>
    <w:p w14:paraId="68CFA50E" w14:textId="00FBE62D" w:rsidR="00DC55E0" w:rsidRDefault="00DC55E0" w:rsidP="00DC55E0">
      <w:pPr>
        <w:pStyle w:val="UZEINormaln"/>
      </w:pPr>
    </w:p>
    <w:p w14:paraId="5ABA08E3" w14:textId="2DF3E3AE" w:rsidR="00DC55E0" w:rsidRDefault="00DC55E0" w:rsidP="00DC55E0">
      <w:pPr>
        <w:pStyle w:val="UZEINormaln"/>
      </w:pPr>
    </w:p>
    <w:p w14:paraId="007248C8" w14:textId="77777777" w:rsidR="00DC55E0" w:rsidRPr="00D95127" w:rsidRDefault="00DC55E0" w:rsidP="00DC55E0">
      <w:pPr>
        <w:pStyle w:val="UZEINormaln"/>
      </w:pPr>
    </w:p>
    <w:p w14:paraId="44965E49" w14:textId="6308FFC0" w:rsidR="00A16DDB" w:rsidRPr="00D95127" w:rsidRDefault="00DC55E0" w:rsidP="00DC55E0">
      <w:pPr>
        <w:pStyle w:val="UZEITaB"/>
      </w:pPr>
      <w:r>
        <w:t xml:space="preserve"> </w:t>
      </w:r>
      <w:bookmarkStart w:id="798" w:name="_Toc81738520"/>
      <w:r w:rsidR="00A16DDB" w:rsidRPr="00D95127">
        <w:t>Zahraniční obchod – hlavní partneři</w:t>
      </w:r>
      <w:bookmarkEnd w:id="798"/>
    </w:p>
    <w:p w14:paraId="57ABDD1A" w14:textId="77777777" w:rsidR="00A16DDB" w:rsidRPr="00D95127" w:rsidRDefault="00A16DDB" w:rsidP="00A16DDB">
      <w:pPr>
        <w:rPr>
          <w:rFonts w:cs="Times New Roman"/>
          <w:szCs w:val="24"/>
          <w:lang w:val="cs-CZ"/>
        </w:rPr>
      </w:pPr>
      <w:r w:rsidRPr="00D95127">
        <w:rPr>
          <w:rFonts w:cs="Times New Roman"/>
          <w:noProof/>
          <w:lang w:val="cs-CZ"/>
        </w:rPr>
        <w:drawing>
          <wp:inline distT="0" distB="0" distL="0" distR="0" wp14:anchorId="61A643B5" wp14:editId="428062BA">
            <wp:extent cx="5083791" cy="5479415"/>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85400" cy="5481149"/>
                    </a:xfrm>
                    <a:prstGeom prst="rect">
                      <a:avLst/>
                    </a:prstGeom>
                    <a:noFill/>
                    <a:ln>
                      <a:noFill/>
                    </a:ln>
                  </pic:spPr>
                </pic:pic>
              </a:graphicData>
            </a:graphic>
          </wp:inline>
        </w:drawing>
      </w:r>
    </w:p>
    <w:p w14:paraId="774E2355" w14:textId="77777777" w:rsidR="00A16DDB" w:rsidRPr="00D95127" w:rsidRDefault="00A16DDB" w:rsidP="00A16DDB">
      <w:pPr>
        <w:pStyle w:val="paragraph"/>
        <w:jc w:val="both"/>
        <w:textAlignment w:val="baseline"/>
        <w:rPr>
          <w:rStyle w:val="eop"/>
          <w:rFonts w:eastAsiaTheme="majorEastAsia"/>
          <w:sz w:val="20"/>
          <w:szCs w:val="20"/>
        </w:rPr>
      </w:pPr>
    </w:p>
    <w:p w14:paraId="52DE1699" w14:textId="77777777" w:rsidR="00DC55E0" w:rsidRDefault="00DC55E0">
      <w:pPr>
        <w:spacing w:after="160" w:line="259" w:lineRule="auto"/>
        <w:jc w:val="left"/>
        <w:rPr>
          <w:rFonts w:eastAsiaTheme="majorEastAsia" w:cs="Times New Roman"/>
          <w:b/>
          <w:bCs/>
          <w:sz w:val="28"/>
          <w:szCs w:val="32"/>
          <w:lang w:val="cs-CZ"/>
        </w:rPr>
      </w:pPr>
      <w:bookmarkStart w:id="799" w:name="_Toc80953314"/>
      <w:r>
        <w:br w:type="page"/>
      </w:r>
    </w:p>
    <w:p w14:paraId="0BAE5B82" w14:textId="6B4861D5" w:rsidR="00A16DDB" w:rsidRPr="00D95127" w:rsidRDefault="00A16DDB" w:rsidP="00DC55E0">
      <w:pPr>
        <w:pStyle w:val="Nadpis1"/>
      </w:pPr>
      <w:bookmarkStart w:id="800" w:name="_Toc81739267"/>
      <w:r w:rsidRPr="00D95127">
        <w:t>Míra stávajícího řešení problému</w:t>
      </w:r>
      <w:bookmarkEnd w:id="799"/>
      <w:bookmarkEnd w:id="800"/>
    </w:p>
    <w:p w14:paraId="3AF945CC" w14:textId="77777777" w:rsidR="00A16DDB" w:rsidRPr="00D95127" w:rsidRDefault="00A16DDB" w:rsidP="00DC55E0">
      <w:pPr>
        <w:pStyle w:val="Nadpis2"/>
      </w:pPr>
      <w:bookmarkStart w:id="801" w:name="_Toc80953315"/>
      <w:bookmarkStart w:id="802" w:name="_Toc81739268"/>
      <w:r w:rsidRPr="00D95127">
        <w:t>Míra řešení ve stávající SZP (úspěšnost/neúspěšnost)</w:t>
      </w:r>
      <w:bookmarkEnd w:id="801"/>
      <w:bookmarkEnd w:id="802"/>
      <w:r w:rsidRPr="00D95127">
        <w:t xml:space="preserve"> </w:t>
      </w:r>
    </w:p>
    <w:p w14:paraId="39148F65" w14:textId="4525450F" w:rsidR="00A16DDB" w:rsidRPr="00DC55E0" w:rsidRDefault="00A16DDB" w:rsidP="00DC55E0">
      <w:pPr>
        <w:pStyle w:val="UZEINormaln"/>
        <w:rPr>
          <w:rStyle w:val="normaltextrun1"/>
        </w:rPr>
      </w:pPr>
      <w:r w:rsidRPr="00D95127">
        <w:t>Trávy pěstované na semeno jsou podporovány vybranými přímými platbami (SAPS, Greening, PVP (dříve Top-Up), které se podílejí na podporách z více než poloviny. Pěstitelé trav pěstovaných na semeno mohli rovněž čerpat podporu pojištění na hektar a vratku spotřební daně na zelenou naftu. V roce 2015 bylo možné nárokovat i LFA platby. Dále je pěstování trav na semeno podpořeno v rámci PRV prostřednictvím ekologické produkce.</w:t>
      </w:r>
    </w:p>
    <w:p w14:paraId="64CDE603" w14:textId="27C103B7" w:rsidR="00A16DDB" w:rsidRPr="00D95127" w:rsidRDefault="00A16DDB" w:rsidP="00DC55E0">
      <w:pPr>
        <w:pStyle w:val="UZEITaB"/>
      </w:pPr>
      <w:r w:rsidRPr="00D95127">
        <w:rPr>
          <w:rStyle w:val="normaltextrun1"/>
          <w:rFonts w:cs="Times New Roman"/>
        </w:rPr>
        <w:t xml:space="preserve"> </w:t>
      </w:r>
      <w:bookmarkStart w:id="803" w:name="_Toc81738521"/>
      <w:r w:rsidRPr="00D95127">
        <w:t>Dotační podpory trav pěstovaných na semeno 2011-2020</w:t>
      </w:r>
      <w:bookmarkEnd w:id="803"/>
      <w:r w:rsidRPr="00D95127">
        <w:rPr>
          <w:rStyle w:val="eop"/>
          <w:rFonts w:cs="Times New Roman"/>
        </w:rPr>
        <w:t> </w:t>
      </w:r>
    </w:p>
    <w:p w14:paraId="49FDF681" w14:textId="77777777" w:rsidR="00A16DDB" w:rsidRPr="00D95127" w:rsidRDefault="00A16DDB" w:rsidP="00A16DDB">
      <w:pPr>
        <w:pStyle w:val="paragraph"/>
        <w:jc w:val="both"/>
        <w:textAlignment w:val="baseline"/>
      </w:pPr>
      <w:r w:rsidRPr="00D95127">
        <w:rPr>
          <w:noProof/>
        </w:rPr>
        <w:drawing>
          <wp:inline distT="0" distB="0" distL="0" distR="0" wp14:anchorId="52584998" wp14:editId="200C25C3">
            <wp:extent cx="5760720" cy="1395095"/>
            <wp:effectExtent l="0" t="0" r="0" b="0"/>
            <wp:docPr id="103" name="Obráze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760720" cy="1395095"/>
                    </a:xfrm>
                    <a:prstGeom prst="rect">
                      <a:avLst/>
                    </a:prstGeom>
                    <a:noFill/>
                    <a:ln>
                      <a:noFill/>
                    </a:ln>
                  </pic:spPr>
                </pic:pic>
              </a:graphicData>
            </a:graphic>
          </wp:inline>
        </w:drawing>
      </w:r>
    </w:p>
    <w:p w14:paraId="2EE67E8B" w14:textId="77777777" w:rsidR="00A16DDB" w:rsidRPr="00D95127" w:rsidRDefault="00A16DDB" w:rsidP="00DC55E0">
      <w:pPr>
        <w:pStyle w:val="UZEIZdroj"/>
      </w:pPr>
      <w:r w:rsidRPr="00D95127">
        <w:t>Zdroj: Výběrové šetření o nákladech a výnosech zemědělských výrobků ÚZEI</w:t>
      </w:r>
    </w:p>
    <w:p w14:paraId="5B915F81" w14:textId="77777777" w:rsidR="00A16DDB" w:rsidRPr="00D95127" w:rsidRDefault="00A16DDB" w:rsidP="00A16DDB">
      <w:pPr>
        <w:pStyle w:val="paragraph"/>
        <w:jc w:val="both"/>
        <w:textAlignment w:val="baseline"/>
        <w:rPr>
          <w:rFonts w:eastAsia="Calibri"/>
          <w:lang w:eastAsia="en-US"/>
        </w:rPr>
      </w:pPr>
    </w:p>
    <w:p w14:paraId="7309BCDD" w14:textId="07D37D46" w:rsidR="00A16DDB" w:rsidRPr="00DC55E0" w:rsidRDefault="00A16DDB" w:rsidP="00DC55E0">
      <w:pPr>
        <w:pStyle w:val="UZEIGraf"/>
      </w:pPr>
      <w:bookmarkStart w:id="804" w:name="_Toc81738819"/>
      <w:r w:rsidRPr="00DC55E0">
        <w:rPr>
          <w:rStyle w:val="normaltextrun1"/>
          <w:rFonts w:eastAsiaTheme="majorEastAsia"/>
        </w:rPr>
        <w:t>Vývoj struktury provozních podpor u komodity trávy na semeno</w:t>
      </w:r>
      <w:bookmarkEnd w:id="804"/>
      <w:r w:rsidRPr="00DC55E0">
        <w:rPr>
          <w:rStyle w:val="eop"/>
          <w:rFonts w:eastAsiaTheme="majorEastAsia"/>
        </w:rPr>
        <w:t> </w:t>
      </w:r>
    </w:p>
    <w:p w14:paraId="18EA98FD" w14:textId="44E4492A" w:rsidR="00A16DDB" w:rsidRPr="00D95127" w:rsidRDefault="00A16DDB" w:rsidP="00DC55E0">
      <w:pPr>
        <w:pStyle w:val="UZEIZdroj"/>
      </w:pPr>
      <w:r w:rsidRPr="00D95127">
        <w:rPr>
          <w:noProof/>
        </w:rPr>
        <w:drawing>
          <wp:inline distT="0" distB="0" distL="0" distR="0" wp14:anchorId="0D115FA4" wp14:editId="6E8EDA16">
            <wp:extent cx="5760720" cy="3122930"/>
            <wp:effectExtent l="0" t="0" r="0" b="127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760720" cy="3122930"/>
                    </a:xfrm>
                    <a:prstGeom prst="rect">
                      <a:avLst/>
                    </a:prstGeom>
                    <a:noFill/>
                    <a:ln>
                      <a:noFill/>
                    </a:ln>
                  </pic:spPr>
                </pic:pic>
              </a:graphicData>
            </a:graphic>
          </wp:inline>
        </w:drawing>
      </w:r>
      <w:r w:rsidRPr="00D95127">
        <w:rPr>
          <w:rStyle w:val="eop"/>
          <w:rFonts w:eastAsiaTheme="majorEastAsia"/>
          <w:sz w:val="22"/>
          <w:szCs w:val="22"/>
        </w:rPr>
        <w:t> </w:t>
      </w:r>
      <w:r w:rsidRPr="00DC55E0">
        <w:t>Zdroj: ÚZEI, vlastní výpočty </w:t>
      </w:r>
    </w:p>
    <w:p w14:paraId="2C219286" w14:textId="2E6024C4" w:rsidR="00A16DDB" w:rsidRPr="00DC55E0" w:rsidRDefault="00A16DDB" w:rsidP="00A16DDB">
      <w:pPr>
        <w:pStyle w:val="Nadpis2"/>
      </w:pPr>
      <w:bookmarkStart w:id="805" w:name="_Toc80953316"/>
      <w:bookmarkStart w:id="806" w:name="_Toc81739269"/>
      <w:r w:rsidRPr="00D95127">
        <w:t>Míra současného řešení problému jinými politikami</w:t>
      </w:r>
      <w:bookmarkEnd w:id="805"/>
      <w:bookmarkEnd w:id="806"/>
    </w:p>
    <w:p w14:paraId="1EFEE9FC" w14:textId="77777777" w:rsidR="00A16DDB" w:rsidRPr="00D95127" w:rsidRDefault="00A16DDB" w:rsidP="00DC55E0">
      <w:pPr>
        <w:pStyle w:val="UZEINormaln"/>
      </w:pPr>
      <w:r w:rsidRPr="00D95127">
        <w:t>Mezi další pravidelně vyplácené provozní podpory, které jsou méně významné z hlediska jejich výše, patří podpory na pojištění na ha z. p. a vratka zelené nafty.</w:t>
      </w:r>
    </w:p>
    <w:p w14:paraId="5C5E9F82" w14:textId="50986611" w:rsidR="00A16DDB" w:rsidRPr="00D95127" w:rsidRDefault="00A16DDB" w:rsidP="00DC55E0">
      <w:pPr>
        <w:pStyle w:val="UZEINormaln"/>
      </w:pPr>
      <w:r w:rsidRPr="00D95127">
        <w:t>Z hlediska strukturálních podpor mohou pěstitelé pro trav na semeno využít následujících Národních dotačních programů:</w:t>
      </w:r>
    </w:p>
    <w:p w14:paraId="351A36DD" w14:textId="77777777" w:rsidR="00A16DDB" w:rsidRPr="00D95127" w:rsidRDefault="00A16DDB" w:rsidP="00DC55E0">
      <w:pPr>
        <w:pStyle w:val="UZEIOdrky"/>
        <w:rPr>
          <w:lang w:eastAsia="cs-CZ"/>
        </w:rPr>
      </w:pPr>
      <w:r w:rsidRPr="00D95127">
        <w:rPr>
          <w:lang w:eastAsia="cs-CZ"/>
        </w:rPr>
        <w:t>3.a.Podpora ozdravování polních a speciálních plodin (biologická ochrana) Účelem dotace je zvýšení kvality rostlinné produkce prostřednictvím náhrady chemického ošetření a prevence proti šíření hospodářsky závažných virových a bakteriálních chorob a chorob přenosných osivem a sadbou. Smyslem je pořízení biologické ochrany rostlin jako náhrady za aplikování chemické ochrany rostlin.</w:t>
      </w:r>
    </w:p>
    <w:p w14:paraId="49B780B2" w14:textId="77777777" w:rsidR="00A16DDB" w:rsidRPr="00D95127" w:rsidRDefault="00A16DDB" w:rsidP="00DC55E0">
      <w:pPr>
        <w:pStyle w:val="UZEIOdrky"/>
        <w:numPr>
          <w:ilvl w:val="0"/>
          <w:numId w:val="0"/>
        </w:numPr>
        <w:ind w:left="720" w:hanging="360"/>
      </w:pPr>
    </w:p>
    <w:p w14:paraId="1FD10049" w14:textId="77777777" w:rsidR="00A16DDB" w:rsidRPr="00D95127" w:rsidRDefault="00A16DDB" w:rsidP="00DC55E0">
      <w:pPr>
        <w:pStyle w:val="UZEIOdrky"/>
        <w:rPr>
          <w:lang w:eastAsia="cs-CZ"/>
        </w:rPr>
      </w:pPr>
      <w:r w:rsidRPr="00D95127">
        <w:rPr>
          <w:lang w:eastAsia="cs-CZ"/>
        </w:rPr>
        <w:t>3.i.Podpora ozdravování polních a speciálních plodin (uznané osivo lnu, konopí a pícnin) Zvýšení kvality rostlinné produkce cestou náhrady chemického ošetření a prevence proti šíření hospodářsky závažným virovým a bakteriálním chorobám a chorobám přenosných osivem a sadbou použitím uznaného osiva lnu, konopí setého a či vyjmenovaných pícnin zařazených do jednotlivých skupin odrůd registrovaných na základě užitné hodnoty dle zákona č. 219/2003 Sb. a dle vyhlášky č. 129/2012 Sb.</w:t>
      </w:r>
    </w:p>
    <w:p w14:paraId="3004BF45" w14:textId="77777777" w:rsidR="00A16DDB" w:rsidRPr="00D95127" w:rsidRDefault="00A16DDB" w:rsidP="00A16DDB">
      <w:pPr>
        <w:keepNext/>
        <w:rPr>
          <w:rStyle w:val="Odkazintenzivn"/>
          <w:rFonts w:cs="Times New Roman"/>
          <w:lang w:val="cs-CZ"/>
        </w:rPr>
      </w:pPr>
    </w:p>
    <w:p w14:paraId="1CF6582E" w14:textId="77777777" w:rsidR="00DC55E0" w:rsidRDefault="00DC55E0">
      <w:pPr>
        <w:spacing w:after="160" w:line="259" w:lineRule="auto"/>
        <w:jc w:val="left"/>
        <w:rPr>
          <w:rFonts w:eastAsiaTheme="majorEastAsia" w:cs="Times New Roman"/>
          <w:b/>
          <w:bCs/>
          <w:sz w:val="28"/>
          <w:szCs w:val="32"/>
          <w:lang w:val="cs-CZ"/>
        </w:rPr>
      </w:pPr>
      <w:bookmarkStart w:id="807" w:name="_Toc80953317"/>
      <w:r>
        <w:br w:type="page"/>
      </w:r>
    </w:p>
    <w:p w14:paraId="412A903C" w14:textId="01906EC6" w:rsidR="00A16DDB" w:rsidRPr="00D95127" w:rsidRDefault="00A16DDB" w:rsidP="00DC55E0">
      <w:pPr>
        <w:pStyle w:val="Nadpis1"/>
      </w:pPr>
      <w:bookmarkStart w:id="808" w:name="_Toc81739270"/>
      <w:r w:rsidRPr="00D95127">
        <w:t>Existence/neexistence možnosti efektivního řešení v rámci nástrojů SZP, které lze uvažovat v nových návrzích SZP</w:t>
      </w:r>
      <w:bookmarkEnd w:id="807"/>
      <w:bookmarkEnd w:id="808"/>
    </w:p>
    <w:p w14:paraId="18EC234B" w14:textId="77777777" w:rsidR="00A16DDB" w:rsidRPr="00D95127" w:rsidRDefault="00A16DDB" w:rsidP="00DC55E0">
      <w:pPr>
        <w:pStyle w:val="UZEINormaln"/>
      </w:pPr>
      <w:r w:rsidRPr="00D95127">
        <w:t>Řešením nízké konkurenceschopnosti prvovýrobců trav na semeno je především vytvoření efektivního odbytového řetězce. Zdá se, že hlavním problémem je nízká obnova travních porostů v tuzemsku, vzhledem k poměrně příznivému vývozu trav na semeno, ale současně pozvolně narůstající dovoz travních semen indikuje klesající konkurenci na domácím trhu a brání tak rozšíření osevních ploch v ČR. Posílení příjmové situace zemědělců by mohlo částečně přispět ke zlepšení cenové konkurence a zlepšení tak souhrnné rentability, která by motivovala pěstitele k většímu zastoupení pěstovaných plodin. Současně ostatní regulatorní opatření vztažená k podmíněnosti prostřednictvím požadavků na dodržování osevního postupu a diverzifikace plodin by také nepřímo přispěla k navýšení ploch těchto plodin v osevních postupech zemědělských podniků. Současně bude nezbytné zachování stávajících podpor, které jsou do těchto odvětví směrovány jak v rámci SZP (podpora příjmů prostřednictvím SAPS a greeningu), tak i národních podpor jako je zelená nafta pro RV i podpora pojištění apod.</w:t>
      </w:r>
    </w:p>
    <w:p w14:paraId="3612B163" w14:textId="41188312" w:rsidR="00A16DDB" w:rsidRPr="00D95127" w:rsidRDefault="00A16DDB" w:rsidP="00DC55E0">
      <w:pPr>
        <w:pStyle w:val="UZEINormaln"/>
      </w:pPr>
      <w:r w:rsidRPr="00D95127">
        <w:t>Návrh řešení problémů a jejich příčin v celé škále provozních a strukturálních podpor je uveden v rámci teorie změny v tabulce (</w:t>
      </w:r>
      <w:r w:rsidR="00A250FE">
        <w:fldChar w:fldCharType="begin"/>
      </w:r>
      <w:r w:rsidR="00A250FE">
        <w:instrText xml:space="preserve"> REF _Ref81727413 \r \h </w:instrText>
      </w:r>
      <w:r w:rsidR="00A250FE">
        <w:fldChar w:fldCharType="separate"/>
      </w:r>
      <w:r w:rsidR="00A250FE">
        <w:t>Tabulka 94</w:t>
      </w:r>
      <w:r w:rsidR="00A250FE">
        <w:fldChar w:fldCharType="end"/>
      </w:r>
      <w:r w:rsidRPr="00D95127">
        <w:t>).</w:t>
      </w:r>
    </w:p>
    <w:p w14:paraId="062C0533" w14:textId="77777777" w:rsidR="00A16DDB" w:rsidRPr="00D95127" w:rsidRDefault="00A16DDB" w:rsidP="00A16DDB">
      <w:pPr>
        <w:rPr>
          <w:rFonts w:cs="Times New Roman"/>
          <w:b/>
          <w:szCs w:val="24"/>
          <w:lang w:val="cs-CZ"/>
        </w:rPr>
      </w:pPr>
    </w:p>
    <w:p w14:paraId="61D02E06" w14:textId="77777777" w:rsidR="00A16DDB" w:rsidRPr="00D95127" w:rsidRDefault="00A16DDB" w:rsidP="00A16DDB">
      <w:pPr>
        <w:rPr>
          <w:rFonts w:cs="Times New Roman"/>
          <w:szCs w:val="24"/>
          <w:lang w:val="cs-CZ"/>
        </w:rPr>
      </w:pPr>
      <w:r w:rsidRPr="00D95127">
        <w:rPr>
          <w:rFonts w:cs="Times New Roman"/>
          <w:szCs w:val="24"/>
          <w:lang w:val="cs-CZ"/>
        </w:rPr>
        <w:br w:type="page"/>
      </w:r>
    </w:p>
    <w:p w14:paraId="0A827460" w14:textId="77777777" w:rsidR="00A16DDB" w:rsidRPr="00D95127" w:rsidRDefault="00A16DDB" w:rsidP="00A16DDB">
      <w:pPr>
        <w:rPr>
          <w:rFonts w:cs="Times New Roman"/>
          <w:szCs w:val="24"/>
          <w:lang w:val="cs-CZ"/>
        </w:rPr>
        <w:sectPr w:rsidR="00A16DDB" w:rsidRPr="00D95127" w:rsidSect="00C82CBD">
          <w:footerReference w:type="default" r:id="rId151"/>
          <w:pgSz w:w="11906" w:h="16838"/>
          <w:pgMar w:top="1417" w:right="1417" w:bottom="1417" w:left="1417" w:header="708" w:footer="708" w:gutter="0"/>
          <w:cols w:space="708"/>
          <w:docGrid w:linePitch="360"/>
        </w:sectPr>
      </w:pPr>
    </w:p>
    <w:p w14:paraId="49B73255" w14:textId="43BA8EFF" w:rsidR="00A16DDB" w:rsidRPr="00D95127" w:rsidRDefault="0086264F" w:rsidP="0086264F">
      <w:pPr>
        <w:pStyle w:val="UZEITaB"/>
      </w:pPr>
      <w:r>
        <w:t xml:space="preserve"> </w:t>
      </w:r>
      <w:bookmarkStart w:id="809" w:name="_Ref81727413"/>
      <w:bookmarkStart w:id="810" w:name="_Toc81738522"/>
      <w:r w:rsidR="00A16DDB" w:rsidRPr="00D95127">
        <w:t>Teorie změny – Trávy na semeno</w:t>
      </w:r>
      <w:bookmarkEnd w:id="809"/>
      <w:bookmarkEnd w:id="810"/>
    </w:p>
    <w:p w14:paraId="1412CE35" w14:textId="77777777" w:rsidR="00A16DDB" w:rsidRPr="00D95127" w:rsidRDefault="00A16DDB" w:rsidP="00A16DDB">
      <w:pPr>
        <w:rPr>
          <w:rFonts w:cs="Times New Roman"/>
          <w:szCs w:val="24"/>
          <w:lang w:val="cs-CZ"/>
        </w:rPr>
      </w:pPr>
      <w:r w:rsidRPr="00D95127">
        <w:rPr>
          <w:rFonts w:cs="Times New Roman"/>
          <w:noProof/>
          <w:lang w:val="cs-CZ"/>
        </w:rPr>
        <w:drawing>
          <wp:inline distT="0" distB="0" distL="0" distR="0" wp14:anchorId="79517114" wp14:editId="446C0C78">
            <wp:extent cx="8891270" cy="2693035"/>
            <wp:effectExtent l="0" t="0" r="5080" b="0"/>
            <wp:docPr id="154" name="Obráze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8891270" cy="2693035"/>
                    </a:xfrm>
                    <a:prstGeom prst="rect">
                      <a:avLst/>
                    </a:prstGeom>
                    <a:noFill/>
                    <a:ln>
                      <a:noFill/>
                    </a:ln>
                  </pic:spPr>
                </pic:pic>
              </a:graphicData>
            </a:graphic>
          </wp:inline>
        </w:drawing>
      </w:r>
    </w:p>
    <w:p w14:paraId="307D8D3D" w14:textId="77777777" w:rsidR="00A16DDB" w:rsidRPr="00D95127" w:rsidRDefault="00A16DDB" w:rsidP="00A250FE">
      <w:pPr>
        <w:pStyle w:val="UZEIZdroj"/>
      </w:pPr>
      <w:r w:rsidRPr="00D95127">
        <w:t>Pramen: ÚZEI vlastní schéma</w:t>
      </w:r>
    </w:p>
    <w:p w14:paraId="5BA029A9" w14:textId="77777777" w:rsidR="00A16DDB" w:rsidRPr="00D95127" w:rsidRDefault="00A16DDB" w:rsidP="00A16DDB">
      <w:pPr>
        <w:keepNext/>
        <w:rPr>
          <w:rFonts w:cs="Times New Roman"/>
          <w:i/>
          <w:sz w:val="20"/>
          <w:szCs w:val="20"/>
          <w:lang w:val="cs-CZ"/>
        </w:rPr>
      </w:pPr>
    </w:p>
    <w:p w14:paraId="2A6B23B2" w14:textId="77777777" w:rsidR="00A16DDB" w:rsidRPr="00D95127" w:rsidRDefault="00A16DDB" w:rsidP="00A16DDB">
      <w:pPr>
        <w:keepNext/>
        <w:rPr>
          <w:rFonts w:cs="Times New Roman"/>
          <w:i/>
          <w:sz w:val="20"/>
          <w:szCs w:val="20"/>
          <w:lang w:val="cs-CZ"/>
        </w:rPr>
        <w:sectPr w:rsidR="00A16DDB" w:rsidRPr="00D95127" w:rsidSect="00C82CBD">
          <w:headerReference w:type="default" r:id="rId153"/>
          <w:footerReference w:type="default" r:id="rId154"/>
          <w:pgSz w:w="16838" w:h="11906" w:orient="landscape"/>
          <w:pgMar w:top="567" w:right="1418" w:bottom="1418" w:left="1418" w:header="709" w:footer="709" w:gutter="0"/>
          <w:cols w:space="708"/>
          <w:docGrid w:linePitch="360"/>
        </w:sectPr>
      </w:pPr>
    </w:p>
    <w:p w14:paraId="6B451B55" w14:textId="77777777" w:rsidR="00A16DDB" w:rsidRPr="00D95127" w:rsidRDefault="00A16DDB" w:rsidP="00A250FE">
      <w:pPr>
        <w:pStyle w:val="Nadpis1"/>
      </w:pPr>
      <w:bookmarkStart w:id="811" w:name="_Toc80953318"/>
      <w:bookmarkStart w:id="812" w:name="_Toc81739271"/>
      <w:r w:rsidRPr="00D95127">
        <w:t>SWOT analýza</w:t>
      </w:r>
      <w:bookmarkEnd w:id="811"/>
      <w:bookmarkEnd w:id="812"/>
    </w:p>
    <w:tbl>
      <w:tblPr>
        <w:tblW w:w="93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9"/>
        <w:gridCol w:w="4531"/>
      </w:tblGrid>
      <w:tr w:rsidR="00A16DDB" w:rsidRPr="00D95127" w14:paraId="63FE1A66" w14:textId="77777777" w:rsidTr="007A627A">
        <w:tc>
          <w:tcPr>
            <w:tcW w:w="4849" w:type="dxa"/>
            <w:tcBorders>
              <w:top w:val="single" w:sz="4" w:space="0" w:color="auto"/>
              <w:left w:val="single" w:sz="4" w:space="0" w:color="auto"/>
              <w:bottom w:val="single" w:sz="4" w:space="0" w:color="auto"/>
              <w:right w:val="single" w:sz="4" w:space="0" w:color="auto"/>
            </w:tcBorders>
            <w:shd w:val="clear" w:color="auto" w:fill="auto"/>
            <w:hideMark/>
          </w:tcPr>
          <w:p w14:paraId="55368A82" w14:textId="77777777" w:rsidR="00A16DDB" w:rsidRPr="00D95127" w:rsidRDefault="00A16DDB" w:rsidP="00A250FE">
            <w:pPr>
              <w:keepNext/>
              <w:jc w:val="center"/>
              <w:rPr>
                <w:rFonts w:cs="Times New Roman"/>
                <w:szCs w:val="24"/>
                <w:lang w:val="cs-CZ"/>
              </w:rPr>
            </w:pPr>
            <w:r w:rsidRPr="00D95127">
              <w:rPr>
                <w:rFonts w:cs="Times New Roman"/>
                <w:b/>
                <w:szCs w:val="24"/>
                <w:lang w:val="cs-CZ"/>
              </w:rPr>
              <w:t>Silné stránky</w:t>
            </w:r>
          </w:p>
        </w:tc>
        <w:tc>
          <w:tcPr>
            <w:tcW w:w="4531" w:type="dxa"/>
            <w:tcBorders>
              <w:top w:val="single" w:sz="4" w:space="0" w:color="auto"/>
              <w:left w:val="single" w:sz="4" w:space="0" w:color="auto"/>
              <w:bottom w:val="single" w:sz="4" w:space="0" w:color="auto"/>
              <w:right w:val="single" w:sz="4" w:space="0" w:color="auto"/>
            </w:tcBorders>
            <w:shd w:val="clear" w:color="auto" w:fill="auto"/>
            <w:hideMark/>
          </w:tcPr>
          <w:p w14:paraId="286C762B" w14:textId="77777777" w:rsidR="00A16DDB" w:rsidRPr="00D95127" w:rsidRDefault="00A16DDB" w:rsidP="00A250FE">
            <w:pPr>
              <w:keepNext/>
              <w:jc w:val="center"/>
              <w:rPr>
                <w:rFonts w:cs="Times New Roman"/>
                <w:szCs w:val="24"/>
                <w:lang w:val="cs-CZ"/>
              </w:rPr>
            </w:pPr>
            <w:r w:rsidRPr="00D95127">
              <w:rPr>
                <w:rFonts w:cs="Times New Roman"/>
                <w:b/>
                <w:szCs w:val="24"/>
                <w:lang w:val="cs-CZ"/>
              </w:rPr>
              <w:t>Slabé stránky</w:t>
            </w:r>
          </w:p>
        </w:tc>
      </w:tr>
      <w:tr w:rsidR="00A16DDB" w:rsidRPr="00D95127" w14:paraId="27BEE722" w14:textId="77777777" w:rsidTr="007A627A">
        <w:tc>
          <w:tcPr>
            <w:tcW w:w="4849" w:type="dxa"/>
            <w:tcBorders>
              <w:top w:val="single" w:sz="4" w:space="0" w:color="auto"/>
              <w:left w:val="single" w:sz="4" w:space="0" w:color="auto"/>
              <w:bottom w:val="single" w:sz="4" w:space="0" w:color="auto"/>
              <w:right w:val="single" w:sz="4" w:space="0" w:color="auto"/>
            </w:tcBorders>
            <w:shd w:val="clear" w:color="auto" w:fill="auto"/>
            <w:hideMark/>
          </w:tcPr>
          <w:p w14:paraId="26479F89" w14:textId="05FA4DAA" w:rsidR="00A16DDB" w:rsidRPr="00D95127" w:rsidRDefault="00EC7887" w:rsidP="00A250FE">
            <w:pPr>
              <w:pStyle w:val="UZEIOdrky"/>
              <w:ind w:left="495" w:hanging="425"/>
            </w:pPr>
            <w:r>
              <w:t xml:space="preserve">S1: </w:t>
            </w:r>
            <w:r w:rsidR="00A16DDB" w:rsidRPr="00D95127">
              <w:t xml:space="preserve">Vhodné podmínky pro pěstování trav na semeno </w:t>
            </w:r>
          </w:p>
          <w:p w14:paraId="24C01480" w14:textId="09F2AB41" w:rsidR="00A16DDB" w:rsidRPr="00D95127" w:rsidRDefault="00EC7887" w:rsidP="00A250FE">
            <w:pPr>
              <w:pStyle w:val="UZEIOdrky"/>
              <w:ind w:left="495" w:hanging="425"/>
            </w:pPr>
            <w:r>
              <w:t xml:space="preserve">S2: </w:t>
            </w:r>
            <w:r w:rsidR="00A16DDB" w:rsidRPr="00D95127">
              <w:t>Trvalý požadavek objemných krmiv pro hospodářská zvířata</w:t>
            </w:r>
          </w:p>
          <w:p w14:paraId="77DF4225" w14:textId="77FF1E00" w:rsidR="00A16DDB" w:rsidRPr="00D95127" w:rsidRDefault="00EC7887" w:rsidP="00A250FE">
            <w:pPr>
              <w:pStyle w:val="UZEIOdrky"/>
              <w:ind w:left="495" w:hanging="425"/>
            </w:pPr>
            <w:r>
              <w:t xml:space="preserve">S3: </w:t>
            </w:r>
            <w:r w:rsidR="00A16DDB" w:rsidRPr="00D95127">
              <w:t>Patří mezi zlepšující plodiny, které zanechávají půdu ve velmi dobrém strukturním stavu, významně přispívají k ochraně před půdní erozí.</w:t>
            </w:r>
          </w:p>
          <w:p w14:paraId="4AF988DE" w14:textId="252FF858" w:rsidR="00A16DDB" w:rsidRPr="00D95127" w:rsidRDefault="00EC7887" w:rsidP="00A250FE">
            <w:pPr>
              <w:pStyle w:val="UZEIOdrky"/>
              <w:ind w:left="495" w:hanging="425"/>
            </w:pPr>
            <w:r>
              <w:t xml:space="preserve">S4: </w:t>
            </w:r>
            <w:r w:rsidR="00A16DDB" w:rsidRPr="00D95127">
              <w:t>Pícniny jsou méně náročné na spotřebu chemických POR</w:t>
            </w:r>
          </w:p>
          <w:p w14:paraId="62047733" w14:textId="0D3B5498" w:rsidR="00A16DDB" w:rsidRPr="00D95127" w:rsidRDefault="00EC7887" w:rsidP="00A250FE">
            <w:pPr>
              <w:pStyle w:val="UZEIOdrky"/>
              <w:ind w:left="495" w:hanging="425"/>
            </w:pPr>
            <w:r>
              <w:t xml:space="preserve">S5: </w:t>
            </w:r>
            <w:r w:rsidR="00A16DDB" w:rsidRPr="00D95127">
              <w:t>Druhová pestrost trav a vysoká kvalita semen</w:t>
            </w:r>
          </w:p>
          <w:p w14:paraId="605DD576" w14:textId="43EFFDC7" w:rsidR="00A16DDB" w:rsidRPr="00D95127" w:rsidRDefault="00EC7887" w:rsidP="00A250FE">
            <w:pPr>
              <w:pStyle w:val="UZEIOdrky"/>
              <w:ind w:left="495" w:hanging="425"/>
            </w:pPr>
            <w:r>
              <w:t xml:space="preserve">S6: </w:t>
            </w:r>
            <w:r w:rsidR="00A16DDB" w:rsidRPr="00D95127">
              <w:t>Zařazení trav a jetelovin na semeno do sledu střídání plodin rozšiřuje diverzitu plodin.</w:t>
            </w:r>
          </w:p>
          <w:p w14:paraId="0AD30C54" w14:textId="77777777" w:rsidR="00A16DDB" w:rsidRPr="00D95127" w:rsidRDefault="00A16DDB" w:rsidP="00EC7887">
            <w:pPr>
              <w:pStyle w:val="UZEIOdrky"/>
              <w:numPr>
                <w:ilvl w:val="0"/>
                <w:numId w:val="0"/>
              </w:numPr>
              <w:ind w:left="495"/>
            </w:pPr>
          </w:p>
        </w:tc>
        <w:tc>
          <w:tcPr>
            <w:tcW w:w="4531" w:type="dxa"/>
            <w:tcBorders>
              <w:top w:val="single" w:sz="4" w:space="0" w:color="auto"/>
              <w:left w:val="single" w:sz="4" w:space="0" w:color="auto"/>
              <w:bottom w:val="single" w:sz="4" w:space="0" w:color="auto"/>
              <w:right w:val="single" w:sz="4" w:space="0" w:color="auto"/>
            </w:tcBorders>
            <w:shd w:val="clear" w:color="auto" w:fill="auto"/>
            <w:hideMark/>
          </w:tcPr>
          <w:p w14:paraId="5D8C9AAD" w14:textId="7F99A079" w:rsidR="00A16DDB" w:rsidRPr="00D95127" w:rsidRDefault="00EC7887" w:rsidP="00A250FE">
            <w:pPr>
              <w:pStyle w:val="UZEIOdrky"/>
              <w:ind w:left="495" w:hanging="425"/>
              <w:rPr>
                <w:bCs/>
              </w:rPr>
            </w:pPr>
            <w:r>
              <w:rPr>
                <w:bCs/>
              </w:rPr>
              <w:t>W1: N</w:t>
            </w:r>
            <w:r w:rsidR="00A16DDB" w:rsidRPr="00D95127">
              <w:rPr>
                <w:bCs/>
              </w:rPr>
              <w:t>ízká úroveň výnosů u některých druhů trav ve srovnání s konkurenty </w:t>
            </w:r>
          </w:p>
          <w:p w14:paraId="7616C678" w14:textId="0845747C" w:rsidR="00A16DDB" w:rsidRPr="00D95127" w:rsidRDefault="00EC7887" w:rsidP="00A250FE">
            <w:pPr>
              <w:pStyle w:val="UZEIOdrky"/>
              <w:ind w:left="495" w:hanging="425"/>
              <w:rPr>
                <w:bCs/>
              </w:rPr>
            </w:pPr>
            <w:r>
              <w:rPr>
                <w:bCs/>
              </w:rPr>
              <w:t>W2: P</w:t>
            </w:r>
            <w:r w:rsidR="00A16DDB" w:rsidRPr="00D95127">
              <w:rPr>
                <w:bCs/>
              </w:rPr>
              <w:t>okles osevní plochy </w:t>
            </w:r>
          </w:p>
          <w:p w14:paraId="62C8F1D0" w14:textId="61D0D1D3" w:rsidR="00A16DDB" w:rsidRPr="00D95127" w:rsidRDefault="00EC7887" w:rsidP="00A250FE">
            <w:pPr>
              <w:pStyle w:val="UZEIOdrky"/>
              <w:ind w:left="495" w:hanging="425"/>
              <w:rPr>
                <w:bCs/>
              </w:rPr>
            </w:pPr>
            <w:r>
              <w:rPr>
                <w:bCs/>
              </w:rPr>
              <w:t>W3: T</w:t>
            </w:r>
            <w:r w:rsidR="00A16DDB" w:rsidRPr="00D95127">
              <w:rPr>
                <w:bCs/>
              </w:rPr>
              <w:t>echnologická náročnost pěstování trav na semeno</w:t>
            </w:r>
          </w:p>
          <w:p w14:paraId="51F19B18" w14:textId="5802F906" w:rsidR="00A16DDB" w:rsidRPr="00D95127" w:rsidRDefault="00EC7887" w:rsidP="00A250FE">
            <w:pPr>
              <w:pStyle w:val="UZEIOdrky"/>
              <w:ind w:left="495" w:hanging="425"/>
              <w:rPr>
                <w:bCs/>
              </w:rPr>
            </w:pPr>
            <w:r>
              <w:rPr>
                <w:bCs/>
              </w:rPr>
              <w:t>W4: A</w:t>
            </w:r>
            <w:r w:rsidR="00A16DDB" w:rsidRPr="00D95127">
              <w:rPr>
                <w:bCs/>
              </w:rPr>
              <w:t>bsence zkušených agronomů s pěstováním trav na semeno</w:t>
            </w:r>
          </w:p>
          <w:p w14:paraId="3CD7BC17" w14:textId="08C96D56" w:rsidR="00A16DDB" w:rsidRPr="00D95127" w:rsidRDefault="00EC7887" w:rsidP="00A250FE">
            <w:pPr>
              <w:pStyle w:val="UZEIOdrky"/>
              <w:ind w:left="495" w:hanging="425"/>
              <w:rPr>
                <w:bCs/>
              </w:rPr>
            </w:pPr>
            <w:r>
              <w:rPr>
                <w:bCs/>
              </w:rPr>
              <w:t>W5: P</w:t>
            </w:r>
            <w:r w:rsidR="00A16DDB" w:rsidRPr="00D95127">
              <w:rPr>
                <w:bCs/>
              </w:rPr>
              <w:t>otřeba pěstování trav na semeno v čtyřletém produkčním období vyžadují vysoké náklady spojené se založením porostu trav v 1. roce</w:t>
            </w:r>
          </w:p>
          <w:p w14:paraId="3B578610" w14:textId="17E3B9EC" w:rsidR="00A16DDB" w:rsidRPr="00D95127" w:rsidRDefault="00EC7887" w:rsidP="00A250FE">
            <w:pPr>
              <w:pStyle w:val="UZEIOdrky"/>
              <w:ind w:left="495" w:hanging="425"/>
              <w:rPr>
                <w:bCs/>
              </w:rPr>
            </w:pPr>
            <w:r>
              <w:rPr>
                <w:bCs/>
              </w:rPr>
              <w:t>W6: P</w:t>
            </w:r>
            <w:r w:rsidR="00A16DDB" w:rsidRPr="00D95127">
              <w:rPr>
                <w:bCs/>
              </w:rPr>
              <w:t>omalejší návratnost finančních prostředků</w:t>
            </w:r>
          </w:p>
        </w:tc>
      </w:tr>
      <w:tr w:rsidR="00A16DDB" w:rsidRPr="00D95127" w14:paraId="5C481638" w14:textId="77777777" w:rsidTr="007A627A">
        <w:tc>
          <w:tcPr>
            <w:tcW w:w="4849" w:type="dxa"/>
            <w:tcBorders>
              <w:top w:val="single" w:sz="4" w:space="0" w:color="auto"/>
              <w:left w:val="single" w:sz="4" w:space="0" w:color="auto"/>
              <w:bottom w:val="single" w:sz="4" w:space="0" w:color="auto"/>
              <w:right w:val="single" w:sz="4" w:space="0" w:color="auto"/>
            </w:tcBorders>
            <w:shd w:val="clear" w:color="auto" w:fill="auto"/>
            <w:hideMark/>
          </w:tcPr>
          <w:p w14:paraId="61B5DC97" w14:textId="77777777" w:rsidR="00A16DDB" w:rsidRPr="00D95127" w:rsidRDefault="00A16DDB" w:rsidP="00A250FE">
            <w:pPr>
              <w:jc w:val="center"/>
              <w:rPr>
                <w:rFonts w:cs="Times New Roman"/>
                <w:szCs w:val="24"/>
                <w:lang w:val="cs-CZ"/>
              </w:rPr>
            </w:pPr>
            <w:r w:rsidRPr="00D95127">
              <w:rPr>
                <w:rFonts w:cs="Times New Roman"/>
                <w:b/>
                <w:szCs w:val="24"/>
                <w:lang w:val="cs-CZ"/>
              </w:rPr>
              <w:t>Příležitosti</w:t>
            </w:r>
          </w:p>
        </w:tc>
        <w:tc>
          <w:tcPr>
            <w:tcW w:w="4531" w:type="dxa"/>
            <w:tcBorders>
              <w:top w:val="single" w:sz="4" w:space="0" w:color="auto"/>
              <w:left w:val="single" w:sz="4" w:space="0" w:color="auto"/>
              <w:bottom w:val="single" w:sz="4" w:space="0" w:color="auto"/>
              <w:right w:val="single" w:sz="4" w:space="0" w:color="auto"/>
            </w:tcBorders>
            <w:shd w:val="clear" w:color="auto" w:fill="auto"/>
            <w:hideMark/>
          </w:tcPr>
          <w:p w14:paraId="18DC7383" w14:textId="77777777" w:rsidR="00A16DDB" w:rsidRPr="00D95127" w:rsidRDefault="00A16DDB" w:rsidP="00A250FE">
            <w:pPr>
              <w:jc w:val="center"/>
              <w:rPr>
                <w:rFonts w:cs="Times New Roman"/>
                <w:szCs w:val="24"/>
                <w:lang w:val="cs-CZ"/>
              </w:rPr>
            </w:pPr>
            <w:r w:rsidRPr="00D95127">
              <w:rPr>
                <w:rFonts w:cs="Times New Roman"/>
                <w:b/>
                <w:szCs w:val="24"/>
                <w:lang w:val="cs-CZ"/>
              </w:rPr>
              <w:t>Hrozby</w:t>
            </w:r>
          </w:p>
        </w:tc>
      </w:tr>
      <w:tr w:rsidR="00A16DDB" w:rsidRPr="00D95127" w14:paraId="084DD255" w14:textId="77777777" w:rsidTr="007A627A">
        <w:tc>
          <w:tcPr>
            <w:tcW w:w="4849" w:type="dxa"/>
            <w:tcBorders>
              <w:top w:val="single" w:sz="4" w:space="0" w:color="auto"/>
              <w:left w:val="single" w:sz="4" w:space="0" w:color="auto"/>
              <w:bottom w:val="single" w:sz="4" w:space="0" w:color="auto"/>
              <w:right w:val="single" w:sz="4" w:space="0" w:color="auto"/>
            </w:tcBorders>
            <w:shd w:val="clear" w:color="auto" w:fill="auto"/>
            <w:hideMark/>
          </w:tcPr>
          <w:p w14:paraId="548953EF" w14:textId="48119FCC" w:rsidR="00A16DDB" w:rsidRPr="00D95127" w:rsidRDefault="00EC7887" w:rsidP="00A250FE">
            <w:pPr>
              <w:pStyle w:val="UZEIOdrky"/>
              <w:ind w:left="495" w:hanging="425"/>
            </w:pPr>
            <w:r>
              <w:t xml:space="preserve">O1: </w:t>
            </w:r>
            <w:r w:rsidR="00A16DDB" w:rsidRPr="00D95127">
              <w:t>Vysoká poptávka po travním semenu i v zahraničí</w:t>
            </w:r>
          </w:p>
          <w:p w14:paraId="3365DFC0" w14:textId="2261F09E" w:rsidR="00A16DDB" w:rsidRPr="00D95127" w:rsidRDefault="00EC7887" w:rsidP="00A250FE">
            <w:pPr>
              <w:pStyle w:val="UZEIOdrky"/>
              <w:ind w:left="495" w:hanging="425"/>
            </w:pPr>
            <w:r>
              <w:t xml:space="preserve">O2: </w:t>
            </w:r>
            <w:r w:rsidR="00A16DDB" w:rsidRPr="00D95127">
              <w:t>Podpora biodiverzity, zlepšení půdních vlastností</w:t>
            </w:r>
          </w:p>
          <w:p w14:paraId="6645A01D" w14:textId="64E62C58" w:rsidR="00A16DDB" w:rsidRPr="00D95127" w:rsidRDefault="00EC7887" w:rsidP="00A250FE">
            <w:pPr>
              <w:pStyle w:val="UZEIOdrky"/>
              <w:ind w:left="495" w:hanging="425"/>
            </w:pPr>
            <w:r>
              <w:t xml:space="preserve">O3: </w:t>
            </w:r>
            <w:r w:rsidR="00A16DDB" w:rsidRPr="00D95127">
              <w:t>Omezení půdní eroze na vhodně zvolených pozemcích</w:t>
            </w:r>
          </w:p>
          <w:p w14:paraId="181C70CC" w14:textId="35F1B44B" w:rsidR="00A16DDB" w:rsidRPr="00D95127" w:rsidRDefault="00EC7887" w:rsidP="00A250FE">
            <w:pPr>
              <w:pStyle w:val="UZEIOdrky"/>
              <w:ind w:left="495" w:hanging="425"/>
            </w:pPr>
            <w:r>
              <w:t xml:space="preserve">O4: </w:t>
            </w:r>
            <w:r w:rsidR="00A16DDB" w:rsidRPr="00D95127">
              <w:t>Vhodné využití pícnin jako meziplodiny u širokořádkových komodit</w:t>
            </w:r>
          </w:p>
          <w:p w14:paraId="16200A0B" w14:textId="77777777" w:rsidR="00A16DDB" w:rsidRPr="00A250FE" w:rsidRDefault="00A16DDB" w:rsidP="00EC7887">
            <w:pPr>
              <w:pStyle w:val="UZEIOdrky"/>
              <w:numPr>
                <w:ilvl w:val="0"/>
                <w:numId w:val="0"/>
              </w:numPr>
              <w:ind w:left="495"/>
            </w:pPr>
          </w:p>
        </w:tc>
        <w:tc>
          <w:tcPr>
            <w:tcW w:w="4531" w:type="dxa"/>
            <w:tcBorders>
              <w:top w:val="single" w:sz="4" w:space="0" w:color="auto"/>
              <w:left w:val="single" w:sz="4" w:space="0" w:color="auto"/>
              <w:bottom w:val="single" w:sz="4" w:space="0" w:color="auto"/>
              <w:right w:val="single" w:sz="4" w:space="0" w:color="auto"/>
            </w:tcBorders>
            <w:shd w:val="clear" w:color="auto" w:fill="auto"/>
            <w:hideMark/>
          </w:tcPr>
          <w:p w14:paraId="662E09DB" w14:textId="2606AD70" w:rsidR="00A16DDB" w:rsidRPr="00D95127" w:rsidRDefault="00EC7887" w:rsidP="00A250FE">
            <w:pPr>
              <w:pStyle w:val="UZEIOdrky"/>
              <w:ind w:left="495" w:hanging="425"/>
            </w:pPr>
            <w:r>
              <w:t xml:space="preserve">T1: </w:t>
            </w:r>
            <w:r w:rsidR="00A16DDB" w:rsidRPr="00A250FE">
              <w:t>Cenová volatilita travních semen</w:t>
            </w:r>
          </w:p>
          <w:p w14:paraId="0F3D09CD" w14:textId="327E0E9A" w:rsidR="00A16DDB" w:rsidRPr="00D95127" w:rsidRDefault="00EC7887" w:rsidP="00A250FE">
            <w:pPr>
              <w:pStyle w:val="UZEIOdrky"/>
              <w:ind w:left="495" w:hanging="425"/>
            </w:pPr>
            <w:r>
              <w:t xml:space="preserve">T2: </w:t>
            </w:r>
            <w:r w:rsidR="00A16DDB" w:rsidRPr="00A250FE">
              <w:t>Nemožnost pojistit všechna rizika (nepříznivé počasí, škůdci, ...)</w:t>
            </w:r>
          </w:p>
          <w:p w14:paraId="33ADBEE3" w14:textId="5C1B9C3D" w:rsidR="00A16DDB" w:rsidRPr="00D95127" w:rsidRDefault="00EC7887" w:rsidP="00A250FE">
            <w:pPr>
              <w:pStyle w:val="UZEIOdrky"/>
              <w:ind w:left="495" w:hanging="425"/>
            </w:pPr>
            <w:r>
              <w:t xml:space="preserve">T3: </w:t>
            </w:r>
            <w:r w:rsidR="00A16DDB" w:rsidRPr="00D95127">
              <w:t>Specifická technologie a technika pro pěstování travních porostů</w:t>
            </w:r>
          </w:p>
          <w:p w14:paraId="2B80D3E5" w14:textId="61F687B1" w:rsidR="00A16DDB" w:rsidRPr="00D95127" w:rsidRDefault="00EC7887" w:rsidP="00A250FE">
            <w:pPr>
              <w:pStyle w:val="UZEIOdrky"/>
              <w:ind w:left="495" w:hanging="425"/>
            </w:pPr>
            <w:r>
              <w:t xml:space="preserve">T4: </w:t>
            </w:r>
            <w:r w:rsidR="00A16DDB" w:rsidRPr="00D95127">
              <w:t>Náročná posklizňová opatření, aby se zachovala celková kvalita produkce</w:t>
            </w:r>
          </w:p>
        </w:tc>
      </w:tr>
      <w:bookmarkEnd w:id="777"/>
    </w:tbl>
    <w:p w14:paraId="2C8ACE10" w14:textId="77777777" w:rsidR="00A16DDB" w:rsidRPr="00D95127" w:rsidRDefault="00A16DDB" w:rsidP="00A16DDB">
      <w:pPr>
        <w:rPr>
          <w:rFonts w:eastAsia="Times New Roman" w:cs="Times New Roman"/>
          <w:b/>
          <w:color w:val="2E74B5"/>
          <w:szCs w:val="24"/>
          <w:lang w:val="cs-CZ"/>
        </w:rPr>
      </w:pPr>
      <w:r w:rsidRPr="00D95127">
        <w:rPr>
          <w:rFonts w:cs="Times New Roman"/>
          <w:b/>
          <w:szCs w:val="24"/>
          <w:lang w:val="cs-CZ"/>
        </w:rPr>
        <w:br w:type="page"/>
      </w:r>
    </w:p>
    <w:p w14:paraId="641004B7" w14:textId="77777777" w:rsidR="00A16DDB" w:rsidRPr="00D95127" w:rsidRDefault="00A16DDB" w:rsidP="00EC7887">
      <w:pPr>
        <w:pStyle w:val="UZEINadpis1stbezsla"/>
      </w:pPr>
      <w:bookmarkStart w:id="813" w:name="_Toc80953319"/>
      <w:bookmarkStart w:id="814" w:name="_Toc81739272"/>
      <w:r w:rsidRPr="00D95127">
        <w:t>MLÉKO</w:t>
      </w:r>
      <w:bookmarkEnd w:id="601"/>
      <w:bookmarkEnd w:id="653"/>
      <w:bookmarkEnd w:id="654"/>
      <w:bookmarkEnd w:id="655"/>
      <w:bookmarkEnd w:id="656"/>
      <w:bookmarkEnd w:id="773"/>
      <w:bookmarkEnd w:id="774"/>
      <w:bookmarkEnd w:id="813"/>
      <w:bookmarkEnd w:id="814"/>
    </w:p>
    <w:p w14:paraId="5591D691" w14:textId="77777777" w:rsidR="00A16DDB" w:rsidRPr="00D95127" w:rsidRDefault="00A16DDB" w:rsidP="00DE7D57">
      <w:pPr>
        <w:pStyle w:val="Nadpis1"/>
        <w:numPr>
          <w:ilvl w:val="0"/>
          <w:numId w:val="23"/>
        </w:numPr>
      </w:pPr>
      <w:bookmarkStart w:id="815" w:name="_Toc15304080"/>
      <w:bookmarkStart w:id="816" w:name="_Toc23509898"/>
      <w:bookmarkStart w:id="817" w:name="_Toc76137432"/>
      <w:bookmarkStart w:id="818" w:name="_Toc76637631"/>
      <w:bookmarkStart w:id="819" w:name="_Toc80953320"/>
      <w:bookmarkStart w:id="820" w:name="_Toc81739273"/>
      <w:r w:rsidRPr="00D95127">
        <w:t>Analýza stávajících/navrhovaných právních předpisů EK/ČR a pravděpodobné nastavení směrů a cílů SZP</w:t>
      </w:r>
      <w:bookmarkEnd w:id="815"/>
      <w:bookmarkEnd w:id="816"/>
      <w:bookmarkEnd w:id="817"/>
      <w:bookmarkEnd w:id="818"/>
      <w:bookmarkEnd w:id="819"/>
      <w:bookmarkEnd w:id="820"/>
    </w:p>
    <w:p w14:paraId="56E15CB4" w14:textId="77777777" w:rsidR="00A16DDB" w:rsidRPr="00EC7887" w:rsidRDefault="00A16DDB" w:rsidP="00EC7887">
      <w:pPr>
        <w:pStyle w:val="UZEINormaln"/>
        <w:rPr>
          <w:u w:val="single"/>
        </w:rPr>
      </w:pPr>
      <w:r w:rsidRPr="00EC7887">
        <w:rPr>
          <w:u w:val="single"/>
        </w:rPr>
        <w:t>Tato část je zpracována souhrnně v základním analytickém dokumentu za oblast konkurenceschopnost zemědělství.</w:t>
      </w:r>
    </w:p>
    <w:p w14:paraId="661926ED" w14:textId="77777777" w:rsidR="00EC7887" w:rsidRDefault="00EC7887">
      <w:pPr>
        <w:spacing w:after="160" w:line="259" w:lineRule="auto"/>
        <w:jc w:val="left"/>
        <w:rPr>
          <w:rFonts w:eastAsiaTheme="majorEastAsia" w:cs="Times New Roman"/>
          <w:b/>
          <w:bCs/>
          <w:sz w:val="28"/>
          <w:szCs w:val="32"/>
          <w:lang w:val="cs-CZ"/>
        </w:rPr>
      </w:pPr>
      <w:bookmarkStart w:id="821" w:name="_Toc15304081"/>
      <w:bookmarkStart w:id="822" w:name="_Toc23509899"/>
      <w:bookmarkStart w:id="823" w:name="_Toc76137433"/>
      <w:bookmarkStart w:id="824" w:name="_Toc76637632"/>
      <w:bookmarkStart w:id="825" w:name="_Toc80953321"/>
      <w:r>
        <w:br w:type="page"/>
      </w:r>
    </w:p>
    <w:p w14:paraId="1EAE520A" w14:textId="2674B38E" w:rsidR="00A16DDB" w:rsidRPr="00D95127" w:rsidRDefault="00A16DDB" w:rsidP="00EC7887">
      <w:pPr>
        <w:pStyle w:val="Nadpis1"/>
      </w:pPr>
      <w:bookmarkStart w:id="826" w:name="_Toc81739274"/>
      <w:r w:rsidRPr="00D95127">
        <w:t>Co je skutečným problémem, na který má politika reagovat?</w:t>
      </w:r>
      <w:bookmarkEnd w:id="821"/>
      <w:bookmarkEnd w:id="822"/>
      <w:bookmarkEnd w:id="823"/>
      <w:bookmarkEnd w:id="824"/>
      <w:bookmarkEnd w:id="825"/>
      <w:bookmarkEnd w:id="826"/>
    </w:p>
    <w:p w14:paraId="208E0BA6" w14:textId="4D6BB94B" w:rsidR="00A16DDB" w:rsidRPr="00D95127" w:rsidRDefault="00A16DDB" w:rsidP="00EC7887">
      <w:pPr>
        <w:pStyle w:val="UZEINormaln"/>
      </w:pPr>
      <w:r w:rsidRPr="00D95127">
        <w:t xml:space="preserve">Z hlediska objemu výroby a míry soběstačnosti byla zemědělská výroba mléka v desátých letech stabilizovaná až mírně rostoucí a soběstačnost ve výrobě mléka se v období od roku 2013 pohybuje okolo 130 %. To bylo způsobeno výrazným posunem v dojivosti, kdy došlo mezi lety 2000 a 2020 ke zvýšení užitkovosti dojnic o více než polovinu a v ČR je dosahována nejvyšší dojivost ve střední Evropě. Produkce mléka v ČR od roku 2009 zaznamenává stabilní růst, ovšem produkce stabilně roste také v Německu a Polsku. </w:t>
      </w:r>
    </w:p>
    <w:p w14:paraId="046193C2" w14:textId="112F9B0D" w:rsidR="00A16DDB" w:rsidRPr="00D95127" w:rsidRDefault="00A16DDB" w:rsidP="00EC7887">
      <w:pPr>
        <w:pStyle w:val="UZEINormaln"/>
      </w:pPr>
      <w:r w:rsidRPr="00D95127">
        <w:t>Jak však potvrzují data mezinárodní sítě pro srovnávání ekonomiky farem s výrobou mléka (IFCN Dairy), řada typických farem s výrobou mléka s relativně nižší mléčnou užitkovostí dosahuje lepších ekonomických výsledků než typické farmy s nejvyššími užitkovostmi a naopak (</w:t>
      </w:r>
      <w:r w:rsidR="001C6EA0">
        <w:fldChar w:fldCharType="begin"/>
      </w:r>
      <w:r w:rsidR="001C6EA0">
        <w:instrText xml:space="preserve"> REF _Ref81727639 \r \h </w:instrText>
      </w:r>
      <w:r w:rsidR="001C6EA0">
        <w:fldChar w:fldCharType="separate"/>
      </w:r>
      <w:r w:rsidR="001C6EA0">
        <w:t>Graf 43</w:t>
      </w:r>
      <w:r w:rsidR="001C6EA0">
        <w:fldChar w:fldCharType="end"/>
      </w:r>
      <w:r w:rsidRPr="00D95127">
        <w:t>). Např.  typická farma IE  80 (Irsko) s užitkovostí 5 900 kg ECM a ekonomickou rentabilitou bez podpor 34,8 % versus DK 360 (Dánsko) s užitkovostí 11 918 kg ECM a ekonomickou rentabilitou bez podpor 3,0 %. Obdobně PL 25 (Polsko) s užitkovostí 6 933 kg ECM a ekonomickou rentabilitou bez podpor 41,9 % versus DE 1200 E (Německo) s užitkovostí 10 109 kg ECM a ekonomickou rentabilitou bez podpor 3,1 %. </w:t>
      </w:r>
    </w:p>
    <w:p w14:paraId="2E6E32A6" w14:textId="000277EE" w:rsidR="00A16DDB" w:rsidRPr="00D95127" w:rsidRDefault="00A16DDB" w:rsidP="00EC7887">
      <w:pPr>
        <w:pStyle w:val="UZEIGraf"/>
      </w:pPr>
      <w:bookmarkStart w:id="827" w:name="_Ref81727639"/>
      <w:bookmarkStart w:id="828" w:name="_Toc81738820"/>
      <w:r w:rsidRPr="00D95127">
        <w:t>Mléčná užitkovost a rentabilita na typických farmách v roce 2019</w:t>
      </w:r>
      <w:bookmarkEnd w:id="827"/>
      <w:bookmarkEnd w:id="828"/>
    </w:p>
    <w:p w14:paraId="5499D47C" w14:textId="77777777" w:rsidR="00A16DDB" w:rsidRPr="00D95127" w:rsidDel="003B10A8" w:rsidRDefault="00A16DDB" w:rsidP="00A16DDB">
      <w:pPr>
        <w:rPr>
          <w:rFonts w:cs="Times New Roman"/>
          <w:lang w:val="cs-CZ" w:eastAsia="cs-CZ"/>
        </w:rPr>
      </w:pPr>
      <w:r w:rsidRPr="00D95127">
        <w:rPr>
          <w:rFonts w:cs="Times New Roman"/>
          <w:noProof/>
          <w:lang w:val="cs-CZ" w:eastAsia="cs-CZ"/>
        </w:rPr>
        <w:drawing>
          <wp:inline distT="0" distB="0" distL="0" distR="0" wp14:anchorId="00272958" wp14:editId="7969CEF6">
            <wp:extent cx="6636693" cy="3186376"/>
            <wp:effectExtent l="0" t="0" r="0" b="0"/>
            <wp:docPr id="24" name="Obrázek 24" descr="Obsah obrázku text, obloha,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Obrázek 24" descr="Obsah obrázku text, obloha, snímek obrazovky&#10;&#10;Popis byl vytvořen automaticky"/>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669902" cy="3202320"/>
                    </a:xfrm>
                    <a:prstGeom prst="rect">
                      <a:avLst/>
                    </a:prstGeom>
                    <a:noFill/>
                  </pic:spPr>
                </pic:pic>
              </a:graphicData>
            </a:graphic>
          </wp:inline>
        </w:drawing>
      </w:r>
    </w:p>
    <w:p w14:paraId="2C796C25" w14:textId="22D9D927" w:rsidR="00A16DDB" w:rsidRPr="00D95127" w:rsidRDefault="00A16DDB" w:rsidP="001C6EA0">
      <w:pPr>
        <w:pStyle w:val="UZEIZdroj"/>
      </w:pPr>
      <w:r w:rsidRPr="00D95127">
        <w:rPr>
          <w:lang w:eastAsia="cs-CZ"/>
        </w:rPr>
        <w:t xml:space="preserve">Pozn.: 1) Kód typické farmy zahrnuje označení země (písmena) a počet dojnic na typické farmě (číslice). </w:t>
      </w:r>
      <w:r w:rsidRPr="00D95127">
        <w:t>AT = Rakousko; DE S = Bavorsko; DE N = severní Německo – Šlesvicko-Holštýnsko; DE E = východní Německo; NL = Nizozemsko; BE = Belgie; FR = Francie; IT = Itálie; UK = Spojené Království; IE = Irsko; PL – Polsko; LV = Lotyšsko; CZ = Česká republika</w:t>
      </w:r>
    </w:p>
    <w:p w14:paraId="49368BC7" w14:textId="77777777" w:rsidR="00A16DDB" w:rsidRPr="00D95127" w:rsidRDefault="00A16DDB" w:rsidP="001C6EA0">
      <w:pPr>
        <w:pStyle w:val="UZEIZdroj"/>
      </w:pPr>
      <w:r w:rsidRPr="00D95127">
        <w:t>Pramen: IFCN Dairy</w:t>
      </w:r>
    </w:p>
    <w:p w14:paraId="4C9D1DF2" w14:textId="439235A8" w:rsidR="00A16DDB" w:rsidRPr="00D95127" w:rsidRDefault="00A16DDB" w:rsidP="001C6EA0">
      <w:pPr>
        <w:pStyle w:val="UZEINormaln"/>
      </w:pPr>
      <w:r w:rsidRPr="00D95127">
        <w:rPr>
          <w:b/>
        </w:rPr>
        <w:t>Problémem odvětví je klesající počet stavů</w:t>
      </w:r>
      <w:r w:rsidRPr="00D95127">
        <w:t xml:space="preserve">, kdy od ukončení kvót v roce 2015 (se stavy 368,2 tis. ks) bylo dosaženo maxima v roce 2016 (370,2 tis. ks) a od tohoto období stavy klesají k aktuální hodnotě 357,8 tis. ks v  roce 2020. Naproti tomu míra soběstačnosti v produkci mléka se zvýšila ze 121 % v roce 2009 na 133 % v roce 2020. Zachování stavů dojnic při růstu užitkovosti by znamenalo zvyšování produkce mléka. </w:t>
      </w:r>
    </w:p>
    <w:p w14:paraId="42929FC9" w14:textId="77777777" w:rsidR="00A16DDB" w:rsidRPr="00D95127" w:rsidRDefault="00A16DDB" w:rsidP="001C6EA0">
      <w:pPr>
        <w:pStyle w:val="UZEINormaln"/>
      </w:pPr>
      <w:r w:rsidRPr="00D95127">
        <w:t>Dalším problémem je, že i přes mírné snížení přetrvávají významné rozdíly mezi nadprůměrnými a podprůměrnými třetinami sledovaných podniků v souhrnné a nákladové rentabilitě.</w:t>
      </w:r>
    </w:p>
    <w:p w14:paraId="0E08B7D1" w14:textId="447A2AF8" w:rsidR="00A16DDB" w:rsidRPr="00D95127" w:rsidRDefault="00A16DDB" w:rsidP="001C6EA0">
      <w:pPr>
        <w:pStyle w:val="UZEINormaln"/>
      </w:pPr>
      <w:r w:rsidRPr="00D95127">
        <w:t xml:space="preserve">Problémem vertikály je, že zhruba24,2 % produkce syrového mléka směřuje do zahraničí vzhledem k nízké konkurenceschopnosti navazujícího zpracovatelského průmyslu. Postavení českých zemědělských výrobců mléka se tak posiluje, ale přidaná hodnota se čím dál více tvoří v zahraničí. Od roku 2009 se zvýšilo kladné saldo zahraničního obchodu se syrovým nezpracovaným mlékem z 3,1 na 6,5 mld. Kč. Záporné saldo agrárního zahraničního obchodu se zpracovanými mléčnými výrobky se zlepšilo z hodnoty </w:t>
      </w:r>
      <w:r w:rsidRPr="00D95127">
        <w:noBreakHyphen/>
        <w:t xml:space="preserve">3,2 na </w:t>
      </w:r>
      <w:r w:rsidRPr="00D95127">
        <w:noBreakHyphen/>
        <w:t>2,2 mld. Kč.</w:t>
      </w:r>
    </w:p>
    <w:p w14:paraId="7F807F93" w14:textId="77777777" w:rsidR="00A16DDB" w:rsidRPr="00D95127" w:rsidRDefault="00A16DDB" w:rsidP="00A16DDB">
      <w:pPr>
        <w:ind w:firstLine="709"/>
        <w:rPr>
          <w:rFonts w:cs="Times New Roman"/>
          <w:szCs w:val="24"/>
          <w:lang w:val="cs-CZ"/>
        </w:rPr>
      </w:pPr>
    </w:p>
    <w:p w14:paraId="67BD35F6" w14:textId="77777777" w:rsidR="001C6EA0" w:rsidRDefault="001C6EA0">
      <w:pPr>
        <w:spacing w:after="160" w:line="259" w:lineRule="auto"/>
        <w:jc w:val="left"/>
        <w:rPr>
          <w:rFonts w:eastAsiaTheme="majorEastAsia" w:cs="Times New Roman"/>
          <w:b/>
          <w:bCs/>
          <w:sz w:val="28"/>
          <w:szCs w:val="32"/>
          <w:lang w:val="cs-CZ"/>
        </w:rPr>
      </w:pPr>
      <w:bookmarkStart w:id="829" w:name="_Toc15304082"/>
      <w:bookmarkStart w:id="830" w:name="_Toc23509900"/>
      <w:bookmarkStart w:id="831" w:name="_Toc76137434"/>
      <w:bookmarkStart w:id="832" w:name="_Toc76637633"/>
      <w:bookmarkStart w:id="833" w:name="_Toc80953322"/>
      <w:r>
        <w:br w:type="page"/>
      </w:r>
    </w:p>
    <w:p w14:paraId="7FAB2282" w14:textId="6A5C0874" w:rsidR="00A16DDB" w:rsidRPr="00D95127" w:rsidRDefault="00A16DDB" w:rsidP="001C6EA0">
      <w:pPr>
        <w:pStyle w:val="Nadpis1"/>
      </w:pPr>
      <w:bookmarkStart w:id="834" w:name="_Toc81739275"/>
      <w:r w:rsidRPr="00D95127">
        <w:t>Jaký je mechanizmus a příčiny tohoto problému?</w:t>
      </w:r>
      <w:bookmarkEnd w:id="829"/>
      <w:bookmarkEnd w:id="830"/>
      <w:bookmarkEnd w:id="831"/>
      <w:bookmarkEnd w:id="832"/>
      <w:bookmarkEnd w:id="833"/>
      <w:bookmarkEnd w:id="834"/>
    </w:p>
    <w:p w14:paraId="6357DC05" w14:textId="43B68E68" w:rsidR="00A16DDB" w:rsidRPr="00D95127" w:rsidRDefault="00A16DDB" w:rsidP="001C6EA0">
      <w:pPr>
        <w:pStyle w:val="UZEINormaln"/>
      </w:pPr>
      <w:r w:rsidRPr="00D95127">
        <w:t xml:space="preserve">V odvětví se podle Výběrového šetření ÚZEI o nákladech a výnosech vyskytují skupiny podniků s velmi dobrou ekonomikou výroby mléka, a naopak skupiny podniků se zápornou rentabilitou. Příčiny poklesu stavů nelze zřejmě přičítat plošně celému odvětví, ale pravděpodobně spíše skupině s negativními výsledky (viz </w:t>
      </w:r>
      <w:r w:rsidR="00266986">
        <w:fldChar w:fldCharType="begin"/>
      </w:r>
      <w:r w:rsidR="00266986">
        <w:instrText xml:space="preserve"> REF _Ref526311797 \r \h </w:instrText>
      </w:r>
      <w:r w:rsidR="00266986">
        <w:fldChar w:fldCharType="separate"/>
      </w:r>
      <w:r w:rsidR="00266986">
        <w:t>Tabulka 95</w:t>
      </w:r>
      <w:r w:rsidR="00266986">
        <w:fldChar w:fldCharType="end"/>
      </w:r>
      <w:r w:rsidRPr="00D95127">
        <w:t>)</w:t>
      </w:r>
      <w:r w:rsidRPr="00D95127">
        <w:rPr>
          <w:rStyle w:val="Znakapoznpodarou"/>
        </w:rPr>
        <w:footnoteReference w:id="27"/>
      </w:r>
      <w:r w:rsidRPr="00D95127">
        <w:t>. V metodice nejsou dokonale podchyceny příjmy za maso. Ve skupině podniků s podprůměrnými výsledky je výrazně více dojnic kombinovaného plemene než ve zbylých dvou skupinách. Proto lze u zmíněné skupiny předpokládat vyšší příjmy za maso než ve zbylých dvou skupinách, a tím určitou kompenzaci horších výsledků v přepočtu na litr mléka.</w:t>
      </w:r>
    </w:p>
    <w:p w14:paraId="3CA0A354" w14:textId="4B7B3F46" w:rsidR="00A16DDB" w:rsidRPr="00D95127" w:rsidRDefault="00A16DDB" w:rsidP="001C6EA0">
      <w:pPr>
        <w:pStyle w:val="UZEITaB"/>
      </w:pPr>
      <w:bookmarkStart w:id="835" w:name="_Ref526311797"/>
      <w:bookmarkStart w:id="836" w:name="_Toc81738523"/>
      <w:r w:rsidRPr="00D95127">
        <w:t>Ekonomika produkce mléka podle třetin v přepočtu na litr mléka</w:t>
      </w:r>
      <w:bookmarkEnd w:id="835"/>
      <w:bookmarkEnd w:id="836"/>
    </w:p>
    <w:tbl>
      <w:tblPr>
        <w:tblW w:w="5505"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390"/>
        <w:gridCol w:w="892"/>
        <w:gridCol w:w="725"/>
        <w:gridCol w:w="770"/>
        <w:gridCol w:w="675"/>
        <w:gridCol w:w="737"/>
        <w:gridCol w:w="760"/>
        <w:gridCol w:w="691"/>
        <w:gridCol w:w="729"/>
        <w:gridCol w:w="790"/>
        <w:gridCol w:w="794"/>
      </w:tblGrid>
      <w:tr w:rsidR="00A16DDB" w:rsidRPr="00266986" w14:paraId="3BC62305" w14:textId="77777777" w:rsidTr="00266986">
        <w:trPr>
          <w:trHeight w:val="262"/>
        </w:trPr>
        <w:tc>
          <w:tcPr>
            <w:tcW w:w="1201" w:type="pct"/>
            <w:vMerge w:val="restart"/>
            <w:shd w:val="clear" w:color="auto" w:fill="auto"/>
            <w:vAlign w:val="center"/>
            <w:hideMark/>
          </w:tcPr>
          <w:p w14:paraId="79A69C7D" w14:textId="77777777" w:rsidR="00A16DDB" w:rsidRPr="00266986" w:rsidRDefault="00A16DDB" w:rsidP="007A627A">
            <w:pPr>
              <w:keepNext/>
              <w:rPr>
                <w:rFonts w:cs="Times New Roman"/>
                <w:sz w:val="20"/>
                <w:szCs w:val="20"/>
                <w:lang w:val="cs-CZ" w:eastAsia="cs-CZ"/>
              </w:rPr>
            </w:pPr>
            <w:r w:rsidRPr="00266986">
              <w:rPr>
                <w:rFonts w:cs="Times New Roman"/>
                <w:sz w:val="20"/>
                <w:szCs w:val="20"/>
                <w:lang w:val="cs-CZ" w:eastAsia="cs-CZ"/>
              </w:rPr>
              <w:t>Ukazatel</w:t>
            </w:r>
          </w:p>
        </w:tc>
        <w:tc>
          <w:tcPr>
            <w:tcW w:w="448" w:type="pct"/>
            <w:vMerge w:val="restart"/>
            <w:tcBorders>
              <w:right w:val="single" w:sz="12" w:space="0" w:color="auto"/>
            </w:tcBorders>
            <w:shd w:val="clear" w:color="auto" w:fill="auto"/>
            <w:vAlign w:val="center"/>
            <w:hideMark/>
          </w:tcPr>
          <w:p w14:paraId="07CE527D"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eastAsia="cs-CZ"/>
              </w:rPr>
              <w:t>Mj.</w:t>
            </w:r>
          </w:p>
        </w:tc>
        <w:tc>
          <w:tcPr>
            <w:tcW w:w="1090" w:type="pct"/>
            <w:gridSpan w:val="3"/>
            <w:tcBorders>
              <w:left w:val="single" w:sz="12" w:space="0" w:color="auto"/>
              <w:right w:val="single" w:sz="12" w:space="0" w:color="auto"/>
            </w:tcBorders>
            <w:shd w:val="clear" w:color="auto" w:fill="auto"/>
            <w:vAlign w:val="center"/>
            <w:hideMark/>
          </w:tcPr>
          <w:p w14:paraId="113F2841" w14:textId="1DCF4962"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eastAsia="cs-CZ"/>
              </w:rPr>
              <w:t>Skutečnost 2017</w:t>
            </w:r>
          </w:p>
        </w:tc>
        <w:tc>
          <w:tcPr>
            <w:tcW w:w="1099" w:type="pct"/>
            <w:gridSpan w:val="3"/>
            <w:tcBorders>
              <w:top w:val="single" w:sz="12" w:space="0" w:color="auto"/>
              <w:left w:val="single" w:sz="12" w:space="0" w:color="auto"/>
              <w:bottom w:val="single" w:sz="4" w:space="0" w:color="auto"/>
              <w:right w:val="single" w:sz="12" w:space="0" w:color="auto"/>
            </w:tcBorders>
            <w:shd w:val="clear" w:color="auto" w:fill="auto"/>
            <w:vAlign w:val="center"/>
            <w:hideMark/>
          </w:tcPr>
          <w:p w14:paraId="3EF80AD9" w14:textId="343EED8C"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eastAsia="cs-CZ"/>
              </w:rPr>
              <w:t>Skutečnost 2018</w:t>
            </w:r>
          </w:p>
        </w:tc>
        <w:tc>
          <w:tcPr>
            <w:tcW w:w="1162" w:type="pct"/>
            <w:gridSpan w:val="3"/>
            <w:tcBorders>
              <w:left w:val="single" w:sz="12" w:space="0" w:color="auto"/>
            </w:tcBorders>
            <w:shd w:val="clear" w:color="auto" w:fill="auto"/>
            <w:vAlign w:val="center"/>
            <w:hideMark/>
          </w:tcPr>
          <w:p w14:paraId="4CC4FA60" w14:textId="498FBA98"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eastAsia="cs-CZ"/>
              </w:rPr>
              <w:t>Skutečnost</w:t>
            </w:r>
            <w:r w:rsidRPr="00266986" w:rsidDel="00FB667B">
              <w:rPr>
                <w:rFonts w:cs="Times New Roman"/>
                <w:sz w:val="20"/>
                <w:szCs w:val="20"/>
                <w:lang w:val="cs-CZ" w:eastAsia="cs-CZ"/>
              </w:rPr>
              <w:t xml:space="preserve"> </w:t>
            </w:r>
            <w:r w:rsidRPr="00266986">
              <w:rPr>
                <w:rFonts w:cs="Times New Roman"/>
                <w:sz w:val="20"/>
                <w:szCs w:val="20"/>
                <w:lang w:val="cs-CZ" w:eastAsia="cs-CZ"/>
              </w:rPr>
              <w:t>2019</w:t>
            </w:r>
          </w:p>
        </w:tc>
      </w:tr>
      <w:tr w:rsidR="00A16DDB" w:rsidRPr="00266986" w14:paraId="010FF58A" w14:textId="77777777" w:rsidTr="00266986">
        <w:trPr>
          <w:trHeight w:val="741"/>
        </w:trPr>
        <w:tc>
          <w:tcPr>
            <w:tcW w:w="1201" w:type="pct"/>
            <w:vMerge/>
            <w:shd w:val="clear" w:color="auto" w:fill="auto"/>
            <w:vAlign w:val="center"/>
            <w:hideMark/>
          </w:tcPr>
          <w:p w14:paraId="3B3A511B" w14:textId="77777777" w:rsidR="00A16DDB" w:rsidRPr="00266986" w:rsidRDefault="00A16DDB" w:rsidP="007A627A">
            <w:pPr>
              <w:keepNext/>
              <w:rPr>
                <w:rFonts w:cs="Times New Roman"/>
                <w:sz w:val="20"/>
                <w:szCs w:val="20"/>
                <w:lang w:val="cs-CZ" w:eastAsia="cs-CZ"/>
              </w:rPr>
            </w:pPr>
          </w:p>
        </w:tc>
        <w:tc>
          <w:tcPr>
            <w:tcW w:w="448" w:type="pct"/>
            <w:vMerge/>
            <w:tcBorders>
              <w:right w:val="single" w:sz="12" w:space="0" w:color="auto"/>
            </w:tcBorders>
            <w:shd w:val="clear" w:color="auto" w:fill="auto"/>
            <w:vAlign w:val="center"/>
            <w:hideMark/>
          </w:tcPr>
          <w:p w14:paraId="47464DED" w14:textId="77777777" w:rsidR="00A16DDB" w:rsidRPr="00266986" w:rsidRDefault="00A16DDB" w:rsidP="007A627A">
            <w:pPr>
              <w:keepNext/>
              <w:jc w:val="center"/>
              <w:rPr>
                <w:rFonts w:cs="Times New Roman"/>
                <w:sz w:val="20"/>
                <w:szCs w:val="20"/>
                <w:lang w:val="cs-CZ" w:eastAsia="cs-CZ"/>
              </w:rPr>
            </w:pPr>
          </w:p>
        </w:tc>
        <w:tc>
          <w:tcPr>
            <w:tcW w:w="364" w:type="pct"/>
            <w:tcBorders>
              <w:left w:val="single" w:sz="12" w:space="0" w:color="auto"/>
            </w:tcBorders>
            <w:shd w:val="clear" w:color="auto" w:fill="auto"/>
            <w:vAlign w:val="center"/>
            <w:hideMark/>
          </w:tcPr>
          <w:p w14:paraId="6F28641F"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eastAsia="cs-CZ"/>
              </w:rPr>
              <w:t>1/3 nad-prům.</w:t>
            </w:r>
          </w:p>
        </w:tc>
        <w:tc>
          <w:tcPr>
            <w:tcW w:w="387" w:type="pct"/>
            <w:shd w:val="clear" w:color="auto" w:fill="auto"/>
            <w:vAlign w:val="center"/>
            <w:hideMark/>
          </w:tcPr>
          <w:p w14:paraId="7B95F018"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eastAsia="cs-CZ"/>
              </w:rPr>
              <w:t>1/3 prů-měrných</w:t>
            </w:r>
          </w:p>
        </w:tc>
        <w:tc>
          <w:tcPr>
            <w:tcW w:w="339" w:type="pct"/>
            <w:tcBorders>
              <w:right w:val="single" w:sz="12" w:space="0" w:color="auto"/>
            </w:tcBorders>
            <w:shd w:val="clear" w:color="auto" w:fill="auto"/>
            <w:vAlign w:val="center"/>
            <w:hideMark/>
          </w:tcPr>
          <w:p w14:paraId="4228CC38"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eastAsia="cs-CZ"/>
              </w:rPr>
              <w:t>1/3 pod-prům.</w:t>
            </w:r>
          </w:p>
        </w:tc>
        <w:tc>
          <w:tcPr>
            <w:tcW w:w="370" w:type="pct"/>
            <w:tcBorders>
              <w:top w:val="single" w:sz="4" w:space="0" w:color="auto"/>
              <w:left w:val="single" w:sz="12" w:space="0" w:color="auto"/>
              <w:bottom w:val="single" w:sz="4" w:space="0" w:color="auto"/>
            </w:tcBorders>
            <w:shd w:val="clear" w:color="auto" w:fill="auto"/>
            <w:vAlign w:val="center"/>
            <w:hideMark/>
          </w:tcPr>
          <w:p w14:paraId="322F51CB"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eastAsia="cs-CZ"/>
              </w:rPr>
              <w:t>1/3 nad-prům.</w:t>
            </w:r>
          </w:p>
        </w:tc>
        <w:tc>
          <w:tcPr>
            <w:tcW w:w="382" w:type="pct"/>
            <w:tcBorders>
              <w:top w:val="single" w:sz="4" w:space="0" w:color="auto"/>
              <w:bottom w:val="single" w:sz="4" w:space="0" w:color="auto"/>
            </w:tcBorders>
            <w:shd w:val="clear" w:color="auto" w:fill="auto"/>
            <w:vAlign w:val="center"/>
            <w:hideMark/>
          </w:tcPr>
          <w:p w14:paraId="5C619D3B"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eastAsia="cs-CZ"/>
              </w:rPr>
              <w:t>1/3 prů-měrných</w:t>
            </w:r>
          </w:p>
        </w:tc>
        <w:tc>
          <w:tcPr>
            <w:tcW w:w="347" w:type="pct"/>
            <w:tcBorders>
              <w:top w:val="single" w:sz="4" w:space="0" w:color="auto"/>
              <w:bottom w:val="single" w:sz="4" w:space="0" w:color="auto"/>
              <w:right w:val="single" w:sz="12" w:space="0" w:color="auto"/>
            </w:tcBorders>
            <w:shd w:val="clear" w:color="auto" w:fill="auto"/>
            <w:vAlign w:val="center"/>
            <w:hideMark/>
          </w:tcPr>
          <w:p w14:paraId="27D9BB06"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eastAsia="cs-CZ"/>
              </w:rPr>
              <w:t>1/3 pod-prům.</w:t>
            </w:r>
          </w:p>
        </w:tc>
        <w:tc>
          <w:tcPr>
            <w:tcW w:w="366" w:type="pct"/>
            <w:tcBorders>
              <w:left w:val="single" w:sz="12" w:space="0" w:color="auto"/>
            </w:tcBorders>
            <w:shd w:val="clear" w:color="auto" w:fill="auto"/>
            <w:vAlign w:val="center"/>
            <w:hideMark/>
          </w:tcPr>
          <w:p w14:paraId="66E89FCE"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eastAsia="cs-CZ"/>
              </w:rPr>
              <w:t>1/3 nad-prům.</w:t>
            </w:r>
          </w:p>
        </w:tc>
        <w:tc>
          <w:tcPr>
            <w:tcW w:w="397" w:type="pct"/>
            <w:shd w:val="clear" w:color="auto" w:fill="auto"/>
            <w:vAlign w:val="center"/>
            <w:hideMark/>
          </w:tcPr>
          <w:p w14:paraId="05479EBF"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eastAsia="cs-CZ"/>
              </w:rPr>
              <w:t>1/3 prů-měrných</w:t>
            </w:r>
          </w:p>
        </w:tc>
        <w:tc>
          <w:tcPr>
            <w:tcW w:w="399" w:type="pct"/>
            <w:shd w:val="clear" w:color="auto" w:fill="auto"/>
            <w:vAlign w:val="center"/>
            <w:hideMark/>
          </w:tcPr>
          <w:p w14:paraId="27A1B0FF"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eastAsia="cs-CZ"/>
              </w:rPr>
              <w:t>1/3 pod-prům.</w:t>
            </w:r>
          </w:p>
        </w:tc>
      </w:tr>
      <w:tr w:rsidR="00A16DDB" w:rsidRPr="00266986" w14:paraId="11EFE12E" w14:textId="77777777" w:rsidTr="00266986">
        <w:trPr>
          <w:trHeight w:val="277"/>
        </w:trPr>
        <w:tc>
          <w:tcPr>
            <w:tcW w:w="1201" w:type="pct"/>
            <w:shd w:val="clear" w:color="auto" w:fill="auto"/>
            <w:noWrap/>
            <w:vAlign w:val="center"/>
            <w:hideMark/>
          </w:tcPr>
          <w:p w14:paraId="5C4B6CDF" w14:textId="77777777" w:rsidR="00A16DDB" w:rsidRPr="00266986" w:rsidRDefault="00A16DDB" w:rsidP="007A627A">
            <w:pPr>
              <w:keepNext/>
              <w:rPr>
                <w:rFonts w:cs="Times New Roman"/>
                <w:sz w:val="20"/>
                <w:szCs w:val="20"/>
                <w:lang w:val="cs-CZ" w:eastAsia="cs-CZ"/>
              </w:rPr>
            </w:pPr>
            <w:r w:rsidRPr="00266986">
              <w:rPr>
                <w:rFonts w:cs="Times New Roman"/>
                <w:sz w:val="20"/>
                <w:szCs w:val="20"/>
                <w:lang w:val="cs-CZ" w:eastAsia="cs-CZ"/>
              </w:rPr>
              <w:t xml:space="preserve"> Náklady na vyrobené mléko</w:t>
            </w:r>
            <w:r w:rsidRPr="00266986">
              <w:rPr>
                <w:rFonts w:cs="Times New Roman"/>
                <w:sz w:val="20"/>
                <w:szCs w:val="20"/>
                <w:vertAlign w:val="superscript"/>
                <w:lang w:val="cs-CZ" w:eastAsia="cs-CZ"/>
              </w:rPr>
              <w:t>2</w:t>
            </w:r>
          </w:p>
        </w:tc>
        <w:tc>
          <w:tcPr>
            <w:tcW w:w="448" w:type="pct"/>
            <w:tcBorders>
              <w:right w:val="single" w:sz="12" w:space="0" w:color="auto"/>
            </w:tcBorders>
            <w:shd w:val="clear" w:color="auto" w:fill="auto"/>
            <w:noWrap/>
            <w:vAlign w:val="center"/>
            <w:hideMark/>
          </w:tcPr>
          <w:p w14:paraId="549C9AA0"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eastAsia="cs-CZ"/>
              </w:rPr>
              <w:t>Kč/l</w:t>
            </w:r>
          </w:p>
        </w:tc>
        <w:tc>
          <w:tcPr>
            <w:tcW w:w="364" w:type="pct"/>
            <w:tcBorders>
              <w:left w:val="single" w:sz="12" w:space="0" w:color="auto"/>
            </w:tcBorders>
            <w:shd w:val="clear" w:color="auto" w:fill="auto"/>
            <w:noWrap/>
            <w:vAlign w:val="center"/>
            <w:hideMark/>
          </w:tcPr>
          <w:p w14:paraId="16E4DBD9"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7,35</w:t>
            </w:r>
          </w:p>
        </w:tc>
        <w:tc>
          <w:tcPr>
            <w:tcW w:w="387" w:type="pct"/>
            <w:shd w:val="clear" w:color="auto" w:fill="auto"/>
            <w:noWrap/>
            <w:vAlign w:val="center"/>
            <w:hideMark/>
          </w:tcPr>
          <w:p w14:paraId="64D2C0A3"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8,38</w:t>
            </w:r>
          </w:p>
        </w:tc>
        <w:tc>
          <w:tcPr>
            <w:tcW w:w="339" w:type="pct"/>
            <w:tcBorders>
              <w:right w:val="single" w:sz="12" w:space="0" w:color="auto"/>
            </w:tcBorders>
            <w:shd w:val="clear" w:color="auto" w:fill="auto"/>
            <w:noWrap/>
            <w:vAlign w:val="center"/>
            <w:hideMark/>
          </w:tcPr>
          <w:p w14:paraId="04351EE3"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10,09</w:t>
            </w:r>
          </w:p>
        </w:tc>
        <w:tc>
          <w:tcPr>
            <w:tcW w:w="370" w:type="pct"/>
            <w:tcBorders>
              <w:top w:val="single" w:sz="4" w:space="0" w:color="auto"/>
              <w:left w:val="single" w:sz="12" w:space="0" w:color="auto"/>
              <w:bottom w:val="single" w:sz="4" w:space="0" w:color="auto"/>
            </w:tcBorders>
            <w:shd w:val="clear" w:color="auto" w:fill="auto"/>
            <w:noWrap/>
            <w:vAlign w:val="center"/>
            <w:hideMark/>
          </w:tcPr>
          <w:p w14:paraId="04EE8CA3"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7,58</w:t>
            </w:r>
          </w:p>
        </w:tc>
        <w:tc>
          <w:tcPr>
            <w:tcW w:w="382" w:type="pct"/>
            <w:tcBorders>
              <w:top w:val="single" w:sz="4" w:space="0" w:color="auto"/>
              <w:bottom w:val="single" w:sz="4" w:space="0" w:color="auto"/>
            </w:tcBorders>
            <w:shd w:val="clear" w:color="auto" w:fill="auto"/>
            <w:noWrap/>
            <w:vAlign w:val="center"/>
            <w:hideMark/>
          </w:tcPr>
          <w:p w14:paraId="4E95F619"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8,71</w:t>
            </w:r>
          </w:p>
        </w:tc>
        <w:tc>
          <w:tcPr>
            <w:tcW w:w="347" w:type="pct"/>
            <w:tcBorders>
              <w:top w:val="single" w:sz="4" w:space="0" w:color="auto"/>
              <w:bottom w:val="single" w:sz="4" w:space="0" w:color="auto"/>
              <w:right w:val="single" w:sz="12" w:space="0" w:color="auto"/>
            </w:tcBorders>
            <w:shd w:val="clear" w:color="auto" w:fill="auto"/>
            <w:noWrap/>
            <w:vAlign w:val="center"/>
            <w:hideMark/>
          </w:tcPr>
          <w:p w14:paraId="6A0EEF5A"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10,14</w:t>
            </w:r>
          </w:p>
        </w:tc>
        <w:tc>
          <w:tcPr>
            <w:tcW w:w="366" w:type="pct"/>
            <w:tcBorders>
              <w:left w:val="single" w:sz="12" w:space="0" w:color="auto"/>
            </w:tcBorders>
            <w:shd w:val="clear" w:color="auto" w:fill="auto"/>
            <w:noWrap/>
            <w:vAlign w:val="center"/>
            <w:hideMark/>
          </w:tcPr>
          <w:p w14:paraId="5A013A78"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7,94</w:t>
            </w:r>
          </w:p>
        </w:tc>
        <w:tc>
          <w:tcPr>
            <w:tcW w:w="397" w:type="pct"/>
            <w:shd w:val="clear" w:color="auto" w:fill="auto"/>
            <w:noWrap/>
            <w:vAlign w:val="center"/>
            <w:hideMark/>
          </w:tcPr>
          <w:p w14:paraId="7C2CE136"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8,97</w:t>
            </w:r>
          </w:p>
        </w:tc>
        <w:tc>
          <w:tcPr>
            <w:tcW w:w="399" w:type="pct"/>
            <w:shd w:val="clear" w:color="auto" w:fill="auto"/>
            <w:noWrap/>
            <w:vAlign w:val="center"/>
            <w:hideMark/>
          </w:tcPr>
          <w:p w14:paraId="60C8C9BA"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10,35</w:t>
            </w:r>
          </w:p>
        </w:tc>
      </w:tr>
      <w:tr w:rsidR="00A16DDB" w:rsidRPr="00266986" w14:paraId="61079164" w14:textId="77777777" w:rsidTr="00266986">
        <w:trPr>
          <w:trHeight w:val="291"/>
        </w:trPr>
        <w:tc>
          <w:tcPr>
            <w:tcW w:w="1201" w:type="pct"/>
            <w:shd w:val="clear" w:color="auto" w:fill="auto"/>
            <w:noWrap/>
            <w:vAlign w:val="center"/>
            <w:hideMark/>
          </w:tcPr>
          <w:p w14:paraId="3A9E57CF" w14:textId="77777777" w:rsidR="00A16DDB" w:rsidRPr="00266986" w:rsidRDefault="00A16DDB" w:rsidP="007A627A">
            <w:pPr>
              <w:keepNext/>
              <w:rPr>
                <w:rFonts w:cs="Times New Roman"/>
                <w:sz w:val="20"/>
                <w:szCs w:val="20"/>
                <w:lang w:val="cs-CZ" w:eastAsia="cs-CZ"/>
              </w:rPr>
            </w:pPr>
            <w:r w:rsidRPr="00266986">
              <w:rPr>
                <w:rFonts w:cs="Times New Roman"/>
                <w:sz w:val="20"/>
                <w:szCs w:val="20"/>
                <w:lang w:val="cs-CZ" w:eastAsia="cs-CZ"/>
              </w:rPr>
              <w:t xml:space="preserve"> Užitkovost</w:t>
            </w:r>
            <w:r w:rsidRPr="00266986">
              <w:rPr>
                <w:rFonts w:cs="Times New Roman"/>
                <w:sz w:val="20"/>
                <w:szCs w:val="20"/>
                <w:vertAlign w:val="superscript"/>
                <w:lang w:val="cs-CZ" w:eastAsia="cs-CZ"/>
              </w:rPr>
              <w:t>1</w:t>
            </w:r>
          </w:p>
        </w:tc>
        <w:tc>
          <w:tcPr>
            <w:tcW w:w="448" w:type="pct"/>
            <w:tcBorders>
              <w:right w:val="single" w:sz="12" w:space="0" w:color="auto"/>
            </w:tcBorders>
            <w:shd w:val="clear" w:color="auto" w:fill="auto"/>
            <w:noWrap/>
            <w:vAlign w:val="center"/>
            <w:hideMark/>
          </w:tcPr>
          <w:p w14:paraId="679B7F95"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eastAsia="cs-CZ"/>
              </w:rPr>
              <w:t>l/dojnice</w:t>
            </w:r>
          </w:p>
        </w:tc>
        <w:tc>
          <w:tcPr>
            <w:tcW w:w="364" w:type="pct"/>
            <w:tcBorders>
              <w:left w:val="single" w:sz="12" w:space="0" w:color="auto"/>
            </w:tcBorders>
            <w:shd w:val="clear" w:color="auto" w:fill="auto"/>
            <w:noWrap/>
            <w:vAlign w:val="center"/>
            <w:hideMark/>
          </w:tcPr>
          <w:p w14:paraId="537A59BC"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8 997</w:t>
            </w:r>
          </w:p>
        </w:tc>
        <w:tc>
          <w:tcPr>
            <w:tcW w:w="387" w:type="pct"/>
            <w:shd w:val="clear" w:color="auto" w:fill="auto"/>
            <w:noWrap/>
            <w:vAlign w:val="center"/>
            <w:hideMark/>
          </w:tcPr>
          <w:p w14:paraId="17D15CA3"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8 783</w:t>
            </w:r>
          </w:p>
        </w:tc>
        <w:tc>
          <w:tcPr>
            <w:tcW w:w="339" w:type="pct"/>
            <w:tcBorders>
              <w:right w:val="single" w:sz="12" w:space="0" w:color="auto"/>
            </w:tcBorders>
            <w:shd w:val="clear" w:color="auto" w:fill="auto"/>
            <w:noWrap/>
            <w:vAlign w:val="center"/>
            <w:hideMark/>
          </w:tcPr>
          <w:p w14:paraId="55DB9CCD"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6 858</w:t>
            </w:r>
          </w:p>
        </w:tc>
        <w:tc>
          <w:tcPr>
            <w:tcW w:w="370" w:type="pct"/>
            <w:tcBorders>
              <w:top w:val="single" w:sz="4" w:space="0" w:color="auto"/>
              <w:left w:val="single" w:sz="12" w:space="0" w:color="auto"/>
              <w:bottom w:val="single" w:sz="4" w:space="0" w:color="auto"/>
            </w:tcBorders>
            <w:shd w:val="clear" w:color="auto" w:fill="auto"/>
            <w:noWrap/>
            <w:vAlign w:val="center"/>
            <w:hideMark/>
          </w:tcPr>
          <w:p w14:paraId="651B382A"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9 542</w:t>
            </w:r>
          </w:p>
        </w:tc>
        <w:tc>
          <w:tcPr>
            <w:tcW w:w="382" w:type="pct"/>
            <w:tcBorders>
              <w:top w:val="single" w:sz="4" w:space="0" w:color="auto"/>
              <w:bottom w:val="single" w:sz="4" w:space="0" w:color="auto"/>
            </w:tcBorders>
            <w:shd w:val="clear" w:color="auto" w:fill="auto"/>
            <w:noWrap/>
            <w:vAlign w:val="center"/>
            <w:hideMark/>
          </w:tcPr>
          <w:p w14:paraId="60469F56"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8 682</w:t>
            </w:r>
          </w:p>
        </w:tc>
        <w:tc>
          <w:tcPr>
            <w:tcW w:w="347" w:type="pct"/>
            <w:tcBorders>
              <w:top w:val="single" w:sz="4" w:space="0" w:color="auto"/>
              <w:bottom w:val="single" w:sz="4" w:space="0" w:color="auto"/>
              <w:right w:val="single" w:sz="12" w:space="0" w:color="auto"/>
            </w:tcBorders>
            <w:shd w:val="clear" w:color="auto" w:fill="auto"/>
            <w:noWrap/>
            <w:vAlign w:val="center"/>
            <w:hideMark/>
          </w:tcPr>
          <w:p w14:paraId="105B9EA8"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7 419</w:t>
            </w:r>
          </w:p>
        </w:tc>
        <w:tc>
          <w:tcPr>
            <w:tcW w:w="366" w:type="pct"/>
            <w:tcBorders>
              <w:left w:val="single" w:sz="12" w:space="0" w:color="auto"/>
            </w:tcBorders>
            <w:shd w:val="clear" w:color="auto" w:fill="auto"/>
            <w:noWrap/>
            <w:vAlign w:val="center"/>
            <w:hideMark/>
          </w:tcPr>
          <w:p w14:paraId="25E2428A"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9 538</w:t>
            </w:r>
          </w:p>
        </w:tc>
        <w:tc>
          <w:tcPr>
            <w:tcW w:w="397" w:type="pct"/>
            <w:shd w:val="clear" w:color="auto" w:fill="auto"/>
            <w:noWrap/>
            <w:vAlign w:val="center"/>
            <w:hideMark/>
          </w:tcPr>
          <w:p w14:paraId="741F61C0"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8 938</w:t>
            </w:r>
          </w:p>
        </w:tc>
        <w:tc>
          <w:tcPr>
            <w:tcW w:w="399" w:type="pct"/>
            <w:shd w:val="clear" w:color="auto" w:fill="auto"/>
            <w:noWrap/>
            <w:vAlign w:val="center"/>
            <w:hideMark/>
          </w:tcPr>
          <w:p w14:paraId="72F5F6BC"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7 497</w:t>
            </w:r>
          </w:p>
        </w:tc>
      </w:tr>
      <w:tr w:rsidR="00A16DDB" w:rsidRPr="00266986" w14:paraId="4F4B33BD" w14:textId="77777777" w:rsidTr="00266986">
        <w:trPr>
          <w:trHeight w:val="291"/>
        </w:trPr>
        <w:tc>
          <w:tcPr>
            <w:tcW w:w="1201" w:type="pct"/>
            <w:shd w:val="clear" w:color="auto" w:fill="auto"/>
            <w:noWrap/>
            <w:vAlign w:val="center"/>
            <w:hideMark/>
          </w:tcPr>
          <w:p w14:paraId="7A619658" w14:textId="77777777" w:rsidR="00A16DDB" w:rsidRPr="00266986" w:rsidRDefault="00A16DDB" w:rsidP="007A627A">
            <w:pPr>
              <w:keepNext/>
              <w:rPr>
                <w:rFonts w:cs="Times New Roman"/>
                <w:sz w:val="20"/>
                <w:szCs w:val="20"/>
                <w:lang w:val="cs-CZ" w:eastAsia="cs-CZ"/>
              </w:rPr>
            </w:pPr>
            <w:r w:rsidRPr="00266986">
              <w:rPr>
                <w:rFonts w:cs="Times New Roman"/>
                <w:sz w:val="20"/>
                <w:szCs w:val="20"/>
                <w:lang w:val="cs-CZ" w:eastAsia="cs-CZ"/>
              </w:rPr>
              <w:t xml:space="preserve"> Realizační cena</w:t>
            </w:r>
            <w:r w:rsidRPr="00266986">
              <w:rPr>
                <w:rFonts w:cs="Times New Roman"/>
                <w:sz w:val="20"/>
                <w:szCs w:val="20"/>
                <w:vertAlign w:val="superscript"/>
                <w:lang w:val="cs-CZ" w:eastAsia="cs-CZ"/>
              </w:rPr>
              <w:t>3</w:t>
            </w:r>
            <w:r w:rsidRPr="00266986">
              <w:rPr>
                <w:rFonts w:cs="Times New Roman"/>
                <w:sz w:val="20"/>
                <w:szCs w:val="20"/>
                <w:lang w:val="cs-CZ" w:eastAsia="cs-CZ"/>
              </w:rPr>
              <w:t xml:space="preserve"> (MZe)</w:t>
            </w:r>
          </w:p>
        </w:tc>
        <w:tc>
          <w:tcPr>
            <w:tcW w:w="448" w:type="pct"/>
            <w:tcBorders>
              <w:right w:val="single" w:sz="12" w:space="0" w:color="auto"/>
            </w:tcBorders>
            <w:shd w:val="clear" w:color="auto" w:fill="auto"/>
            <w:noWrap/>
            <w:vAlign w:val="center"/>
            <w:hideMark/>
          </w:tcPr>
          <w:p w14:paraId="0CD1B930"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eastAsia="cs-CZ"/>
              </w:rPr>
              <w:t>Kč/l</w:t>
            </w:r>
          </w:p>
        </w:tc>
        <w:tc>
          <w:tcPr>
            <w:tcW w:w="364" w:type="pct"/>
            <w:tcBorders>
              <w:left w:val="single" w:sz="12" w:space="0" w:color="auto"/>
            </w:tcBorders>
            <w:shd w:val="clear" w:color="auto" w:fill="auto"/>
            <w:noWrap/>
            <w:vAlign w:val="center"/>
            <w:hideMark/>
          </w:tcPr>
          <w:p w14:paraId="64BA2CCB"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8,51</w:t>
            </w:r>
          </w:p>
        </w:tc>
        <w:tc>
          <w:tcPr>
            <w:tcW w:w="387" w:type="pct"/>
            <w:shd w:val="clear" w:color="auto" w:fill="auto"/>
            <w:noWrap/>
            <w:vAlign w:val="center"/>
            <w:hideMark/>
          </w:tcPr>
          <w:p w14:paraId="55555717"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8,51</w:t>
            </w:r>
          </w:p>
        </w:tc>
        <w:tc>
          <w:tcPr>
            <w:tcW w:w="339" w:type="pct"/>
            <w:tcBorders>
              <w:right w:val="single" w:sz="12" w:space="0" w:color="auto"/>
            </w:tcBorders>
            <w:shd w:val="clear" w:color="auto" w:fill="auto"/>
            <w:noWrap/>
            <w:vAlign w:val="center"/>
            <w:hideMark/>
          </w:tcPr>
          <w:p w14:paraId="45FAE40C"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8,60</w:t>
            </w:r>
          </w:p>
        </w:tc>
        <w:tc>
          <w:tcPr>
            <w:tcW w:w="370" w:type="pct"/>
            <w:tcBorders>
              <w:top w:val="single" w:sz="4" w:space="0" w:color="auto"/>
              <w:left w:val="single" w:sz="12" w:space="0" w:color="auto"/>
              <w:bottom w:val="single" w:sz="4" w:space="0" w:color="auto"/>
            </w:tcBorders>
            <w:shd w:val="clear" w:color="auto" w:fill="auto"/>
            <w:noWrap/>
            <w:vAlign w:val="center"/>
            <w:hideMark/>
          </w:tcPr>
          <w:p w14:paraId="450B8045"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8,47</w:t>
            </w:r>
          </w:p>
        </w:tc>
        <w:tc>
          <w:tcPr>
            <w:tcW w:w="382" w:type="pct"/>
            <w:tcBorders>
              <w:top w:val="single" w:sz="4" w:space="0" w:color="auto"/>
              <w:bottom w:val="single" w:sz="4" w:space="0" w:color="auto"/>
            </w:tcBorders>
            <w:shd w:val="clear" w:color="auto" w:fill="auto"/>
            <w:noWrap/>
            <w:vAlign w:val="center"/>
            <w:hideMark/>
          </w:tcPr>
          <w:p w14:paraId="65449DB9"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8,54</w:t>
            </w:r>
          </w:p>
        </w:tc>
        <w:tc>
          <w:tcPr>
            <w:tcW w:w="347" w:type="pct"/>
            <w:tcBorders>
              <w:top w:val="single" w:sz="4" w:space="0" w:color="auto"/>
              <w:bottom w:val="single" w:sz="4" w:space="0" w:color="auto"/>
              <w:right w:val="single" w:sz="12" w:space="0" w:color="auto"/>
            </w:tcBorders>
            <w:shd w:val="clear" w:color="auto" w:fill="auto"/>
            <w:noWrap/>
            <w:vAlign w:val="center"/>
            <w:hideMark/>
          </w:tcPr>
          <w:p w14:paraId="1463A710"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8,74</w:t>
            </w:r>
          </w:p>
        </w:tc>
        <w:tc>
          <w:tcPr>
            <w:tcW w:w="366" w:type="pct"/>
            <w:tcBorders>
              <w:left w:val="single" w:sz="12" w:space="0" w:color="auto"/>
            </w:tcBorders>
            <w:shd w:val="clear" w:color="auto" w:fill="auto"/>
            <w:noWrap/>
            <w:vAlign w:val="center"/>
            <w:hideMark/>
          </w:tcPr>
          <w:p w14:paraId="4E0CD705"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8,47</w:t>
            </w:r>
          </w:p>
        </w:tc>
        <w:tc>
          <w:tcPr>
            <w:tcW w:w="397" w:type="pct"/>
            <w:shd w:val="clear" w:color="auto" w:fill="auto"/>
            <w:noWrap/>
            <w:vAlign w:val="center"/>
            <w:hideMark/>
          </w:tcPr>
          <w:p w14:paraId="5DA1BC39"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8,54</w:t>
            </w:r>
          </w:p>
        </w:tc>
        <w:tc>
          <w:tcPr>
            <w:tcW w:w="399" w:type="pct"/>
            <w:shd w:val="clear" w:color="auto" w:fill="auto"/>
            <w:noWrap/>
            <w:vAlign w:val="center"/>
            <w:hideMark/>
          </w:tcPr>
          <w:p w14:paraId="20BEB5A5"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8,74</w:t>
            </w:r>
          </w:p>
        </w:tc>
      </w:tr>
      <w:tr w:rsidR="00A16DDB" w:rsidRPr="00266986" w14:paraId="6C4A0F9B" w14:textId="77777777" w:rsidTr="00266986">
        <w:trPr>
          <w:trHeight w:val="247"/>
        </w:trPr>
        <w:tc>
          <w:tcPr>
            <w:tcW w:w="1201" w:type="pct"/>
            <w:shd w:val="clear" w:color="auto" w:fill="auto"/>
            <w:noWrap/>
            <w:vAlign w:val="center"/>
            <w:hideMark/>
          </w:tcPr>
          <w:p w14:paraId="130CA75D" w14:textId="77777777" w:rsidR="00A16DDB" w:rsidRPr="00266986" w:rsidRDefault="00A16DDB" w:rsidP="007A627A">
            <w:pPr>
              <w:keepNext/>
              <w:rPr>
                <w:rFonts w:cs="Times New Roman"/>
                <w:sz w:val="20"/>
                <w:szCs w:val="20"/>
                <w:lang w:val="cs-CZ" w:eastAsia="cs-CZ"/>
              </w:rPr>
            </w:pPr>
            <w:r w:rsidRPr="00266986">
              <w:rPr>
                <w:rFonts w:cs="Times New Roman"/>
                <w:sz w:val="20"/>
                <w:szCs w:val="20"/>
                <w:lang w:val="cs-CZ" w:eastAsia="cs-CZ"/>
              </w:rPr>
              <w:t xml:space="preserve"> Realizační cena (výběr.šetření)</w:t>
            </w:r>
          </w:p>
        </w:tc>
        <w:tc>
          <w:tcPr>
            <w:tcW w:w="448" w:type="pct"/>
            <w:tcBorders>
              <w:right w:val="single" w:sz="12" w:space="0" w:color="auto"/>
            </w:tcBorders>
            <w:shd w:val="clear" w:color="auto" w:fill="auto"/>
            <w:noWrap/>
            <w:vAlign w:val="center"/>
            <w:hideMark/>
          </w:tcPr>
          <w:p w14:paraId="677D5C1F"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eastAsia="cs-CZ"/>
              </w:rPr>
              <w:t>Kč/l</w:t>
            </w:r>
          </w:p>
        </w:tc>
        <w:tc>
          <w:tcPr>
            <w:tcW w:w="364" w:type="pct"/>
            <w:tcBorders>
              <w:left w:val="single" w:sz="12" w:space="0" w:color="auto"/>
            </w:tcBorders>
            <w:shd w:val="clear" w:color="auto" w:fill="auto"/>
            <w:noWrap/>
            <w:vAlign w:val="center"/>
            <w:hideMark/>
          </w:tcPr>
          <w:p w14:paraId="4F43FA16"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8,65</w:t>
            </w:r>
          </w:p>
        </w:tc>
        <w:tc>
          <w:tcPr>
            <w:tcW w:w="387" w:type="pct"/>
            <w:shd w:val="clear" w:color="auto" w:fill="auto"/>
            <w:noWrap/>
            <w:vAlign w:val="center"/>
            <w:hideMark/>
          </w:tcPr>
          <w:p w14:paraId="7DDDFC40"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8,65</w:t>
            </w:r>
          </w:p>
        </w:tc>
        <w:tc>
          <w:tcPr>
            <w:tcW w:w="339" w:type="pct"/>
            <w:tcBorders>
              <w:right w:val="single" w:sz="12" w:space="0" w:color="auto"/>
            </w:tcBorders>
            <w:shd w:val="clear" w:color="auto" w:fill="auto"/>
            <w:noWrap/>
            <w:vAlign w:val="center"/>
            <w:hideMark/>
          </w:tcPr>
          <w:p w14:paraId="4823106C"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8,74</w:t>
            </w:r>
          </w:p>
        </w:tc>
        <w:tc>
          <w:tcPr>
            <w:tcW w:w="370" w:type="pct"/>
            <w:tcBorders>
              <w:top w:val="single" w:sz="4" w:space="0" w:color="auto"/>
              <w:left w:val="single" w:sz="12" w:space="0" w:color="auto"/>
              <w:bottom w:val="single" w:sz="4" w:space="0" w:color="auto"/>
            </w:tcBorders>
            <w:shd w:val="clear" w:color="auto" w:fill="auto"/>
            <w:noWrap/>
            <w:vAlign w:val="center"/>
            <w:hideMark/>
          </w:tcPr>
          <w:p w14:paraId="0439CBBD"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8,55</w:t>
            </w:r>
          </w:p>
        </w:tc>
        <w:tc>
          <w:tcPr>
            <w:tcW w:w="382" w:type="pct"/>
            <w:tcBorders>
              <w:top w:val="single" w:sz="4" w:space="0" w:color="auto"/>
              <w:bottom w:val="single" w:sz="4" w:space="0" w:color="auto"/>
            </w:tcBorders>
            <w:shd w:val="clear" w:color="auto" w:fill="auto"/>
            <w:noWrap/>
            <w:vAlign w:val="center"/>
            <w:hideMark/>
          </w:tcPr>
          <w:p w14:paraId="3849D698"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8,62</w:t>
            </w:r>
          </w:p>
        </w:tc>
        <w:tc>
          <w:tcPr>
            <w:tcW w:w="347" w:type="pct"/>
            <w:tcBorders>
              <w:top w:val="single" w:sz="4" w:space="0" w:color="auto"/>
              <w:bottom w:val="single" w:sz="4" w:space="0" w:color="auto"/>
              <w:right w:val="single" w:sz="12" w:space="0" w:color="auto"/>
            </w:tcBorders>
            <w:shd w:val="clear" w:color="auto" w:fill="auto"/>
            <w:noWrap/>
            <w:vAlign w:val="center"/>
            <w:hideMark/>
          </w:tcPr>
          <w:p w14:paraId="03BA6342"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8,83</w:t>
            </w:r>
          </w:p>
        </w:tc>
        <w:tc>
          <w:tcPr>
            <w:tcW w:w="366" w:type="pct"/>
            <w:tcBorders>
              <w:left w:val="single" w:sz="12" w:space="0" w:color="auto"/>
            </w:tcBorders>
            <w:shd w:val="clear" w:color="auto" w:fill="auto"/>
            <w:noWrap/>
            <w:vAlign w:val="center"/>
            <w:hideMark/>
          </w:tcPr>
          <w:p w14:paraId="207E8CE2"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8,83</w:t>
            </w:r>
          </w:p>
        </w:tc>
        <w:tc>
          <w:tcPr>
            <w:tcW w:w="397" w:type="pct"/>
            <w:shd w:val="clear" w:color="auto" w:fill="auto"/>
            <w:noWrap/>
            <w:vAlign w:val="center"/>
            <w:hideMark/>
          </w:tcPr>
          <w:p w14:paraId="31EF6C88"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8,84</w:t>
            </w:r>
          </w:p>
        </w:tc>
        <w:tc>
          <w:tcPr>
            <w:tcW w:w="399" w:type="pct"/>
            <w:shd w:val="clear" w:color="auto" w:fill="auto"/>
            <w:noWrap/>
            <w:vAlign w:val="center"/>
            <w:hideMark/>
          </w:tcPr>
          <w:p w14:paraId="49235A3F"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8,92</w:t>
            </w:r>
          </w:p>
        </w:tc>
      </w:tr>
      <w:tr w:rsidR="00A16DDB" w:rsidRPr="00266986" w14:paraId="35313663" w14:textId="77777777" w:rsidTr="00266986">
        <w:trPr>
          <w:trHeight w:val="247"/>
        </w:trPr>
        <w:tc>
          <w:tcPr>
            <w:tcW w:w="1201" w:type="pct"/>
            <w:shd w:val="clear" w:color="auto" w:fill="auto"/>
            <w:noWrap/>
            <w:vAlign w:val="center"/>
            <w:hideMark/>
          </w:tcPr>
          <w:p w14:paraId="70459CA6" w14:textId="77777777" w:rsidR="00A16DDB" w:rsidRPr="00266986" w:rsidRDefault="00A16DDB" w:rsidP="007A627A">
            <w:pPr>
              <w:keepNext/>
              <w:rPr>
                <w:rFonts w:cs="Times New Roman"/>
                <w:sz w:val="20"/>
                <w:szCs w:val="20"/>
                <w:lang w:val="cs-CZ" w:eastAsia="cs-CZ"/>
              </w:rPr>
            </w:pPr>
            <w:r w:rsidRPr="00266986">
              <w:rPr>
                <w:rFonts w:cs="Times New Roman"/>
                <w:sz w:val="20"/>
                <w:szCs w:val="20"/>
                <w:lang w:val="cs-CZ" w:eastAsia="cs-CZ"/>
              </w:rPr>
              <w:t>Přímé platby a dotace vstupů celkem</w:t>
            </w:r>
          </w:p>
        </w:tc>
        <w:tc>
          <w:tcPr>
            <w:tcW w:w="448" w:type="pct"/>
            <w:tcBorders>
              <w:right w:val="single" w:sz="12" w:space="0" w:color="auto"/>
            </w:tcBorders>
            <w:shd w:val="clear" w:color="auto" w:fill="auto"/>
            <w:noWrap/>
            <w:vAlign w:val="center"/>
            <w:hideMark/>
          </w:tcPr>
          <w:p w14:paraId="39978983"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eastAsia="cs-CZ"/>
              </w:rPr>
              <w:t>Kč/l</w:t>
            </w:r>
          </w:p>
        </w:tc>
        <w:tc>
          <w:tcPr>
            <w:tcW w:w="364" w:type="pct"/>
            <w:tcBorders>
              <w:left w:val="single" w:sz="12" w:space="0" w:color="auto"/>
            </w:tcBorders>
            <w:shd w:val="clear" w:color="auto" w:fill="auto"/>
            <w:noWrap/>
            <w:vAlign w:val="center"/>
            <w:hideMark/>
          </w:tcPr>
          <w:p w14:paraId="05832E26"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0,89</w:t>
            </w:r>
          </w:p>
        </w:tc>
        <w:tc>
          <w:tcPr>
            <w:tcW w:w="387" w:type="pct"/>
            <w:shd w:val="clear" w:color="auto" w:fill="auto"/>
            <w:noWrap/>
            <w:vAlign w:val="center"/>
            <w:hideMark/>
          </w:tcPr>
          <w:p w14:paraId="148E2D31"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0,91</w:t>
            </w:r>
          </w:p>
        </w:tc>
        <w:tc>
          <w:tcPr>
            <w:tcW w:w="339" w:type="pct"/>
            <w:tcBorders>
              <w:right w:val="single" w:sz="12" w:space="0" w:color="auto"/>
            </w:tcBorders>
            <w:shd w:val="clear" w:color="auto" w:fill="auto"/>
            <w:noWrap/>
            <w:vAlign w:val="center"/>
            <w:hideMark/>
          </w:tcPr>
          <w:p w14:paraId="2D686BEC"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1,17</w:t>
            </w:r>
          </w:p>
        </w:tc>
        <w:tc>
          <w:tcPr>
            <w:tcW w:w="370" w:type="pct"/>
            <w:tcBorders>
              <w:top w:val="single" w:sz="4" w:space="0" w:color="auto"/>
              <w:left w:val="single" w:sz="12" w:space="0" w:color="auto"/>
              <w:bottom w:val="single" w:sz="4" w:space="0" w:color="auto"/>
            </w:tcBorders>
            <w:shd w:val="clear" w:color="auto" w:fill="auto"/>
            <w:noWrap/>
            <w:vAlign w:val="center"/>
            <w:hideMark/>
          </w:tcPr>
          <w:p w14:paraId="1A00FC47"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0,82</w:t>
            </w:r>
          </w:p>
        </w:tc>
        <w:tc>
          <w:tcPr>
            <w:tcW w:w="382" w:type="pct"/>
            <w:tcBorders>
              <w:top w:val="single" w:sz="4" w:space="0" w:color="auto"/>
              <w:bottom w:val="single" w:sz="4" w:space="0" w:color="auto"/>
            </w:tcBorders>
            <w:shd w:val="clear" w:color="auto" w:fill="auto"/>
            <w:noWrap/>
            <w:vAlign w:val="center"/>
            <w:hideMark/>
          </w:tcPr>
          <w:p w14:paraId="32DAE478"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0,90</w:t>
            </w:r>
          </w:p>
        </w:tc>
        <w:tc>
          <w:tcPr>
            <w:tcW w:w="347" w:type="pct"/>
            <w:tcBorders>
              <w:top w:val="single" w:sz="4" w:space="0" w:color="auto"/>
              <w:bottom w:val="single" w:sz="4" w:space="0" w:color="auto"/>
              <w:right w:val="single" w:sz="12" w:space="0" w:color="auto"/>
            </w:tcBorders>
            <w:shd w:val="clear" w:color="auto" w:fill="auto"/>
            <w:noWrap/>
            <w:vAlign w:val="center"/>
            <w:hideMark/>
          </w:tcPr>
          <w:p w14:paraId="127B9DAC"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1,05</w:t>
            </w:r>
          </w:p>
        </w:tc>
        <w:tc>
          <w:tcPr>
            <w:tcW w:w="366" w:type="pct"/>
            <w:tcBorders>
              <w:left w:val="single" w:sz="12" w:space="0" w:color="auto"/>
            </w:tcBorders>
            <w:shd w:val="clear" w:color="auto" w:fill="auto"/>
            <w:noWrap/>
            <w:vAlign w:val="center"/>
            <w:hideMark/>
          </w:tcPr>
          <w:p w14:paraId="2B5C8D4D"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0,84</w:t>
            </w:r>
          </w:p>
        </w:tc>
        <w:tc>
          <w:tcPr>
            <w:tcW w:w="397" w:type="pct"/>
            <w:shd w:val="clear" w:color="auto" w:fill="auto"/>
            <w:noWrap/>
            <w:vAlign w:val="center"/>
            <w:hideMark/>
          </w:tcPr>
          <w:p w14:paraId="18A59732"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0,89</w:t>
            </w:r>
          </w:p>
        </w:tc>
        <w:tc>
          <w:tcPr>
            <w:tcW w:w="399" w:type="pct"/>
            <w:shd w:val="clear" w:color="auto" w:fill="auto"/>
            <w:noWrap/>
            <w:vAlign w:val="center"/>
            <w:hideMark/>
          </w:tcPr>
          <w:p w14:paraId="23A612F0"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1,07</w:t>
            </w:r>
          </w:p>
        </w:tc>
      </w:tr>
      <w:tr w:rsidR="00A16DDB" w:rsidRPr="00266986" w14:paraId="3583EE23" w14:textId="77777777" w:rsidTr="00266986">
        <w:trPr>
          <w:trHeight w:val="247"/>
        </w:trPr>
        <w:tc>
          <w:tcPr>
            <w:tcW w:w="1201" w:type="pct"/>
            <w:shd w:val="clear" w:color="auto" w:fill="auto"/>
            <w:vAlign w:val="center"/>
            <w:hideMark/>
          </w:tcPr>
          <w:p w14:paraId="3C004C75" w14:textId="77777777" w:rsidR="00A16DDB" w:rsidRPr="00266986" w:rsidRDefault="00A16DDB" w:rsidP="007A627A">
            <w:pPr>
              <w:keepNext/>
              <w:rPr>
                <w:rFonts w:cs="Times New Roman"/>
                <w:sz w:val="20"/>
                <w:szCs w:val="20"/>
                <w:lang w:val="cs-CZ" w:eastAsia="cs-CZ"/>
              </w:rPr>
            </w:pPr>
            <w:r w:rsidRPr="00266986">
              <w:rPr>
                <w:rFonts w:cs="Times New Roman"/>
                <w:sz w:val="20"/>
                <w:szCs w:val="20"/>
                <w:lang w:val="cs-CZ" w:eastAsia="cs-CZ"/>
              </w:rPr>
              <w:t>Nepřímé podpory celkem</w:t>
            </w:r>
          </w:p>
        </w:tc>
        <w:tc>
          <w:tcPr>
            <w:tcW w:w="448" w:type="pct"/>
            <w:tcBorders>
              <w:right w:val="single" w:sz="12" w:space="0" w:color="auto"/>
            </w:tcBorders>
            <w:shd w:val="clear" w:color="auto" w:fill="auto"/>
            <w:noWrap/>
            <w:vAlign w:val="center"/>
            <w:hideMark/>
          </w:tcPr>
          <w:p w14:paraId="7281EBD5" w14:textId="77777777" w:rsidR="00A16DDB" w:rsidRPr="00266986" w:rsidRDefault="00A16DDB" w:rsidP="007A627A">
            <w:pPr>
              <w:keepNext/>
              <w:jc w:val="center"/>
              <w:rPr>
                <w:rFonts w:cs="Times New Roman"/>
                <w:sz w:val="20"/>
                <w:szCs w:val="20"/>
                <w:lang w:val="cs-CZ" w:eastAsia="cs-CZ"/>
              </w:rPr>
            </w:pPr>
          </w:p>
        </w:tc>
        <w:tc>
          <w:tcPr>
            <w:tcW w:w="364" w:type="pct"/>
            <w:tcBorders>
              <w:left w:val="single" w:sz="12" w:space="0" w:color="auto"/>
            </w:tcBorders>
            <w:shd w:val="clear" w:color="auto" w:fill="auto"/>
            <w:noWrap/>
            <w:vAlign w:val="center"/>
            <w:hideMark/>
          </w:tcPr>
          <w:p w14:paraId="7D414795"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0,91</w:t>
            </w:r>
          </w:p>
        </w:tc>
        <w:tc>
          <w:tcPr>
            <w:tcW w:w="387" w:type="pct"/>
            <w:shd w:val="clear" w:color="auto" w:fill="auto"/>
            <w:noWrap/>
            <w:vAlign w:val="center"/>
            <w:hideMark/>
          </w:tcPr>
          <w:p w14:paraId="4C640D0C"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0,93</w:t>
            </w:r>
          </w:p>
        </w:tc>
        <w:tc>
          <w:tcPr>
            <w:tcW w:w="339" w:type="pct"/>
            <w:tcBorders>
              <w:right w:val="single" w:sz="12" w:space="0" w:color="auto"/>
            </w:tcBorders>
            <w:shd w:val="clear" w:color="auto" w:fill="auto"/>
            <w:noWrap/>
            <w:vAlign w:val="center"/>
            <w:hideMark/>
          </w:tcPr>
          <w:p w14:paraId="3555712F"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1,19</w:t>
            </w:r>
          </w:p>
        </w:tc>
        <w:tc>
          <w:tcPr>
            <w:tcW w:w="370" w:type="pct"/>
            <w:tcBorders>
              <w:top w:val="single" w:sz="4" w:space="0" w:color="auto"/>
              <w:left w:val="single" w:sz="12" w:space="0" w:color="auto"/>
              <w:bottom w:val="single" w:sz="4" w:space="0" w:color="auto"/>
            </w:tcBorders>
            <w:shd w:val="clear" w:color="auto" w:fill="auto"/>
            <w:noWrap/>
            <w:vAlign w:val="center"/>
            <w:hideMark/>
          </w:tcPr>
          <w:p w14:paraId="29E3DA2A"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1,15</w:t>
            </w:r>
          </w:p>
        </w:tc>
        <w:tc>
          <w:tcPr>
            <w:tcW w:w="382" w:type="pct"/>
            <w:tcBorders>
              <w:top w:val="single" w:sz="4" w:space="0" w:color="auto"/>
              <w:bottom w:val="single" w:sz="4" w:space="0" w:color="auto"/>
            </w:tcBorders>
            <w:shd w:val="clear" w:color="auto" w:fill="auto"/>
            <w:noWrap/>
            <w:vAlign w:val="center"/>
            <w:hideMark/>
          </w:tcPr>
          <w:p w14:paraId="253538AE"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1,26</w:t>
            </w:r>
          </w:p>
        </w:tc>
        <w:tc>
          <w:tcPr>
            <w:tcW w:w="347" w:type="pct"/>
            <w:tcBorders>
              <w:top w:val="single" w:sz="4" w:space="0" w:color="auto"/>
              <w:bottom w:val="single" w:sz="4" w:space="0" w:color="auto"/>
              <w:right w:val="single" w:sz="12" w:space="0" w:color="auto"/>
            </w:tcBorders>
            <w:shd w:val="clear" w:color="auto" w:fill="auto"/>
            <w:noWrap/>
            <w:vAlign w:val="center"/>
            <w:hideMark/>
          </w:tcPr>
          <w:p w14:paraId="05CC2044"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1,48</w:t>
            </w:r>
          </w:p>
        </w:tc>
        <w:tc>
          <w:tcPr>
            <w:tcW w:w="366" w:type="pct"/>
            <w:tcBorders>
              <w:left w:val="single" w:sz="12" w:space="0" w:color="auto"/>
            </w:tcBorders>
            <w:shd w:val="clear" w:color="auto" w:fill="auto"/>
            <w:noWrap/>
            <w:vAlign w:val="center"/>
            <w:hideMark/>
          </w:tcPr>
          <w:p w14:paraId="02FE74E6"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0,99</w:t>
            </w:r>
          </w:p>
        </w:tc>
        <w:tc>
          <w:tcPr>
            <w:tcW w:w="397" w:type="pct"/>
            <w:shd w:val="clear" w:color="auto" w:fill="auto"/>
            <w:noWrap/>
            <w:vAlign w:val="center"/>
            <w:hideMark/>
          </w:tcPr>
          <w:p w14:paraId="76D744C3"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1,06</w:t>
            </w:r>
          </w:p>
        </w:tc>
        <w:tc>
          <w:tcPr>
            <w:tcW w:w="399" w:type="pct"/>
            <w:shd w:val="clear" w:color="auto" w:fill="auto"/>
            <w:noWrap/>
            <w:vAlign w:val="center"/>
            <w:hideMark/>
          </w:tcPr>
          <w:p w14:paraId="3B75E94C"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1,26</w:t>
            </w:r>
          </w:p>
        </w:tc>
      </w:tr>
      <w:tr w:rsidR="00A16DDB" w:rsidRPr="00266986" w14:paraId="34590D99" w14:textId="77777777" w:rsidTr="00266986">
        <w:trPr>
          <w:trHeight w:val="247"/>
        </w:trPr>
        <w:tc>
          <w:tcPr>
            <w:tcW w:w="1201" w:type="pct"/>
            <w:shd w:val="clear" w:color="auto" w:fill="auto"/>
            <w:noWrap/>
            <w:vAlign w:val="center"/>
            <w:hideMark/>
          </w:tcPr>
          <w:p w14:paraId="21539347" w14:textId="77777777" w:rsidR="00A16DDB" w:rsidRPr="00266986" w:rsidRDefault="00A16DDB" w:rsidP="007A627A">
            <w:pPr>
              <w:keepNext/>
              <w:rPr>
                <w:rFonts w:cs="Times New Roman"/>
                <w:sz w:val="20"/>
                <w:szCs w:val="20"/>
                <w:lang w:val="cs-CZ" w:eastAsia="cs-CZ"/>
              </w:rPr>
            </w:pPr>
            <w:r w:rsidRPr="00266986">
              <w:rPr>
                <w:rFonts w:cs="Times New Roman"/>
                <w:sz w:val="20"/>
                <w:szCs w:val="20"/>
                <w:lang w:val="cs-CZ" w:eastAsia="cs-CZ"/>
              </w:rPr>
              <w:t xml:space="preserve"> Podpory celkem</w:t>
            </w:r>
          </w:p>
        </w:tc>
        <w:tc>
          <w:tcPr>
            <w:tcW w:w="448" w:type="pct"/>
            <w:tcBorders>
              <w:right w:val="single" w:sz="12" w:space="0" w:color="auto"/>
            </w:tcBorders>
            <w:shd w:val="clear" w:color="auto" w:fill="auto"/>
            <w:noWrap/>
            <w:vAlign w:val="center"/>
            <w:hideMark/>
          </w:tcPr>
          <w:p w14:paraId="1E45C71D"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eastAsia="cs-CZ"/>
              </w:rPr>
              <w:t>Kč/l</w:t>
            </w:r>
          </w:p>
        </w:tc>
        <w:tc>
          <w:tcPr>
            <w:tcW w:w="364" w:type="pct"/>
            <w:tcBorders>
              <w:left w:val="single" w:sz="12" w:space="0" w:color="auto"/>
            </w:tcBorders>
            <w:shd w:val="clear" w:color="auto" w:fill="auto"/>
            <w:noWrap/>
            <w:vAlign w:val="center"/>
            <w:hideMark/>
          </w:tcPr>
          <w:p w14:paraId="75F45F7A"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1,80</w:t>
            </w:r>
          </w:p>
        </w:tc>
        <w:tc>
          <w:tcPr>
            <w:tcW w:w="387" w:type="pct"/>
            <w:shd w:val="clear" w:color="auto" w:fill="auto"/>
            <w:noWrap/>
            <w:vAlign w:val="center"/>
            <w:hideMark/>
          </w:tcPr>
          <w:p w14:paraId="3AFFB126"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1,84</w:t>
            </w:r>
          </w:p>
        </w:tc>
        <w:tc>
          <w:tcPr>
            <w:tcW w:w="339" w:type="pct"/>
            <w:tcBorders>
              <w:right w:val="single" w:sz="12" w:space="0" w:color="auto"/>
            </w:tcBorders>
            <w:shd w:val="clear" w:color="auto" w:fill="auto"/>
            <w:noWrap/>
            <w:vAlign w:val="center"/>
            <w:hideMark/>
          </w:tcPr>
          <w:p w14:paraId="7E3BD2F2"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2,36</w:t>
            </w:r>
          </w:p>
        </w:tc>
        <w:tc>
          <w:tcPr>
            <w:tcW w:w="370" w:type="pct"/>
            <w:tcBorders>
              <w:top w:val="single" w:sz="4" w:space="0" w:color="auto"/>
              <w:left w:val="single" w:sz="12" w:space="0" w:color="auto"/>
              <w:bottom w:val="single" w:sz="4" w:space="0" w:color="auto"/>
            </w:tcBorders>
            <w:shd w:val="clear" w:color="auto" w:fill="auto"/>
            <w:noWrap/>
            <w:vAlign w:val="center"/>
            <w:hideMark/>
          </w:tcPr>
          <w:p w14:paraId="58188D71"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1,97</w:t>
            </w:r>
          </w:p>
        </w:tc>
        <w:tc>
          <w:tcPr>
            <w:tcW w:w="382" w:type="pct"/>
            <w:tcBorders>
              <w:top w:val="single" w:sz="4" w:space="0" w:color="auto"/>
              <w:bottom w:val="single" w:sz="4" w:space="0" w:color="auto"/>
            </w:tcBorders>
            <w:shd w:val="clear" w:color="auto" w:fill="auto"/>
            <w:noWrap/>
            <w:vAlign w:val="center"/>
            <w:hideMark/>
          </w:tcPr>
          <w:p w14:paraId="40F707E2"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2,16</w:t>
            </w:r>
          </w:p>
        </w:tc>
        <w:tc>
          <w:tcPr>
            <w:tcW w:w="347" w:type="pct"/>
            <w:tcBorders>
              <w:top w:val="single" w:sz="4" w:space="0" w:color="auto"/>
              <w:bottom w:val="single" w:sz="4" w:space="0" w:color="auto"/>
              <w:right w:val="single" w:sz="12" w:space="0" w:color="auto"/>
            </w:tcBorders>
            <w:shd w:val="clear" w:color="auto" w:fill="auto"/>
            <w:noWrap/>
            <w:vAlign w:val="center"/>
            <w:hideMark/>
          </w:tcPr>
          <w:p w14:paraId="5FF64F27"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2,53</w:t>
            </w:r>
          </w:p>
        </w:tc>
        <w:tc>
          <w:tcPr>
            <w:tcW w:w="366" w:type="pct"/>
            <w:tcBorders>
              <w:left w:val="single" w:sz="12" w:space="0" w:color="auto"/>
            </w:tcBorders>
            <w:shd w:val="clear" w:color="auto" w:fill="auto"/>
            <w:noWrap/>
            <w:vAlign w:val="center"/>
            <w:hideMark/>
          </w:tcPr>
          <w:p w14:paraId="07477425"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1,83</w:t>
            </w:r>
          </w:p>
        </w:tc>
        <w:tc>
          <w:tcPr>
            <w:tcW w:w="397" w:type="pct"/>
            <w:shd w:val="clear" w:color="auto" w:fill="auto"/>
            <w:noWrap/>
            <w:vAlign w:val="center"/>
            <w:hideMark/>
          </w:tcPr>
          <w:p w14:paraId="5B3F7546"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1,95</w:t>
            </w:r>
          </w:p>
        </w:tc>
        <w:tc>
          <w:tcPr>
            <w:tcW w:w="399" w:type="pct"/>
            <w:shd w:val="clear" w:color="auto" w:fill="auto"/>
            <w:noWrap/>
            <w:vAlign w:val="center"/>
            <w:hideMark/>
          </w:tcPr>
          <w:p w14:paraId="2C82E35C"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2,32</w:t>
            </w:r>
          </w:p>
        </w:tc>
      </w:tr>
      <w:tr w:rsidR="00A16DDB" w:rsidRPr="00266986" w14:paraId="715AEB33" w14:textId="77777777" w:rsidTr="00266986">
        <w:trPr>
          <w:trHeight w:val="247"/>
        </w:trPr>
        <w:tc>
          <w:tcPr>
            <w:tcW w:w="1201" w:type="pct"/>
            <w:shd w:val="clear" w:color="auto" w:fill="auto"/>
            <w:noWrap/>
            <w:vAlign w:val="center"/>
            <w:hideMark/>
          </w:tcPr>
          <w:p w14:paraId="576B83DE" w14:textId="77777777" w:rsidR="00A16DDB" w:rsidRPr="00266986" w:rsidRDefault="00A16DDB" w:rsidP="007A627A">
            <w:pPr>
              <w:keepNext/>
              <w:rPr>
                <w:rFonts w:cs="Times New Roman"/>
                <w:sz w:val="20"/>
                <w:szCs w:val="20"/>
                <w:lang w:val="cs-CZ" w:eastAsia="cs-CZ"/>
              </w:rPr>
            </w:pPr>
            <w:r w:rsidRPr="00266986">
              <w:rPr>
                <w:rFonts w:cs="Times New Roman"/>
                <w:sz w:val="20"/>
                <w:szCs w:val="20"/>
                <w:lang w:val="cs-CZ" w:eastAsia="cs-CZ"/>
              </w:rPr>
              <w:t xml:space="preserve"> Zisk/ztráta</w:t>
            </w:r>
          </w:p>
        </w:tc>
        <w:tc>
          <w:tcPr>
            <w:tcW w:w="448" w:type="pct"/>
            <w:tcBorders>
              <w:right w:val="single" w:sz="12" w:space="0" w:color="auto"/>
            </w:tcBorders>
            <w:shd w:val="clear" w:color="auto" w:fill="auto"/>
            <w:noWrap/>
            <w:vAlign w:val="center"/>
            <w:hideMark/>
          </w:tcPr>
          <w:p w14:paraId="52AEBAF5"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eastAsia="cs-CZ"/>
              </w:rPr>
              <w:t>Kč/l</w:t>
            </w:r>
          </w:p>
        </w:tc>
        <w:tc>
          <w:tcPr>
            <w:tcW w:w="364" w:type="pct"/>
            <w:tcBorders>
              <w:left w:val="single" w:sz="12" w:space="0" w:color="auto"/>
            </w:tcBorders>
            <w:shd w:val="clear" w:color="auto" w:fill="auto"/>
            <w:noWrap/>
            <w:vAlign w:val="center"/>
            <w:hideMark/>
          </w:tcPr>
          <w:p w14:paraId="144724A5"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 xml:space="preserve">1,30 </w:t>
            </w:r>
          </w:p>
        </w:tc>
        <w:tc>
          <w:tcPr>
            <w:tcW w:w="387" w:type="pct"/>
            <w:shd w:val="clear" w:color="auto" w:fill="auto"/>
            <w:noWrap/>
            <w:vAlign w:val="center"/>
            <w:hideMark/>
          </w:tcPr>
          <w:p w14:paraId="0855870A"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 xml:space="preserve">0,27 </w:t>
            </w:r>
          </w:p>
        </w:tc>
        <w:tc>
          <w:tcPr>
            <w:tcW w:w="339" w:type="pct"/>
            <w:tcBorders>
              <w:right w:val="single" w:sz="12" w:space="0" w:color="auto"/>
            </w:tcBorders>
            <w:shd w:val="clear" w:color="auto" w:fill="auto"/>
            <w:noWrap/>
            <w:vAlign w:val="center"/>
            <w:hideMark/>
          </w:tcPr>
          <w:p w14:paraId="542A4DD8" w14:textId="77777777" w:rsidR="00A16DDB" w:rsidRPr="00266986" w:rsidRDefault="00A16DDB" w:rsidP="007A627A">
            <w:pPr>
              <w:keepNext/>
              <w:jc w:val="center"/>
              <w:rPr>
                <w:rFonts w:cs="Times New Roman"/>
                <w:sz w:val="20"/>
                <w:szCs w:val="20"/>
                <w:lang w:val="cs-CZ" w:eastAsia="cs-CZ"/>
              </w:rPr>
            </w:pPr>
            <w:r w:rsidRPr="00266986">
              <w:rPr>
                <w:rFonts w:cs="Times New Roman"/>
                <w:color w:val="FF0000"/>
                <w:sz w:val="20"/>
                <w:szCs w:val="20"/>
                <w:lang w:val="cs-CZ"/>
              </w:rPr>
              <w:t xml:space="preserve">-1,35 </w:t>
            </w:r>
          </w:p>
        </w:tc>
        <w:tc>
          <w:tcPr>
            <w:tcW w:w="370" w:type="pct"/>
            <w:tcBorders>
              <w:top w:val="single" w:sz="4" w:space="0" w:color="auto"/>
              <w:left w:val="single" w:sz="12" w:space="0" w:color="auto"/>
              <w:bottom w:val="single" w:sz="4" w:space="0" w:color="auto"/>
            </w:tcBorders>
            <w:shd w:val="clear" w:color="auto" w:fill="auto"/>
            <w:noWrap/>
            <w:vAlign w:val="center"/>
            <w:hideMark/>
          </w:tcPr>
          <w:p w14:paraId="75F92EAF"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 xml:space="preserve">0,97 </w:t>
            </w:r>
          </w:p>
        </w:tc>
        <w:tc>
          <w:tcPr>
            <w:tcW w:w="382" w:type="pct"/>
            <w:tcBorders>
              <w:top w:val="single" w:sz="4" w:space="0" w:color="auto"/>
              <w:bottom w:val="single" w:sz="4" w:space="0" w:color="auto"/>
            </w:tcBorders>
            <w:shd w:val="clear" w:color="auto" w:fill="auto"/>
            <w:noWrap/>
            <w:vAlign w:val="center"/>
            <w:hideMark/>
          </w:tcPr>
          <w:p w14:paraId="7380D9E5" w14:textId="77777777" w:rsidR="00A16DDB" w:rsidRPr="00266986" w:rsidRDefault="00A16DDB" w:rsidP="007A627A">
            <w:pPr>
              <w:keepNext/>
              <w:jc w:val="center"/>
              <w:rPr>
                <w:rFonts w:cs="Times New Roman"/>
                <w:sz w:val="20"/>
                <w:szCs w:val="20"/>
                <w:lang w:val="cs-CZ" w:eastAsia="cs-CZ"/>
              </w:rPr>
            </w:pPr>
            <w:r w:rsidRPr="00266986">
              <w:rPr>
                <w:rFonts w:cs="Times New Roman"/>
                <w:color w:val="FF0000"/>
                <w:sz w:val="20"/>
                <w:szCs w:val="20"/>
                <w:lang w:val="cs-CZ"/>
              </w:rPr>
              <w:t xml:space="preserve">-0,08 </w:t>
            </w:r>
          </w:p>
        </w:tc>
        <w:tc>
          <w:tcPr>
            <w:tcW w:w="347" w:type="pct"/>
            <w:tcBorders>
              <w:top w:val="single" w:sz="4" w:space="0" w:color="auto"/>
              <w:bottom w:val="single" w:sz="4" w:space="0" w:color="auto"/>
              <w:right w:val="single" w:sz="12" w:space="0" w:color="auto"/>
            </w:tcBorders>
            <w:shd w:val="clear" w:color="auto" w:fill="auto"/>
            <w:noWrap/>
            <w:vAlign w:val="center"/>
            <w:hideMark/>
          </w:tcPr>
          <w:p w14:paraId="31341CCE" w14:textId="77777777" w:rsidR="00A16DDB" w:rsidRPr="00266986" w:rsidRDefault="00A16DDB" w:rsidP="007A627A">
            <w:pPr>
              <w:keepNext/>
              <w:jc w:val="center"/>
              <w:rPr>
                <w:rFonts w:cs="Times New Roman"/>
                <w:sz w:val="20"/>
                <w:szCs w:val="20"/>
                <w:lang w:val="cs-CZ" w:eastAsia="cs-CZ"/>
              </w:rPr>
            </w:pPr>
            <w:r w:rsidRPr="00266986">
              <w:rPr>
                <w:rFonts w:cs="Times New Roman"/>
                <w:color w:val="FF0000"/>
                <w:sz w:val="20"/>
                <w:szCs w:val="20"/>
                <w:lang w:val="cs-CZ"/>
              </w:rPr>
              <w:t xml:space="preserve">-1,31 </w:t>
            </w:r>
          </w:p>
        </w:tc>
        <w:tc>
          <w:tcPr>
            <w:tcW w:w="366" w:type="pct"/>
            <w:tcBorders>
              <w:left w:val="single" w:sz="12" w:space="0" w:color="auto"/>
            </w:tcBorders>
            <w:shd w:val="clear" w:color="auto" w:fill="auto"/>
            <w:noWrap/>
            <w:vAlign w:val="center"/>
            <w:hideMark/>
          </w:tcPr>
          <w:p w14:paraId="3741D2FE"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 xml:space="preserve">0,88 </w:t>
            </w:r>
          </w:p>
        </w:tc>
        <w:tc>
          <w:tcPr>
            <w:tcW w:w="397" w:type="pct"/>
            <w:shd w:val="clear" w:color="auto" w:fill="auto"/>
            <w:noWrap/>
            <w:vAlign w:val="center"/>
            <w:hideMark/>
          </w:tcPr>
          <w:p w14:paraId="7348310A" w14:textId="77777777" w:rsidR="00A16DDB" w:rsidRPr="00266986" w:rsidRDefault="00A16DDB" w:rsidP="007A627A">
            <w:pPr>
              <w:keepNext/>
              <w:jc w:val="center"/>
              <w:rPr>
                <w:rFonts w:cs="Times New Roman"/>
                <w:sz w:val="20"/>
                <w:szCs w:val="20"/>
                <w:lang w:val="cs-CZ" w:eastAsia="cs-CZ"/>
              </w:rPr>
            </w:pPr>
            <w:r w:rsidRPr="00266986">
              <w:rPr>
                <w:rFonts w:cs="Times New Roman"/>
                <w:color w:val="FF0000"/>
                <w:sz w:val="20"/>
                <w:szCs w:val="20"/>
                <w:lang w:val="cs-CZ"/>
              </w:rPr>
              <w:t xml:space="preserve">-0,14 </w:t>
            </w:r>
          </w:p>
        </w:tc>
        <w:tc>
          <w:tcPr>
            <w:tcW w:w="399" w:type="pct"/>
            <w:shd w:val="clear" w:color="auto" w:fill="auto"/>
            <w:noWrap/>
            <w:vAlign w:val="center"/>
            <w:hideMark/>
          </w:tcPr>
          <w:p w14:paraId="338E3383" w14:textId="77777777" w:rsidR="00A16DDB" w:rsidRPr="00266986" w:rsidRDefault="00A16DDB" w:rsidP="007A627A">
            <w:pPr>
              <w:keepNext/>
              <w:jc w:val="center"/>
              <w:rPr>
                <w:rFonts w:cs="Times New Roman"/>
                <w:sz w:val="20"/>
                <w:szCs w:val="20"/>
                <w:lang w:val="cs-CZ" w:eastAsia="cs-CZ"/>
              </w:rPr>
            </w:pPr>
            <w:r w:rsidRPr="00266986">
              <w:rPr>
                <w:rFonts w:cs="Times New Roman"/>
                <w:color w:val="FF0000"/>
                <w:sz w:val="20"/>
                <w:szCs w:val="20"/>
                <w:lang w:val="cs-CZ"/>
              </w:rPr>
              <w:t xml:space="preserve">-1,43 </w:t>
            </w:r>
          </w:p>
        </w:tc>
      </w:tr>
      <w:tr w:rsidR="00A16DDB" w:rsidRPr="00266986" w14:paraId="50E5CA43" w14:textId="77777777" w:rsidTr="00266986">
        <w:trPr>
          <w:trHeight w:val="247"/>
        </w:trPr>
        <w:tc>
          <w:tcPr>
            <w:tcW w:w="1201" w:type="pct"/>
            <w:shd w:val="clear" w:color="auto" w:fill="auto"/>
            <w:noWrap/>
            <w:vAlign w:val="center"/>
            <w:hideMark/>
          </w:tcPr>
          <w:p w14:paraId="47FDEFB9" w14:textId="77777777" w:rsidR="00A16DDB" w:rsidRPr="00266986" w:rsidRDefault="00A16DDB" w:rsidP="007A627A">
            <w:pPr>
              <w:keepNext/>
              <w:rPr>
                <w:rFonts w:cs="Times New Roman"/>
                <w:sz w:val="20"/>
                <w:szCs w:val="20"/>
                <w:lang w:val="cs-CZ" w:eastAsia="cs-CZ"/>
              </w:rPr>
            </w:pPr>
            <w:r w:rsidRPr="00266986">
              <w:rPr>
                <w:rFonts w:cs="Times New Roman"/>
                <w:sz w:val="20"/>
                <w:szCs w:val="20"/>
                <w:lang w:val="cs-CZ" w:eastAsia="cs-CZ"/>
              </w:rPr>
              <w:t xml:space="preserve"> Zisk/ztráta vč. všech podpor</w:t>
            </w:r>
          </w:p>
        </w:tc>
        <w:tc>
          <w:tcPr>
            <w:tcW w:w="448" w:type="pct"/>
            <w:tcBorders>
              <w:right w:val="single" w:sz="12" w:space="0" w:color="auto"/>
            </w:tcBorders>
            <w:shd w:val="clear" w:color="auto" w:fill="auto"/>
            <w:noWrap/>
            <w:vAlign w:val="center"/>
            <w:hideMark/>
          </w:tcPr>
          <w:p w14:paraId="73E27122"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eastAsia="cs-CZ"/>
              </w:rPr>
              <w:t>Kč/l</w:t>
            </w:r>
          </w:p>
        </w:tc>
        <w:tc>
          <w:tcPr>
            <w:tcW w:w="364" w:type="pct"/>
            <w:tcBorders>
              <w:left w:val="single" w:sz="12" w:space="0" w:color="auto"/>
            </w:tcBorders>
            <w:shd w:val="clear" w:color="auto" w:fill="auto"/>
            <w:noWrap/>
            <w:vAlign w:val="center"/>
            <w:hideMark/>
          </w:tcPr>
          <w:p w14:paraId="511B18E4"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 xml:space="preserve">3,10 </w:t>
            </w:r>
          </w:p>
        </w:tc>
        <w:tc>
          <w:tcPr>
            <w:tcW w:w="387" w:type="pct"/>
            <w:shd w:val="clear" w:color="auto" w:fill="auto"/>
            <w:noWrap/>
            <w:vAlign w:val="center"/>
            <w:hideMark/>
          </w:tcPr>
          <w:p w14:paraId="1796C044"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 xml:space="preserve">2,11 </w:t>
            </w:r>
          </w:p>
        </w:tc>
        <w:tc>
          <w:tcPr>
            <w:tcW w:w="339" w:type="pct"/>
            <w:tcBorders>
              <w:right w:val="single" w:sz="12" w:space="0" w:color="auto"/>
            </w:tcBorders>
            <w:shd w:val="clear" w:color="auto" w:fill="auto"/>
            <w:noWrap/>
            <w:vAlign w:val="center"/>
            <w:hideMark/>
          </w:tcPr>
          <w:p w14:paraId="0D5AB797"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 xml:space="preserve">1,01 </w:t>
            </w:r>
          </w:p>
        </w:tc>
        <w:tc>
          <w:tcPr>
            <w:tcW w:w="370" w:type="pct"/>
            <w:tcBorders>
              <w:top w:val="single" w:sz="4" w:space="0" w:color="auto"/>
              <w:left w:val="single" w:sz="12" w:space="0" w:color="auto"/>
              <w:bottom w:val="single" w:sz="4" w:space="0" w:color="auto"/>
            </w:tcBorders>
            <w:shd w:val="clear" w:color="auto" w:fill="auto"/>
            <w:noWrap/>
            <w:vAlign w:val="center"/>
            <w:hideMark/>
          </w:tcPr>
          <w:p w14:paraId="6C41C8E3"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 xml:space="preserve">2,94 </w:t>
            </w:r>
          </w:p>
        </w:tc>
        <w:tc>
          <w:tcPr>
            <w:tcW w:w="382" w:type="pct"/>
            <w:tcBorders>
              <w:top w:val="single" w:sz="4" w:space="0" w:color="auto"/>
              <w:bottom w:val="single" w:sz="4" w:space="0" w:color="auto"/>
            </w:tcBorders>
            <w:shd w:val="clear" w:color="auto" w:fill="auto"/>
            <w:noWrap/>
            <w:vAlign w:val="center"/>
            <w:hideMark/>
          </w:tcPr>
          <w:p w14:paraId="32C48CAD"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 xml:space="preserve">2,08 </w:t>
            </w:r>
          </w:p>
        </w:tc>
        <w:tc>
          <w:tcPr>
            <w:tcW w:w="347" w:type="pct"/>
            <w:tcBorders>
              <w:top w:val="single" w:sz="4" w:space="0" w:color="auto"/>
              <w:bottom w:val="single" w:sz="4" w:space="0" w:color="auto"/>
              <w:right w:val="single" w:sz="12" w:space="0" w:color="auto"/>
            </w:tcBorders>
            <w:shd w:val="clear" w:color="auto" w:fill="auto"/>
            <w:noWrap/>
            <w:vAlign w:val="center"/>
            <w:hideMark/>
          </w:tcPr>
          <w:p w14:paraId="39558504"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 xml:space="preserve">1,22 </w:t>
            </w:r>
          </w:p>
        </w:tc>
        <w:tc>
          <w:tcPr>
            <w:tcW w:w="366" w:type="pct"/>
            <w:tcBorders>
              <w:left w:val="single" w:sz="12" w:space="0" w:color="auto"/>
            </w:tcBorders>
            <w:shd w:val="clear" w:color="auto" w:fill="auto"/>
            <w:noWrap/>
            <w:vAlign w:val="center"/>
            <w:hideMark/>
          </w:tcPr>
          <w:p w14:paraId="20DCBED3"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 xml:space="preserve">2,71 </w:t>
            </w:r>
          </w:p>
        </w:tc>
        <w:tc>
          <w:tcPr>
            <w:tcW w:w="397" w:type="pct"/>
            <w:shd w:val="clear" w:color="auto" w:fill="auto"/>
            <w:noWrap/>
            <w:vAlign w:val="center"/>
            <w:hideMark/>
          </w:tcPr>
          <w:p w14:paraId="4F916C5C"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 xml:space="preserve">1,81 </w:t>
            </w:r>
          </w:p>
        </w:tc>
        <w:tc>
          <w:tcPr>
            <w:tcW w:w="399" w:type="pct"/>
            <w:shd w:val="clear" w:color="auto" w:fill="auto"/>
            <w:noWrap/>
            <w:vAlign w:val="center"/>
            <w:hideMark/>
          </w:tcPr>
          <w:p w14:paraId="18F6D8BF"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 xml:space="preserve">0,89 </w:t>
            </w:r>
          </w:p>
        </w:tc>
      </w:tr>
      <w:tr w:rsidR="00A16DDB" w:rsidRPr="00266986" w14:paraId="291FC24D" w14:textId="77777777" w:rsidTr="00266986">
        <w:trPr>
          <w:trHeight w:val="277"/>
        </w:trPr>
        <w:tc>
          <w:tcPr>
            <w:tcW w:w="1201" w:type="pct"/>
            <w:shd w:val="clear" w:color="auto" w:fill="auto"/>
            <w:noWrap/>
            <w:vAlign w:val="center"/>
            <w:hideMark/>
          </w:tcPr>
          <w:p w14:paraId="1A8D52FF" w14:textId="77777777" w:rsidR="00A16DDB" w:rsidRPr="00266986" w:rsidRDefault="00A16DDB" w:rsidP="007A627A">
            <w:pPr>
              <w:keepNext/>
              <w:rPr>
                <w:rFonts w:cs="Times New Roman"/>
                <w:sz w:val="20"/>
                <w:szCs w:val="20"/>
                <w:lang w:val="cs-CZ" w:eastAsia="cs-CZ"/>
              </w:rPr>
            </w:pPr>
            <w:r w:rsidRPr="00266986">
              <w:rPr>
                <w:rFonts w:cs="Times New Roman"/>
                <w:sz w:val="20"/>
                <w:szCs w:val="20"/>
                <w:lang w:val="cs-CZ" w:eastAsia="cs-CZ"/>
              </w:rPr>
              <w:t xml:space="preserve"> Nákladová rentabilita</w:t>
            </w:r>
            <w:r w:rsidRPr="00266986">
              <w:rPr>
                <w:rFonts w:cs="Times New Roman"/>
                <w:sz w:val="20"/>
                <w:szCs w:val="20"/>
                <w:vertAlign w:val="superscript"/>
                <w:lang w:val="cs-CZ" w:eastAsia="cs-CZ"/>
              </w:rPr>
              <w:t>4</w:t>
            </w:r>
          </w:p>
        </w:tc>
        <w:tc>
          <w:tcPr>
            <w:tcW w:w="448" w:type="pct"/>
            <w:tcBorders>
              <w:right w:val="single" w:sz="12" w:space="0" w:color="auto"/>
            </w:tcBorders>
            <w:shd w:val="clear" w:color="auto" w:fill="auto"/>
            <w:noWrap/>
            <w:vAlign w:val="center"/>
            <w:hideMark/>
          </w:tcPr>
          <w:p w14:paraId="3AB5AE45"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eastAsia="cs-CZ"/>
              </w:rPr>
              <w:t>%</w:t>
            </w:r>
          </w:p>
        </w:tc>
        <w:tc>
          <w:tcPr>
            <w:tcW w:w="364" w:type="pct"/>
            <w:tcBorders>
              <w:left w:val="single" w:sz="12" w:space="0" w:color="auto"/>
            </w:tcBorders>
            <w:shd w:val="clear" w:color="auto" w:fill="auto"/>
            <w:noWrap/>
            <w:vAlign w:val="center"/>
            <w:hideMark/>
          </w:tcPr>
          <w:p w14:paraId="66EB584B"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 xml:space="preserve">17,71 </w:t>
            </w:r>
          </w:p>
        </w:tc>
        <w:tc>
          <w:tcPr>
            <w:tcW w:w="387" w:type="pct"/>
            <w:shd w:val="clear" w:color="auto" w:fill="auto"/>
            <w:noWrap/>
            <w:vAlign w:val="center"/>
            <w:hideMark/>
          </w:tcPr>
          <w:p w14:paraId="6DA71D2B"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 xml:space="preserve">3,20 </w:t>
            </w:r>
          </w:p>
        </w:tc>
        <w:tc>
          <w:tcPr>
            <w:tcW w:w="339" w:type="pct"/>
            <w:tcBorders>
              <w:right w:val="single" w:sz="12" w:space="0" w:color="auto"/>
            </w:tcBorders>
            <w:shd w:val="clear" w:color="auto" w:fill="auto"/>
            <w:noWrap/>
            <w:vAlign w:val="center"/>
            <w:hideMark/>
          </w:tcPr>
          <w:p w14:paraId="3F16F85A" w14:textId="77777777" w:rsidR="00A16DDB" w:rsidRPr="00266986" w:rsidRDefault="00A16DDB" w:rsidP="007A627A">
            <w:pPr>
              <w:keepNext/>
              <w:jc w:val="center"/>
              <w:rPr>
                <w:rFonts w:cs="Times New Roman"/>
                <w:sz w:val="20"/>
                <w:szCs w:val="20"/>
                <w:lang w:val="cs-CZ" w:eastAsia="cs-CZ"/>
              </w:rPr>
            </w:pPr>
            <w:r w:rsidRPr="00266986">
              <w:rPr>
                <w:rFonts w:cs="Times New Roman"/>
                <w:color w:val="FF0000"/>
                <w:sz w:val="20"/>
                <w:szCs w:val="20"/>
                <w:lang w:val="cs-CZ"/>
              </w:rPr>
              <w:t xml:space="preserve">-13,37 </w:t>
            </w:r>
          </w:p>
        </w:tc>
        <w:tc>
          <w:tcPr>
            <w:tcW w:w="370" w:type="pct"/>
            <w:tcBorders>
              <w:top w:val="single" w:sz="4" w:space="0" w:color="auto"/>
              <w:left w:val="single" w:sz="12" w:space="0" w:color="auto"/>
              <w:bottom w:val="single" w:sz="4" w:space="0" w:color="auto"/>
            </w:tcBorders>
            <w:shd w:val="clear" w:color="auto" w:fill="auto"/>
            <w:noWrap/>
            <w:vAlign w:val="center"/>
            <w:hideMark/>
          </w:tcPr>
          <w:p w14:paraId="6F4266BD"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 xml:space="preserve">12,84 </w:t>
            </w:r>
          </w:p>
        </w:tc>
        <w:tc>
          <w:tcPr>
            <w:tcW w:w="382" w:type="pct"/>
            <w:tcBorders>
              <w:top w:val="single" w:sz="4" w:space="0" w:color="auto"/>
              <w:bottom w:val="single" w:sz="4" w:space="0" w:color="auto"/>
            </w:tcBorders>
            <w:shd w:val="clear" w:color="auto" w:fill="auto"/>
            <w:noWrap/>
            <w:vAlign w:val="center"/>
            <w:hideMark/>
          </w:tcPr>
          <w:p w14:paraId="616C5CE4" w14:textId="77777777" w:rsidR="00A16DDB" w:rsidRPr="00266986" w:rsidRDefault="00A16DDB" w:rsidP="007A627A">
            <w:pPr>
              <w:keepNext/>
              <w:jc w:val="center"/>
              <w:rPr>
                <w:rFonts w:cs="Times New Roman"/>
                <w:sz w:val="20"/>
                <w:szCs w:val="20"/>
                <w:lang w:val="cs-CZ" w:eastAsia="cs-CZ"/>
              </w:rPr>
            </w:pPr>
            <w:r w:rsidRPr="00266986">
              <w:rPr>
                <w:rFonts w:cs="Times New Roman"/>
                <w:color w:val="FF0000"/>
                <w:sz w:val="20"/>
                <w:szCs w:val="20"/>
                <w:lang w:val="cs-CZ"/>
              </w:rPr>
              <w:t xml:space="preserve">-0,97 </w:t>
            </w:r>
          </w:p>
        </w:tc>
        <w:tc>
          <w:tcPr>
            <w:tcW w:w="347" w:type="pct"/>
            <w:tcBorders>
              <w:top w:val="single" w:sz="4" w:space="0" w:color="auto"/>
              <w:bottom w:val="single" w:sz="4" w:space="0" w:color="auto"/>
              <w:right w:val="single" w:sz="12" w:space="0" w:color="auto"/>
            </w:tcBorders>
            <w:shd w:val="clear" w:color="auto" w:fill="auto"/>
            <w:noWrap/>
            <w:vAlign w:val="center"/>
            <w:hideMark/>
          </w:tcPr>
          <w:p w14:paraId="153476F7" w14:textId="77777777" w:rsidR="00A16DDB" w:rsidRPr="00266986" w:rsidRDefault="00A16DDB" w:rsidP="007A627A">
            <w:pPr>
              <w:keepNext/>
              <w:jc w:val="center"/>
              <w:rPr>
                <w:rFonts w:cs="Times New Roman"/>
                <w:sz w:val="20"/>
                <w:szCs w:val="20"/>
                <w:lang w:val="cs-CZ" w:eastAsia="cs-CZ"/>
              </w:rPr>
            </w:pPr>
            <w:r w:rsidRPr="00266986">
              <w:rPr>
                <w:rFonts w:cs="Times New Roman"/>
                <w:color w:val="FF0000"/>
                <w:sz w:val="20"/>
                <w:szCs w:val="20"/>
                <w:lang w:val="cs-CZ"/>
              </w:rPr>
              <w:t xml:space="preserve">-12,91 </w:t>
            </w:r>
          </w:p>
        </w:tc>
        <w:tc>
          <w:tcPr>
            <w:tcW w:w="366" w:type="pct"/>
            <w:tcBorders>
              <w:left w:val="single" w:sz="12" w:space="0" w:color="auto"/>
            </w:tcBorders>
            <w:shd w:val="clear" w:color="auto" w:fill="auto"/>
            <w:noWrap/>
            <w:vAlign w:val="center"/>
            <w:hideMark/>
          </w:tcPr>
          <w:p w14:paraId="18C496EF"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 xml:space="preserve">11,13 </w:t>
            </w:r>
          </w:p>
        </w:tc>
        <w:tc>
          <w:tcPr>
            <w:tcW w:w="397" w:type="pct"/>
            <w:shd w:val="clear" w:color="auto" w:fill="auto"/>
            <w:noWrap/>
            <w:vAlign w:val="center"/>
            <w:hideMark/>
          </w:tcPr>
          <w:p w14:paraId="48DF00F3" w14:textId="77777777" w:rsidR="00A16DDB" w:rsidRPr="00266986" w:rsidRDefault="00A16DDB" w:rsidP="007A627A">
            <w:pPr>
              <w:keepNext/>
              <w:jc w:val="center"/>
              <w:rPr>
                <w:rFonts w:cs="Times New Roman"/>
                <w:sz w:val="20"/>
                <w:szCs w:val="20"/>
                <w:lang w:val="cs-CZ" w:eastAsia="cs-CZ"/>
              </w:rPr>
            </w:pPr>
            <w:r w:rsidRPr="00266986">
              <w:rPr>
                <w:rFonts w:cs="Times New Roman"/>
                <w:color w:val="FF0000"/>
                <w:sz w:val="20"/>
                <w:szCs w:val="20"/>
                <w:lang w:val="cs-CZ"/>
              </w:rPr>
              <w:t xml:space="preserve">-1,53 </w:t>
            </w:r>
          </w:p>
        </w:tc>
        <w:tc>
          <w:tcPr>
            <w:tcW w:w="399" w:type="pct"/>
            <w:shd w:val="clear" w:color="auto" w:fill="auto"/>
            <w:noWrap/>
            <w:vAlign w:val="center"/>
            <w:hideMark/>
          </w:tcPr>
          <w:p w14:paraId="2E3457F9" w14:textId="77777777" w:rsidR="00A16DDB" w:rsidRPr="00266986" w:rsidRDefault="00A16DDB" w:rsidP="007A627A">
            <w:pPr>
              <w:keepNext/>
              <w:jc w:val="center"/>
              <w:rPr>
                <w:rFonts w:cs="Times New Roman"/>
                <w:sz w:val="20"/>
                <w:szCs w:val="20"/>
                <w:lang w:val="cs-CZ" w:eastAsia="cs-CZ"/>
              </w:rPr>
            </w:pPr>
            <w:r w:rsidRPr="00266986">
              <w:rPr>
                <w:rFonts w:cs="Times New Roman"/>
                <w:color w:val="FF0000"/>
                <w:sz w:val="20"/>
                <w:szCs w:val="20"/>
                <w:lang w:val="cs-CZ"/>
              </w:rPr>
              <w:t xml:space="preserve">-13,82 </w:t>
            </w:r>
          </w:p>
        </w:tc>
      </w:tr>
      <w:tr w:rsidR="00266986" w:rsidRPr="00266986" w14:paraId="1D893FAF" w14:textId="77777777" w:rsidTr="00266986">
        <w:trPr>
          <w:trHeight w:val="291"/>
        </w:trPr>
        <w:tc>
          <w:tcPr>
            <w:tcW w:w="1201" w:type="pct"/>
            <w:shd w:val="clear" w:color="auto" w:fill="D9D9D9"/>
            <w:noWrap/>
            <w:vAlign w:val="center"/>
            <w:hideMark/>
          </w:tcPr>
          <w:p w14:paraId="426DCB74" w14:textId="77777777" w:rsidR="00A16DDB" w:rsidRPr="00266986" w:rsidRDefault="00A16DDB" w:rsidP="007A627A">
            <w:pPr>
              <w:keepNext/>
              <w:rPr>
                <w:rFonts w:cs="Times New Roman"/>
                <w:sz w:val="20"/>
                <w:szCs w:val="20"/>
                <w:lang w:val="cs-CZ" w:eastAsia="cs-CZ"/>
              </w:rPr>
            </w:pPr>
            <w:r w:rsidRPr="00266986">
              <w:rPr>
                <w:rFonts w:cs="Times New Roman"/>
                <w:sz w:val="20"/>
                <w:szCs w:val="20"/>
                <w:lang w:val="cs-CZ" w:eastAsia="cs-CZ"/>
              </w:rPr>
              <w:t xml:space="preserve"> Souhrnná rentabilita</w:t>
            </w:r>
            <w:r w:rsidRPr="00266986">
              <w:rPr>
                <w:rFonts w:cs="Times New Roman"/>
                <w:sz w:val="20"/>
                <w:szCs w:val="20"/>
                <w:vertAlign w:val="superscript"/>
                <w:lang w:val="cs-CZ" w:eastAsia="cs-CZ"/>
              </w:rPr>
              <w:t>5</w:t>
            </w:r>
            <w:r w:rsidRPr="00266986">
              <w:rPr>
                <w:rFonts w:cs="Times New Roman"/>
                <w:sz w:val="20"/>
                <w:szCs w:val="20"/>
                <w:lang w:val="cs-CZ" w:eastAsia="cs-CZ"/>
              </w:rPr>
              <w:t xml:space="preserve"> vč. všech podpor</w:t>
            </w:r>
          </w:p>
        </w:tc>
        <w:tc>
          <w:tcPr>
            <w:tcW w:w="448" w:type="pct"/>
            <w:tcBorders>
              <w:right w:val="single" w:sz="12" w:space="0" w:color="auto"/>
            </w:tcBorders>
            <w:shd w:val="clear" w:color="auto" w:fill="D9D9D9"/>
            <w:noWrap/>
            <w:vAlign w:val="center"/>
            <w:hideMark/>
          </w:tcPr>
          <w:p w14:paraId="092305EC"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eastAsia="cs-CZ"/>
              </w:rPr>
              <w:t>%</w:t>
            </w:r>
          </w:p>
        </w:tc>
        <w:tc>
          <w:tcPr>
            <w:tcW w:w="364" w:type="pct"/>
            <w:tcBorders>
              <w:left w:val="single" w:sz="12" w:space="0" w:color="auto"/>
            </w:tcBorders>
            <w:shd w:val="clear" w:color="auto" w:fill="D9D9D9"/>
            <w:noWrap/>
            <w:vAlign w:val="center"/>
            <w:hideMark/>
          </w:tcPr>
          <w:p w14:paraId="1FA6EDFA"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 xml:space="preserve">42,20 </w:t>
            </w:r>
          </w:p>
        </w:tc>
        <w:tc>
          <w:tcPr>
            <w:tcW w:w="387" w:type="pct"/>
            <w:shd w:val="clear" w:color="auto" w:fill="D9D9D9"/>
            <w:noWrap/>
            <w:vAlign w:val="center"/>
            <w:hideMark/>
          </w:tcPr>
          <w:p w14:paraId="62044EFC"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 xml:space="preserve">25,18 </w:t>
            </w:r>
          </w:p>
        </w:tc>
        <w:tc>
          <w:tcPr>
            <w:tcW w:w="339" w:type="pct"/>
            <w:tcBorders>
              <w:right w:val="single" w:sz="12" w:space="0" w:color="auto"/>
            </w:tcBorders>
            <w:shd w:val="clear" w:color="auto" w:fill="D9D9D9"/>
            <w:noWrap/>
            <w:vAlign w:val="center"/>
            <w:hideMark/>
          </w:tcPr>
          <w:p w14:paraId="5A56F81B"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 xml:space="preserve">10,02 </w:t>
            </w:r>
          </w:p>
        </w:tc>
        <w:tc>
          <w:tcPr>
            <w:tcW w:w="370" w:type="pct"/>
            <w:tcBorders>
              <w:top w:val="single" w:sz="4" w:space="0" w:color="auto"/>
              <w:left w:val="single" w:sz="12" w:space="0" w:color="auto"/>
              <w:bottom w:val="single" w:sz="12" w:space="0" w:color="auto"/>
            </w:tcBorders>
            <w:shd w:val="clear" w:color="auto" w:fill="D9D9D9"/>
            <w:noWrap/>
            <w:vAlign w:val="center"/>
            <w:hideMark/>
          </w:tcPr>
          <w:p w14:paraId="5579067D"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 xml:space="preserve">38,78 </w:t>
            </w:r>
          </w:p>
        </w:tc>
        <w:tc>
          <w:tcPr>
            <w:tcW w:w="382" w:type="pct"/>
            <w:tcBorders>
              <w:top w:val="single" w:sz="4" w:space="0" w:color="auto"/>
              <w:bottom w:val="single" w:sz="12" w:space="0" w:color="auto"/>
            </w:tcBorders>
            <w:shd w:val="clear" w:color="auto" w:fill="D9D9D9"/>
            <w:noWrap/>
            <w:vAlign w:val="center"/>
            <w:hideMark/>
          </w:tcPr>
          <w:p w14:paraId="1EFACBB8"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 xml:space="preserve">23,84 </w:t>
            </w:r>
          </w:p>
        </w:tc>
        <w:tc>
          <w:tcPr>
            <w:tcW w:w="347" w:type="pct"/>
            <w:tcBorders>
              <w:top w:val="single" w:sz="4" w:space="0" w:color="auto"/>
              <w:bottom w:val="single" w:sz="12" w:space="0" w:color="auto"/>
              <w:right w:val="single" w:sz="12" w:space="0" w:color="auto"/>
            </w:tcBorders>
            <w:shd w:val="clear" w:color="auto" w:fill="D9D9D9"/>
            <w:noWrap/>
            <w:vAlign w:val="center"/>
            <w:hideMark/>
          </w:tcPr>
          <w:p w14:paraId="16661150"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 xml:space="preserve">12,03 </w:t>
            </w:r>
          </w:p>
        </w:tc>
        <w:tc>
          <w:tcPr>
            <w:tcW w:w="366" w:type="pct"/>
            <w:tcBorders>
              <w:left w:val="single" w:sz="12" w:space="0" w:color="auto"/>
            </w:tcBorders>
            <w:shd w:val="clear" w:color="auto" w:fill="D9D9D9"/>
            <w:noWrap/>
            <w:vAlign w:val="center"/>
            <w:hideMark/>
          </w:tcPr>
          <w:p w14:paraId="64B2D7C4"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 xml:space="preserve">34,13 </w:t>
            </w:r>
          </w:p>
        </w:tc>
        <w:tc>
          <w:tcPr>
            <w:tcW w:w="397" w:type="pct"/>
            <w:shd w:val="clear" w:color="auto" w:fill="D9D9D9"/>
            <w:noWrap/>
            <w:vAlign w:val="center"/>
            <w:hideMark/>
          </w:tcPr>
          <w:p w14:paraId="3C0C72C3"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 xml:space="preserve">20,20 </w:t>
            </w:r>
          </w:p>
        </w:tc>
        <w:tc>
          <w:tcPr>
            <w:tcW w:w="399" w:type="pct"/>
            <w:shd w:val="clear" w:color="auto" w:fill="D9D9D9"/>
            <w:noWrap/>
            <w:vAlign w:val="center"/>
            <w:hideMark/>
          </w:tcPr>
          <w:p w14:paraId="449B86A5" w14:textId="77777777" w:rsidR="00A16DDB" w:rsidRPr="00266986" w:rsidRDefault="00A16DDB" w:rsidP="007A627A">
            <w:pPr>
              <w:keepNext/>
              <w:jc w:val="center"/>
              <w:rPr>
                <w:rFonts w:cs="Times New Roman"/>
                <w:sz w:val="20"/>
                <w:szCs w:val="20"/>
                <w:lang w:val="cs-CZ" w:eastAsia="cs-CZ"/>
              </w:rPr>
            </w:pPr>
            <w:r w:rsidRPr="00266986">
              <w:rPr>
                <w:rFonts w:cs="Times New Roman"/>
                <w:sz w:val="20"/>
                <w:szCs w:val="20"/>
                <w:lang w:val="cs-CZ"/>
              </w:rPr>
              <w:t xml:space="preserve">8,64 </w:t>
            </w:r>
          </w:p>
        </w:tc>
      </w:tr>
    </w:tbl>
    <w:p w14:paraId="355CEAF3" w14:textId="77777777" w:rsidR="00A16DDB" w:rsidRPr="00D95127" w:rsidRDefault="00A16DDB" w:rsidP="00266986">
      <w:pPr>
        <w:pStyle w:val="UZEIZdroj"/>
      </w:pPr>
      <w:r w:rsidRPr="00D95127">
        <w:t>Pozn.: přímé podpory - Podpora přežvýkavců jako Top-Up na VDJ přežvýkavce do roku 2014, od roku 2015 PVP na VDJ přežvýkavce; podpora dojnic jako platba na citlivé komodity dle čl. 68 do roku 2014, od roku 2015 VCS - Dobrovolně vázaná podpora. Nepřímé podpory - přímé platby na plochy krmiv tj. SAPS (pro 2015 základní a greeningová složka), Top-Up na z.p. a pro 2015 platba na bílkovinné krmné plodiny na o.p. podmíněné chovem přežvýkavců, platby LFA na TTP do roku 2014 a od roku 2015 v LFA-H na z.p.</w:t>
      </w:r>
    </w:p>
    <w:p w14:paraId="48AE45F7" w14:textId="77777777" w:rsidR="00A16DDB" w:rsidRPr="00D95127" w:rsidRDefault="00A16DDB" w:rsidP="00266986">
      <w:pPr>
        <w:pStyle w:val="UZEIZdroj"/>
      </w:pPr>
      <w:r w:rsidRPr="00D95127">
        <w:t xml:space="preserve">4) Nákladová rentabilita = (Tržby - Náklady)/Náklady * 100 (%); </w:t>
      </w:r>
    </w:p>
    <w:p w14:paraId="60BEFED4" w14:textId="77777777" w:rsidR="00A16DDB" w:rsidRPr="00D95127" w:rsidRDefault="00A16DDB" w:rsidP="00266986">
      <w:pPr>
        <w:pStyle w:val="UZEIZdroj"/>
      </w:pPr>
      <w:r w:rsidRPr="00D95127">
        <w:t>5) Souhrnná rentabilita = (Tržby + Přímé a nepřímé podpory - Náklady)/Náklady * 100 (%)</w:t>
      </w:r>
    </w:p>
    <w:p w14:paraId="1A42ECA6" w14:textId="6772FCB4" w:rsidR="00A16DDB" w:rsidRPr="00D95127" w:rsidRDefault="00A16DDB" w:rsidP="00266986">
      <w:pPr>
        <w:pStyle w:val="UZEIZdroj"/>
      </w:pPr>
      <w:r w:rsidRPr="00D95127">
        <w:t>Pramen: Výběrové šetření o nákladech a výnosech zemědělských výrobků za rok 2017-2019 ÚZEI; rezortní statistika mlék (MZe)</w:t>
      </w:r>
    </w:p>
    <w:p w14:paraId="147D69C9" w14:textId="225C1668" w:rsidR="00A16DDB" w:rsidRPr="00266986" w:rsidRDefault="00A16DDB" w:rsidP="00266986">
      <w:pPr>
        <w:spacing w:after="120"/>
        <w:rPr>
          <w:rStyle w:val="UZEINormalnChar"/>
          <w:rFonts w:eastAsiaTheme="minorHAnsi"/>
        </w:rPr>
      </w:pPr>
      <w:r w:rsidRPr="00D95127">
        <w:rPr>
          <w:rFonts w:cs="Times New Roman"/>
          <w:szCs w:val="24"/>
          <w:lang w:val="cs-CZ"/>
        </w:rPr>
        <w:t xml:space="preserve">Data IFCN Dairy ukazují, že dvě typické farmy v ČR dosáhly v roce 2019 v rámci </w:t>
      </w:r>
      <w:r w:rsidRPr="00266986">
        <w:rPr>
          <w:rStyle w:val="UZEINormalnChar"/>
          <w:rFonts w:eastAsiaTheme="minorHAnsi"/>
        </w:rPr>
        <w:t>souboru typických farem v zemích EU průměrného (CZ 85) a nadprůměrného (CZ 787) počtu litrů vyrobeného mléka v přepočtu na korunu vloženého kapitálu (graf 20). Hodnota ukazatele byla u CZ 85 nižší než u CZ 787, přestože menší podnik měl vyšší mléčnou užitkovost. To znamená, že typický menší podnik má více nainvestováno než český větší typický podnik a zřejmě pracuje s novějšími výrobními prostředky. Současně dosáhl většího zisku na kilogram mléka (</w:t>
      </w:r>
      <w:r w:rsidR="001410C8">
        <w:rPr>
          <w:rStyle w:val="UZEINormalnChar"/>
          <w:rFonts w:eastAsiaTheme="minorHAnsi"/>
        </w:rPr>
        <w:fldChar w:fldCharType="begin"/>
      </w:r>
      <w:r w:rsidR="001410C8">
        <w:rPr>
          <w:rStyle w:val="UZEINormalnChar"/>
          <w:rFonts w:eastAsiaTheme="minorHAnsi"/>
        </w:rPr>
        <w:instrText xml:space="preserve"> REF _Ref81727796 \r \h </w:instrText>
      </w:r>
      <w:r w:rsidR="001410C8">
        <w:rPr>
          <w:rStyle w:val="UZEINormalnChar"/>
          <w:rFonts w:eastAsiaTheme="minorHAnsi"/>
        </w:rPr>
      </w:r>
      <w:r w:rsidR="001410C8">
        <w:rPr>
          <w:rStyle w:val="UZEINormalnChar"/>
          <w:rFonts w:eastAsiaTheme="minorHAnsi"/>
        </w:rPr>
        <w:fldChar w:fldCharType="separate"/>
      </w:r>
      <w:r w:rsidR="001410C8">
        <w:rPr>
          <w:rStyle w:val="UZEINormalnChar"/>
          <w:rFonts w:eastAsiaTheme="minorHAnsi"/>
        </w:rPr>
        <w:t>Graf 44</w:t>
      </w:r>
      <w:r w:rsidR="001410C8">
        <w:rPr>
          <w:rStyle w:val="UZEINormalnChar"/>
          <w:rFonts w:eastAsiaTheme="minorHAnsi"/>
        </w:rPr>
        <w:fldChar w:fldCharType="end"/>
      </w:r>
      <w:r w:rsidRPr="00266986">
        <w:rPr>
          <w:rStyle w:val="UZEINormalnChar"/>
          <w:rFonts w:eastAsiaTheme="minorHAnsi"/>
        </w:rPr>
        <w:t xml:space="preserve">).  Přitom ve stejném souboru patřila cena nájemného za půdu na typických farmách v ČR po lotyšských a francouzských farmách k nejnižším a cena pracovní síly byla nejnižší po lotyšských a polských farmách. </w:t>
      </w:r>
    </w:p>
    <w:p w14:paraId="2A4FF074" w14:textId="7E5BA0A5" w:rsidR="00A16DDB" w:rsidRPr="00D95127" w:rsidRDefault="00A16DDB" w:rsidP="00266986">
      <w:pPr>
        <w:pStyle w:val="UZEIGraf"/>
      </w:pPr>
      <w:bookmarkStart w:id="837" w:name="_Ref526311985"/>
      <w:bookmarkStart w:id="838" w:name="_Ref81727796"/>
      <w:bookmarkStart w:id="839" w:name="_Toc81738821"/>
      <w:r w:rsidRPr="00D95127">
        <w:t xml:space="preserve">Produktivita kapitálu na typických farmách v roce </w:t>
      </w:r>
      <w:bookmarkEnd w:id="837"/>
      <w:r w:rsidRPr="00D95127">
        <w:t>2019</w:t>
      </w:r>
      <w:bookmarkEnd w:id="838"/>
      <w:bookmarkEnd w:id="839"/>
    </w:p>
    <w:p w14:paraId="57C860F7" w14:textId="77777777" w:rsidR="00A16DDB" w:rsidRPr="00D95127" w:rsidRDefault="00A16DDB" w:rsidP="00A16DDB">
      <w:pPr>
        <w:rPr>
          <w:rFonts w:cs="Times New Roman"/>
          <w:lang w:val="cs-CZ"/>
        </w:rPr>
      </w:pPr>
      <w:r w:rsidRPr="00D95127">
        <w:rPr>
          <w:rFonts w:cs="Times New Roman"/>
          <w:noProof/>
          <w:lang w:val="cs-CZ"/>
        </w:rPr>
        <w:drawing>
          <wp:inline distT="0" distB="0" distL="0" distR="0" wp14:anchorId="6B35A3D5" wp14:editId="03DB2356">
            <wp:extent cx="5759450" cy="2449773"/>
            <wp:effectExtent l="0" t="0" r="12700" b="8255"/>
            <wp:docPr id="14" name="Graf 14">
              <a:extLst xmlns:a="http://schemas.openxmlformats.org/drawingml/2006/main">
                <a:ext uri="{FF2B5EF4-FFF2-40B4-BE49-F238E27FC236}">
                  <a16:creationId xmlns:a16="http://schemas.microsoft.com/office/drawing/2014/main" id="{00000000-0008-0000-0400-0000A0ECFA0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14:paraId="3D3CC0DE" w14:textId="29197149" w:rsidR="00A16DDB" w:rsidRPr="00D95127" w:rsidRDefault="00A16DDB" w:rsidP="001410C8">
      <w:pPr>
        <w:pStyle w:val="UZEIZdroj"/>
      </w:pPr>
      <w:r w:rsidRPr="00D95127">
        <w:rPr>
          <w:lang w:eastAsia="cs-CZ"/>
        </w:rPr>
        <w:t xml:space="preserve">Pozn.: 1) Kód typické farmy zahrnuje označení země (písmena) a počet dojnic na typické farmě (číslice). </w:t>
      </w:r>
      <w:r w:rsidRPr="00D95127">
        <w:t>AT = Rakousko; DE S = Bavorsko; DE N = severní Německo – Šlesvicko-Holštýnsko; DE E = východní Německo; NL = Nizozemsko; BE = Belgie; FR = Francie; IT = Itálie; UK = Spojené Království; IE = Irsko; PL – Polsko; LV = Lotyšsko; CZ = Česká republika</w:t>
      </w:r>
    </w:p>
    <w:p w14:paraId="5EBFD605" w14:textId="77777777" w:rsidR="00A16DDB" w:rsidRPr="00D95127" w:rsidRDefault="00A16DDB" w:rsidP="001410C8">
      <w:pPr>
        <w:pStyle w:val="UZEIZdroj"/>
      </w:pPr>
      <w:r w:rsidRPr="00D95127">
        <w:t>Pramen: IFCN Dairy</w:t>
      </w:r>
    </w:p>
    <w:p w14:paraId="008261B3" w14:textId="77777777" w:rsidR="00A16DDB" w:rsidRPr="00D95127" w:rsidRDefault="00A16DDB" w:rsidP="007F5D36">
      <w:pPr>
        <w:pStyle w:val="UZEINormaln"/>
      </w:pPr>
      <w:r w:rsidRPr="00D95127">
        <w:t xml:space="preserve">Obecně lze hledat příčiny poklesu stavů ve specifických znacích výroby mléka, které předurčují náročnost odvětví, a problémech celé vertikály výroby a odbytu. </w:t>
      </w:r>
    </w:p>
    <w:p w14:paraId="24EAC860" w14:textId="77777777" w:rsidR="00A16DDB" w:rsidRPr="00D95127" w:rsidRDefault="00A16DDB" w:rsidP="007F5D36">
      <w:pPr>
        <w:pStyle w:val="UZEIOdrky"/>
      </w:pPr>
      <w:r w:rsidRPr="00D95127">
        <w:t>Na straně příjmů v zemědělských podnicích jsou příčinami:</w:t>
      </w:r>
    </w:p>
    <w:p w14:paraId="5E15D521" w14:textId="77777777" w:rsidR="00A16DDB" w:rsidRPr="00D95127" w:rsidRDefault="00A16DDB" w:rsidP="00DE7D57">
      <w:pPr>
        <w:pStyle w:val="Odstavecseseznamem"/>
        <w:numPr>
          <w:ilvl w:val="0"/>
          <w:numId w:val="24"/>
        </w:numPr>
        <w:spacing w:after="120" w:line="259" w:lineRule="auto"/>
        <w:contextualSpacing w:val="0"/>
      </w:pPr>
      <w:r w:rsidRPr="00D95127">
        <w:t xml:space="preserve">Výrazná volatilita cen syrového mléka jako odraz vývoje globálních trhů činí obtížným finanční plánování a rozhodování o investicích. </w:t>
      </w:r>
    </w:p>
    <w:p w14:paraId="069E388F" w14:textId="77777777" w:rsidR="00A16DDB" w:rsidRPr="00D95127" w:rsidRDefault="00A16DDB" w:rsidP="00DE7D57">
      <w:pPr>
        <w:pStyle w:val="Odstavecseseznamem"/>
        <w:numPr>
          <w:ilvl w:val="0"/>
          <w:numId w:val="24"/>
        </w:numPr>
        <w:spacing w:after="120" w:line="259" w:lineRule="auto"/>
        <w:contextualSpacing w:val="0"/>
      </w:pPr>
      <w:r w:rsidRPr="00D95127">
        <w:t>Odvětví je výrazně závislé na důchodových podporách, které však mohou být odčerpávány navazujícími odvětvími, vlastníky pozemků apod.</w:t>
      </w:r>
    </w:p>
    <w:p w14:paraId="7EEC6E68" w14:textId="77777777" w:rsidR="00A16DDB" w:rsidRPr="00D95127" w:rsidRDefault="00A16DDB" w:rsidP="007F5D36">
      <w:pPr>
        <w:pStyle w:val="UZEIOdrky"/>
      </w:pPr>
      <w:r w:rsidRPr="00D95127">
        <w:t xml:space="preserve">Na straně nákladů v zemědělských podnicích jsou příčinami: </w:t>
      </w:r>
    </w:p>
    <w:p w14:paraId="4F548F48" w14:textId="77777777" w:rsidR="00A16DDB" w:rsidRPr="00D95127" w:rsidRDefault="00A16DDB" w:rsidP="00DE7D57">
      <w:pPr>
        <w:pStyle w:val="Odstavecseseznamem"/>
        <w:numPr>
          <w:ilvl w:val="0"/>
          <w:numId w:val="25"/>
        </w:numPr>
        <w:spacing w:after="120" w:line="259" w:lineRule="auto"/>
        <w:contextualSpacing w:val="0"/>
      </w:pPr>
      <w:r w:rsidRPr="00D95127">
        <w:t xml:space="preserve">Náročnost managementu chovu skotu a rezervy v organizaci výroby. </w:t>
      </w:r>
    </w:p>
    <w:p w14:paraId="7A098E9A" w14:textId="77777777" w:rsidR="00A16DDB" w:rsidRPr="00D95127" w:rsidRDefault="00A16DDB" w:rsidP="00DE7D57">
      <w:pPr>
        <w:pStyle w:val="Odstavecseseznamem"/>
        <w:numPr>
          <w:ilvl w:val="0"/>
          <w:numId w:val="25"/>
        </w:numPr>
        <w:spacing w:after="120" w:line="259" w:lineRule="auto"/>
        <w:contextualSpacing w:val="0"/>
      </w:pPr>
      <w:r w:rsidRPr="00D95127">
        <w:t>Nedostatek kvalifikované pracovní síly, která je na trhu práce těžko dostupná.</w:t>
      </w:r>
    </w:p>
    <w:p w14:paraId="5BB094CB" w14:textId="77777777" w:rsidR="00A16DDB" w:rsidRPr="00D95127" w:rsidRDefault="00A16DDB" w:rsidP="00DE7D57">
      <w:pPr>
        <w:pStyle w:val="Odstavecseseznamem"/>
        <w:numPr>
          <w:ilvl w:val="0"/>
          <w:numId w:val="25"/>
        </w:numPr>
        <w:spacing w:after="120" w:line="259" w:lineRule="auto"/>
        <w:contextualSpacing w:val="0"/>
      </w:pPr>
      <w:r w:rsidRPr="00D95127">
        <w:t>Technologická a kapitálová náročnost odvětví, a současně trvalá potřeba obnovovat technologická zařízení.</w:t>
      </w:r>
    </w:p>
    <w:p w14:paraId="20490A7D" w14:textId="77777777" w:rsidR="00A16DDB" w:rsidRPr="00D95127" w:rsidRDefault="00A16DDB" w:rsidP="00DE7D57">
      <w:pPr>
        <w:pStyle w:val="Odstavecseseznamem"/>
        <w:numPr>
          <w:ilvl w:val="0"/>
          <w:numId w:val="25"/>
        </w:numPr>
        <w:spacing w:after="120" w:line="259" w:lineRule="auto"/>
        <w:contextualSpacing w:val="0"/>
      </w:pPr>
      <w:r w:rsidRPr="00D95127">
        <w:t>Výkyvy nákladů závislé na sezónních povětrnostních podmínkách, neboť pro výrobu se užívá vysoký podíl vlastních krmiv na celkových krmivech.</w:t>
      </w:r>
    </w:p>
    <w:p w14:paraId="2D240F9D" w14:textId="77777777" w:rsidR="00A16DDB" w:rsidRPr="00D95127" w:rsidRDefault="00A16DDB" w:rsidP="00DE7D57">
      <w:pPr>
        <w:pStyle w:val="Odstavecseseznamem"/>
        <w:numPr>
          <w:ilvl w:val="0"/>
          <w:numId w:val="25"/>
        </w:numPr>
        <w:spacing w:after="120" w:line="259" w:lineRule="auto"/>
        <w:contextualSpacing w:val="0"/>
      </w:pPr>
      <w:r w:rsidRPr="00D95127">
        <w:t>Dlouhý produkční interval. Vložená investice do telete má efekt v příjmu zhruba po třech letech.</w:t>
      </w:r>
    </w:p>
    <w:p w14:paraId="5B77C855" w14:textId="77777777" w:rsidR="00A16DDB" w:rsidRPr="00D95127" w:rsidRDefault="00A16DDB" w:rsidP="00DE7D57">
      <w:pPr>
        <w:pStyle w:val="Odstavecseseznamem"/>
        <w:numPr>
          <w:ilvl w:val="0"/>
          <w:numId w:val="25"/>
        </w:numPr>
        <w:spacing w:after="120" w:line="259" w:lineRule="auto"/>
        <w:contextualSpacing w:val="0"/>
      </w:pPr>
      <w:r w:rsidRPr="00D95127">
        <w:t>Příčiny v navazujících odvětvích vertikály</w:t>
      </w:r>
    </w:p>
    <w:p w14:paraId="1D4D5DF7" w14:textId="77777777" w:rsidR="00A16DDB" w:rsidRPr="00D95127" w:rsidRDefault="00A16DDB" w:rsidP="00DE7D57">
      <w:pPr>
        <w:pStyle w:val="Odstavecseseznamem"/>
        <w:numPr>
          <w:ilvl w:val="0"/>
          <w:numId w:val="25"/>
        </w:numPr>
        <w:spacing w:after="120" w:line="259" w:lineRule="auto"/>
        <w:contextualSpacing w:val="0"/>
      </w:pPr>
      <w:r w:rsidRPr="00D95127">
        <w:t>Nízká výkonnost domácího zpracovatelského průmyslu při komparaci se zahraničními konkurenty (Německem a Rakouskem).</w:t>
      </w:r>
    </w:p>
    <w:p w14:paraId="3C1A9496" w14:textId="77777777" w:rsidR="00A16DDB" w:rsidRPr="00D95127" w:rsidRDefault="00A16DDB" w:rsidP="00DE7D57">
      <w:pPr>
        <w:pStyle w:val="Odstavecseseznamem"/>
        <w:numPr>
          <w:ilvl w:val="0"/>
          <w:numId w:val="26"/>
        </w:numPr>
        <w:spacing w:after="120" w:line="259" w:lineRule="auto"/>
        <w:contextualSpacing w:val="0"/>
      </w:pPr>
      <w:r w:rsidRPr="00D95127">
        <w:t>Rezervy v organizaci odbytu mléka ze zemědělských podniků zpracovatelům. Na trhu je řada organizací producentů případně odbytových organizací, z nichž početní většina nemá vliv na posílení vyjednávací síly a žádná z nich na diverzifikaci produktu. Ze všech organizací producentů vyjádřily zájem o rozvoj spolupráce prostřednictvím odvětvových intervencí jen dvě malé organizace z celkového počtu 19.</w:t>
      </w:r>
    </w:p>
    <w:p w14:paraId="62C31FBF" w14:textId="77777777" w:rsidR="00A16DDB" w:rsidRPr="00D95127" w:rsidRDefault="00A16DDB" w:rsidP="00DE7D57">
      <w:pPr>
        <w:pStyle w:val="Odstavecseseznamem"/>
        <w:numPr>
          <w:ilvl w:val="0"/>
          <w:numId w:val="26"/>
        </w:numPr>
        <w:spacing w:after="120" w:line="259" w:lineRule="auto"/>
        <w:contextualSpacing w:val="0"/>
      </w:pPr>
      <w:r w:rsidRPr="00D95127">
        <w:t xml:space="preserve">Vysoký podíl prodeje mlékárenských výrobků prostřednictvím velkých obchodních řetězců, které využívají své dominantní postavení při vyjednávání o ceně a podmínkách dodávek mlékárenských produktů. </w:t>
      </w:r>
    </w:p>
    <w:p w14:paraId="72A5D9BF" w14:textId="77777777" w:rsidR="00A16DDB" w:rsidRPr="00D95127" w:rsidRDefault="00A16DDB" w:rsidP="00DE7D57">
      <w:pPr>
        <w:pStyle w:val="Odstavecseseznamem"/>
        <w:numPr>
          <w:ilvl w:val="0"/>
          <w:numId w:val="26"/>
        </w:numPr>
        <w:spacing w:after="120" w:line="259" w:lineRule="auto"/>
        <w:contextualSpacing w:val="0"/>
      </w:pPr>
      <w:r w:rsidRPr="00D95127">
        <w:t>Slabá vertikální spolupráce v oblasti marketingu a budování značek kvality. V ČR chybí systémové a na převážně soukromých iniciativách založené programy kvality vedené od prvovýrobce po maloobchod, které by podpořily specifické kvalitativní charakteristiky produktu a spotřebitele na tyto kvality upozornily, jak je tomu v zahraničí. Např. rakouský systém kvality AMA Gütesiegel (Pečeť kvality AMA)</w:t>
      </w:r>
      <w:r w:rsidRPr="007F5D36">
        <w:footnoteReference w:id="28"/>
      </w:r>
      <w:r w:rsidRPr="00D95127">
        <w:t xml:space="preserve"> nebo německý systém kvality QS. Ihr Prüfsystem für Lebensmittel (QS. Systém kvality potravin.)</w:t>
      </w:r>
      <w:r w:rsidRPr="007F5D36">
        <w:footnoteReference w:id="29"/>
      </w:r>
      <w:r w:rsidRPr="00D95127">
        <w:t xml:space="preserve"> je založen na dodržování předepsaných postupů, které začínají na zemědělské úrovni a přes zpracování a dopravu končí v maloobchodu. Postupy a normy jsou transparentní a dostupné spotřebitelům, a jejich dodržování je ověřováno několikastupňovou kontrolou. </w:t>
      </w:r>
    </w:p>
    <w:p w14:paraId="5F9F5BC9" w14:textId="77777777" w:rsidR="00A16DDB" w:rsidRPr="00D95127" w:rsidRDefault="00A16DDB" w:rsidP="00DE7D57">
      <w:pPr>
        <w:pStyle w:val="Odstavecseseznamem"/>
        <w:numPr>
          <w:ilvl w:val="0"/>
          <w:numId w:val="26"/>
        </w:numPr>
        <w:spacing w:after="120" w:line="259" w:lineRule="auto"/>
        <w:contextualSpacing w:val="0"/>
      </w:pPr>
      <w:r w:rsidRPr="00D95127">
        <w:t>V ČR se podařilo dostat do povědomí spotřebitelů několik málo značek kvality (Klasa, Regionální potravina (RP), Bio potravina). Klasa ani Regionální potravina však nejsou plnohodnotným řešením.</w:t>
      </w:r>
    </w:p>
    <w:p w14:paraId="0E57A308" w14:textId="77777777" w:rsidR="007F5D36" w:rsidRDefault="007F5D36">
      <w:pPr>
        <w:spacing w:after="160" w:line="259" w:lineRule="auto"/>
        <w:jc w:val="left"/>
        <w:rPr>
          <w:rFonts w:eastAsiaTheme="majorEastAsia" w:cs="Times New Roman"/>
          <w:b/>
          <w:bCs/>
          <w:sz w:val="28"/>
          <w:szCs w:val="32"/>
          <w:lang w:val="cs-CZ"/>
        </w:rPr>
      </w:pPr>
      <w:bookmarkStart w:id="840" w:name="_Toc15304083"/>
      <w:bookmarkStart w:id="841" w:name="_Toc23509901"/>
      <w:bookmarkStart w:id="842" w:name="_Toc76137435"/>
      <w:bookmarkStart w:id="843" w:name="_Toc76637634"/>
      <w:bookmarkStart w:id="844" w:name="_Toc80953323"/>
      <w:r>
        <w:br w:type="page"/>
      </w:r>
    </w:p>
    <w:p w14:paraId="7F912155" w14:textId="048F73BC" w:rsidR="00A16DDB" w:rsidRPr="00D95127" w:rsidRDefault="00A16DDB" w:rsidP="007F5D36">
      <w:pPr>
        <w:pStyle w:val="Nadpis1"/>
      </w:pPr>
      <w:bookmarkStart w:id="845" w:name="_Toc81739276"/>
      <w:r w:rsidRPr="00D95127">
        <w:t>Jak závažný je tento problém?</w:t>
      </w:r>
      <w:bookmarkEnd w:id="840"/>
      <w:bookmarkEnd w:id="841"/>
      <w:bookmarkEnd w:id="842"/>
      <w:bookmarkEnd w:id="843"/>
      <w:bookmarkEnd w:id="844"/>
      <w:bookmarkEnd w:id="845"/>
    </w:p>
    <w:p w14:paraId="7DB8A89F" w14:textId="5760F33F" w:rsidR="00A16DDB" w:rsidRPr="00D95127" w:rsidRDefault="00A16DDB" w:rsidP="007F5D36">
      <w:pPr>
        <w:pStyle w:val="UZEIOdrky"/>
      </w:pPr>
      <w:r w:rsidRPr="00D95127">
        <w:t>Pokles stavů dojených krav je závažný problém. Kravské mléko představuje jednu z klíčových komodit českého zemědělství. Podle předběžných údajů Souhrnného zemědělského účtu se výroba mléka podílela v roce 2020 celkem 20,0 % na celkové zemědělské produkci, za což ji hned po obilovinách (24,0 %) patřilo druhé nejvýznamnější místo.</w:t>
      </w:r>
    </w:p>
    <w:p w14:paraId="3029C796" w14:textId="77777777" w:rsidR="00A16DDB" w:rsidRPr="00D95127" w:rsidRDefault="00A16DDB" w:rsidP="007F5D36">
      <w:pPr>
        <w:pStyle w:val="UZEIOdrky"/>
      </w:pPr>
      <w:r w:rsidRPr="00D95127">
        <w:t>Vzhledem k vysoké kapitálové náročnosti, vysokým nárokům na kvalifikaci pracovní síly a dlouhodobý produkční interval je na řešení problémů zapotřebí dlouhý časový interval a řešení očekávaných problémů by tedy měla přicházet v dostatečném předstihu.</w:t>
      </w:r>
    </w:p>
    <w:p w14:paraId="4DDA87A7" w14:textId="77777777" w:rsidR="00A16DDB" w:rsidRPr="00D95127" w:rsidRDefault="00A16DDB" w:rsidP="007F5D36">
      <w:pPr>
        <w:pStyle w:val="UZEIOdrky"/>
      </w:pPr>
      <w:r w:rsidRPr="00D95127">
        <w:t>Udržení chovu dojnic je velmi důležité pro zajištění zaměstnanosti a produkce chlévské mrvy pro zajištění půdní úrodnosti. Sektor produkce mléka váže přibližně 19 500 zemědělských pracovníků, tj. podílí se na celkové zemědělské zaměstnanosti z 18,6 %, což je absolutně nejvyšší podíl. Spolu s chovem ostatního skotu spojeného s produkcí mléka spoluvytváří pracovní místa celkem pro 31 tis. pracovníků s podílem na celkové zaměstnanosti 30 %.</w:t>
      </w:r>
    </w:p>
    <w:p w14:paraId="12790BF7" w14:textId="77777777" w:rsidR="007F5D36" w:rsidRDefault="007F5D36">
      <w:pPr>
        <w:spacing w:after="160" w:line="259" w:lineRule="auto"/>
        <w:jc w:val="left"/>
        <w:rPr>
          <w:rFonts w:eastAsiaTheme="majorEastAsia" w:cs="Times New Roman"/>
          <w:b/>
          <w:bCs/>
          <w:sz w:val="28"/>
          <w:szCs w:val="32"/>
          <w:lang w:val="cs-CZ"/>
        </w:rPr>
      </w:pPr>
      <w:bookmarkStart w:id="846" w:name="_Toc23509902"/>
      <w:bookmarkStart w:id="847" w:name="_Toc76137436"/>
      <w:bookmarkStart w:id="848" w:name="_Toc76637635"/>
      <w:bookmarkStart w:id="849" w:name="_Toc80953324"/>
      <w:r>
        <w:br w:type="page"/>
      </w:r>
    </w:p>
    <w:p w14:paraId="5392FA6B" w14:textId="53161D90" w:rsidR="00A16DDB" w:rsidRPr="00D95127" w:rsidRDefault="00A16DDB" w:rsidP="007F5D36">
      <w:pPr>
        <w:pStyle w:val="Nadpis1"/>
      </w:pPr>
      <w:bookmarkStart w:id="850" w:name="_Toc81739277"/>
      <w:r w:rsidRPr="00D95127">
        <w:t>Míra stávajícího řešení problému</w:t>
      </w:r>
      <w:bookmarkEnd w:id="846"/>
      <w:bookmarkEnd w:id="847"/>
      <w:bookmarkEnd w:id="848"/>
      <w:bookmarkEnd w:id="849"/>
      <w:bookmarkEnd w:id="850"/>
    </w:p>
    <w:p w14:paraId="489DB22A" w14:textId="77777777" w:rsidR="00A16DDB" w:rsidRPr="00D95127" w:rsidRDefault="00A16DDB" w:rsidP="007F5D36">
      <w:pPr>
        <w:pStyle w:val="Nadpis2"/>
      </w:pPr>
      <w:bookmarkStart w:id="851" w:name="_Toc15304085"/>
      <w:bookmarkStart w:id="852" w:name="_Toc23509903"/>
      <w:bookmarkStart w:id="853" w:name="_Toc76137437"/>
      <w:bookmarkStart w:id="854" w:name="_Toc76637636"/>
      <w:bookmarkStart w:id="855" w:name="_Toc80953325"/>
      <w:bookmarkStart w:id="856" w:name="_Toc81739278"/>
      <w:r w:rsidRPr="00D95127">
        <w:t>Míra řešení ve stávající SZP (úspěšnost/neúspěšnost)</w:t>
      </w:r>
      <w:bookmarkEnd w:id="851"/>
      <w:bookmarkEnd w:id="852"/>
      <w:bookmarkEnd w:id="853"/>
      <w:bookmarkEnd w:id="854"/>
      <w:bookmarkEnd w:id="855"/>
      <w:bookmarkEnd w:id="856"/>
    </w:p>
    <w:p w14:paraId="64C8C02F" w14:textId="3D60A9B4" w:rsidR="00A16DDB" w:rsidRPr="00D95127" w:rsidRDefault="00A16DDB" w:rsidP="007F5D36">
      <w:pPr>
        <w:rPr>
          <w:rFonts w:cs="Times New Roman"/>
          <w:szCs w:val="24"/>
          <w:lang w:val="cs-CZ"/>
        </w:rPr>
      </w:pPr>
      <w:r w:rsidRPr="00D95127">
        <w:rPr>
          <w:rFonts w:cs="Times New Roman"/>
          <w:szCs w:val="24"/>
          <w:u w:val="single"/>
          <w:lang w:val="cs-CZ"/>
        </w:rPr>
        <w:t xml:space="preserve">Na straně příjmů zemědělců je s ohledem na význam odvětví, jeho specifika a značnou volatilitu cen, odvětví mléka mimo plošných podpor saturováno řadou podpor cílených přímo do odvětví, a to z prostředků EU i z národních zdrojů. </w:t>
      </w:r>
      <w:r w:rsidRPr="00D95127">
        <w:rPr>
          <w:rFonts w:cs="Times New Roman"/>
          <w:szCs w:val="24"/>
          <w:lang w:val="cs-CZ"/>
        </w:rPr>
        <w:t xml:space="preserve">V souladu se strategií podpory živočišné výroby je vyplácena dobrovolná podpora vázaná na produkci (VCS). Nadále jsou vypláceny přechodné vnitrostátní podpory na chov přežvýkavců. Chovatelé, kteří se v souladu s NV č. 74/2015 Sb., účastnili opatření PRV na zlepšení dobrých životních podmínek zvířat, obdrželi v roce 2020 kompenzační platbu v celkové částce 629,0 mil. Kč. V důsledku značného poklesu cen v letech 2015 a 2016 byly z iniciativy EK k podpoře odvětví využity mechanismy SOT, které umožňují zavést mimořádná opatření na podporu sektoru. Byly tak vypsány mimořádné podpory chovatelům dojnic ve dvou balíčcích. Na základě nařízení vlády 366/2015 byla stanovena mimořádná podpora na chov krav chovaných v systému s tržní produkcí mléka (tzv. první balíček). Na základě nařízení vlády 365/2016 byla stanovena mimořádná podpora na přizpůsobení pro producenty mléka a zemědělce v dalších odvětvích živočišné výroby (tzv. druhý balíček). </w:t>
      </w:r>
    </w:p>
    <w:p w14:paraId="0481BD7E" w14:textId="7BADBA19" w:rsidR="00A16DDB" w:rsidRPr="00D95127" w:rsidRDefault="00A16DDB" w:rsidP="007F5D36">
      <w:pPr>
        <w:pStyle w:val="UZEIGraf"/>
      </w:pPr>
      <w:bookmarkStart w:id="857" w:name="_Toc81738822"/>
      <w:r w:rsidRPr="00D95127">
        <w:t>Vývoj struktury provozních podpor u komodity mléko</w:t>
      </w:r>
      <w:bookmarkEnd w:id="857"/>
    </w:p>
    <w:p w14:paraId="004F4C44" w14:textId="77777777" w:rsidR="00A16DDB" w:rsidRPr="00D95127" w:rsidRDefault="00A16DDB" w:rsidP="00A16DDB">
      <w:pPr>
        <w:rPr>
          <w:rFonts w:cs="Times New Roman"/>
          <w:lang w:val="cs-CZ" w:eastAsia="cs-CZ"/>
        </w:rPr>
      </w:pPr>
      <w:r w:rsidRPr="00D95127">
        <w:rPr>
          <w:rFonts w:cs="Times New Roman"/>
          <w:noProof/>
          <w:lang w:val="cs-CZ" w:eastAsia="cs-CZ"/>
        </w:rPr>
        <w:drawing>
          <wp:inline distT="0" distB="0" distL="0" distR="0" wp14:anchorId="08E73E96" wp14:editId="2A58B7A4">
            <wp:extent cx="6076950" cy="5648325"/>
            <wp:effectExtent l="0" t="0" r="0" b="9525"/>
            <wp:docPr id="148" name="Obrázek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076950" cy="5648325"/>
                    </a:xfrm>
                    <a:prstGeom prst="rect">
                      <a:avLst/>
                    </a:prstGeom>
                    <a:noFill/>
                  </pic:spPr>
                </pic:pic>
              </a:graphicData>
            </a:graphic>
          </wp:inline>
        </w:drawing>
      </w:r>
    </w:p>
    <w:p w14:paraId="7D2D76BC" w14:textId="77777777" w:rsidR="00A16DDB" w:rsidRPr="00D95127" w:rsidRDefault="00A16DDB" w:rsidP="007F5D36">
      <w:pPr>
        <w:pStyle w:val="UZEIZdroj"/>
      </w:pPr>
      <w:r w:rsidRPr="00D95127">
        <w:t>Zdroj: vlastní výpočty ÚZEI</w:t>
      </w:r>
    </w:p>
    <w:p w14:paraId="543106AE" w14:textId="77777777" w:rsidR="00A16DDB" w:rsidRPr="007F5D36" w:rsidRDefault="00A16DDB" w:rsidP="007F5D36">
      <w:pPr>
        <w:pStyle w:val="UZEINormaln"/>
      </w:pPr>
      <w:r w:rsidRPr="007F5D36">
        <w:t xml:space="preserve">Z přehledu plateb je zřejmé, že cílená podpora (VCS) na dojnice nabývala zejména v letech 2014 a 2015 na významu. Po platbě SAPS se v přepočtu na dojnici jedná o nejvýznamnější podporu. Její přínos lze pozitivně hodnotit, zejména s ohledem na výrazně volatilní a neočekávatelný vývoj CZV mléka, jako podporu stability příjmu se všemi souvisejícími efekty (lepší podmínky pro plánování investic, udržení pracovních míst, efekty v kvalitě půdy apod.). </w:t>
      </w:r>
    </w:p>
    <w:p w14:paraId="77DA1727" w14:textId="77777777" w:rsidR="00A16DDB" w:rsidRPr="007F5D36" w:rsidRDefault="00A16DDB" w:rsidP="007F5D36">
      <w:pPr>
        <w:pStyle w:val="UZEINormaln"/>
      </w:pPr>
      <w:r w:rsidRPr="007F5D36">
        <w:t>Nákladová složka výroby mléka na úrovni zemědělského podniku je ovlivněna hojným využíváním investičních dotačních titulů. Jak je vyčísleno v souhrnné části, investiční podpory do odvětví mléka v letech 2016 až 2018 dosáhly 13,7 % celkových investičních dotací do zemědělství. Na jedné straně se lze domnívat, že takto směrované podpory zvýší technickou efektivnost odvětví, nicméně zvyšují se tak nejen celkové finanční náklady, ale snižuje se disponibilita volného kapitálu se všemi důsledky do odolnosti podniků vůči krizím.</w:t>
      </w:r>
    </w:p>
    <w:p w14:paraId="04B71A20" w14:textId="77777777" w:rsidR="00A16DDB" w:rsidRPr="00D95127" w:rsidRDefault="00A16DDB" w:rsidP="007F5D36">
      <w:pPr>
        <w:pStyle w:val="UZEINormaln"/>
        <w:rPr>
          <w:bCs/>
        </w:rPr>
      </w:pPr>
      <w:r w:rsidRPr="007F5D36">
        <w:t xml:space="preserve">Řešení problému ve vertikále je popsáno v podkladové analýze specifického cíle C Zlepšení pozice zemědělců v hodnotovém řetězci. </w:t>
      </w:r>
      <w:r w:rsidRPr="007F5D36">
        <w:rPr>
          <w:bCs/>
        </w:rPr>
        <w:t>V odvětví mléka je několik málo velkých organizací producentů, které zlepšují pozici zemědělců vůči zpracovatelům. Společná organizace trhů umožňuje specifické režimy pro sdružování zemědělců a dává možnost překračovat národní limity pro koncentraci vyjednávaného množství produkce jedním subjektem až do výše 33 % národní produkce. Řešení negativních efektů koncentrace maloobchodu formou podpory krátkých dodavatelských řetězců má zatím marginální význam, zejména z důvodu okrajového využívání dotačního titulu.</w:t>
      </w:r>
    </w:p>
    <w:p w14:paraId="7F71E0EA" w14:textId="4107CAFF" w:rsidR="00A16DDB" w:rsidRPr="00D95127" w:rsidRDefault="00A16DDB" w:rsidP="007F5D36">
      <w:pPr>
        <w:pStyle w:val="UZEITaB"/>
      </w:pPr>
      <w:bookmarkStart w:id="858" w:name="_Toc81738524"/>
      <w:r w:rsidRPr="00D95127">
        <w:t>Ekonomika produkce mléka v letech 2018 až 2020 s výhledem do roku 2030</w:t>
      </w:r>
      <w:bookmarkEnd w:id="858"/>
      <w:r w:rsidRPr="00D95127">
        <w:t xml:space="preserve"> </w:t>
      </w:r>
    </w:p>
    <w:p w14:paraId="4ECE600D" w14:textId="77777777" w:rsidR="00A16DDB" w:rsidRPr="00D95127" w:rsidRDefault="00A16DDB" w:rsidP="00A16DDB">
      <w:pPr>
        <w:keepNext/>
        <w:rPr>
          <w:rFonts w:cs="Times New Roman"/>
          <w:szCs w:val="24"/>
          <w:u w:val="single"/>
          <w:lang w:val="cs-CZ"/>
        </w:rPr>
      </w:pPr>
      <w:r w:rsidRPr="00D95127">
        <w:rPr>
          <w:rFonts w:cs="Times New Roman"/>
          <w:noProof/>
          <w:lang w:val="cs-CZ"/>
        </w:rPr>
        <w:drawing>
          <wp:inline distT="0" distB="0" distL="0" distR="0" wp14:anchorId="2889DC6E" wp14:editId="4BDA373C">
            <wp:extent cx="5759450" cy="1324610"/>
            <wp:effectExtent l="0" t="0" r="0" b="889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759450" cy="1324610"/>
                    </a:xfrm>
                    <a:prstGeom prst="rect">
                      <a:avLst/>
                    </a:prstGeom>
                    <a:noFill/>
                    <a:ln>
                      <a:noFill/>
                    </a:ln>
                  </pic:spPr>
                </pic:pic>
              </a:graphicData>
            </a:graphic>
          </wp:inline>
        </w:drawing>
      </w:r>
    </w:p>
    <w:p w14:paraId="5E47B40E" w14:textId="77777777" w:rsidR="00A16DDB" w:rsidRPr="00D95127" w:rsidRDefault="00A16DDB" w:rsidP="00A16DDB">
      <w:pPr>
        <w:keepNext/>
        <w:rPr>
          <w:rFonts w:cs="Times New Roman"/>
          <w:i/>
          <w:sz w:val="20"/>
          <w:szCs w:val="20"/>
          <w:lang w:val="cs-CZ"/>
        </w:rPr>
      </w:pPr>
      <w:r w:rsidRPr="00D95127">
        <w:rPr>
          <w:rFonts w:cs="Times New Roman"/>
          <w:i/>
          <w:sz w:val="20"/>
          <w:szCs w:val="20"/>
          <w:lang w:val="cs-CZ"/>
        </w:rPr>
        <w:t>Zdroj: Výběrové šetření nákladů a výnosů vybraných zemědělských komodit ÚZEI, vlastní výpočty</w:t>
      </w:r>
    </w:p>
    <w:p w14:paraId="7FD3550C" w14:textId="77777777" w:rsidR="00A16DDB" w:rsidRPr="00D95127" w:rsidRDefault="00A16DDB" w:rsidP="00A16DDB">
      <w:pPr>
        <w:keepNext/>
        <w:rPr>
          <w:rFonts w:cs="Times New Roman"/>
          <w:i/>
          <w:sz w:val="20"/>
          <w:szCs w:val="20"/>
          <w:lang w:val="cs-CZ"/>
        </w:rPr>
      </w:pPr>
      <w:r w:rsidRPr="00D95127">
        <w:rPr>
          <w:rFonts w:cs="Times New Roman"/>
          <w:i/>
          <w:sz w:val="20"/>
          <w:szCs w:val="20"/>
          <w:lang w:val="cs-CZ"/>
        </w:rPr>
        <w:t>Pozn.: Způsob provedení predikce je uveden v příloze I.</w:t>
      </w:r>
    </w:p>
    <w:p w14:paraId="6972B700" w14:textId="77777777" w:rsidR="00A16DDB" w:rsidRPr="00D95127" w:rsidRDefault="00A16DDB" w:rsidP="00A16DDB">
      <w:pPr>
        <w:keepNext/>
        <w:rPr>
          <w:rFonts w:cs="Times New Roman"/>
          <w:i/>
          <w:sz w:val="20"/>
          <w:szCs w:val="20"/>
          <w:lang w:val="cs-CZ"/>
        </w:rPr>
      </w:pPr>
    </w:p>
    <w:p w14:paraId="601D2107" w14:textId="118C3806" w:rsidR="00A16DDB" w:rsidRPr="007F5D36" w:rsidRDefault="00A16DDB" w:rsidP="007F5D36">
      <w:pPr>
        <w:pStyle w:val="UZEINormaln"/>
      </w:pPr>
      <w:r w:rsidRPr="00D95127">
        <w:t>Výhled ekonomiky předpokládá nárůst nákladů na základě odhadnutého trendu a současně se počítá s růstem nákladů a mírným růstem průměrné CZV mléka.</w:t>
      </w:r>
    </w:p>
    <w:p w14:paraId="588902DA" w14:textId="77777777" w:rsidR="00A16DDB" w:rsidRPr="00D95127" w:rsidRDefault="00A16DDB" w:rsidP="007F5D36">
      <w:pPr>
        <w:pStyle w:val="Nadpis2"/>
      </w:pPr>
      <w:bookmarkStart w:id="859" w:name="_Toc15304086"/>
      <w:bookmarkStart w:id="860" w:name="_Toc23509904"/>
      <w:bookmarkStart w:id="861" w:name="_Toc76137438"/>
      <w:bookmarkStart w:id="862" w:name="_Toc76637637"/>
      <w:bookmarkStart w:id="863" w:name="_Toc80953326"/>
      <w:bookmarkStart w:id="864" w:name="_Toc81739279"/>
      <w:r w:rsidRPr="00D95127">
        <w:t>Míra současného řešení problému jinými politikami</w:t>
      </w:r>
      <w:bookmarkEnd w:id="859"/>
      <w:bookmarkEnd w:id="860"/>
      <w:bookmarkEnd w:id="861"/>
      <w:bookmarkEnd w:id="862"/>
      <w:bookmarkEnd w:id="863"/>
      <w:bookmarkEnd w:id="864"/>
    </w:p>
    <w:p w14:paraId="1B3F41F6" w14:textId="77777777" w:rsidR="00A16DDB" w:rsidRPr="00D95127" w:rsidRDefault="00A16DDB" w:rsidP="007F5D36">
      <w:pPr>
        <w:pStyle w:val="UZEINormaln"/>
      </w:pPr>
      <w:r w:rsidRPr="00D95127">
        <w:t>Příjmové podpory do odvětví chovu mléčného skotu v rámci SZP jsou doplněny podporami provozního nebo investičního charakteru z národních zdrojů buď v podobně dlouhodobých programů nebo mimořádných plateb. Vzhledem k výkyvům povětrnostních podmínek (nedostatek srážek) byla v letech 2015-2018 vyplacená mimořádná podpora na zmírnění škod způsobených suchem (nepřímá kompenzace na krmiva). Mezi další pravidelně vyplácené provozní podpory, které jsou méně významné z hlediska jejich výše, patří podpora pojištění zvířat a rovněž prostřednictvím krmiv podpora pojištění RV a dále vratka zelené nafty pro RV (krmiva) i pro ŽV (na VDJ).</w:t>
      </w:r>
    </w:p>
    <w:p w14:paraId="64D228E5" w14:textId="77777777" w:rsidR="00A16DDB" w:rsidRPr="00D95127" w:rsidRDefault="00A16DDB" w:rsidP="007F5D36">
      <w:pPr>
        <w:pStyle w:val="UZEINormaln"/>
      </w:pPr>
      <w:r w:rsidRPr="00D95127">
        <w:t>Současně byly vypláceny i další podpory z národních zdrojů v rámci „Zásad“ a dalších nepřímé podpory. Na dojnice směřoval dotační titul 19 „Podpora producentům a zpracovatelům mléka na částečnou úhradu nákladů spojených s dobrovolným zapojením do režimu jakosti Q CZ“ a dotační titul 20 „Zlepšení životních podmínek v chovu hospodářských zvířat“ v rámci „Zásad“. Obě zmíněné dotace byly poskytovány na základě pokynů Evropské unie ke státní podpoře v odvětvích zemědělství a lesnictví a ve venkovských oblastech na období 2014 až 2020, část I kapitola 3.4 bod 71.</w:t>
      </w:r>
    </w:p>
    <w:p w14:paraId="6D77D1AC" w14:textId="77777777" w:rsidR="00A16DDB" w:rsidRPr="00D95127" w:rsidRDefault="00A16DDB" w:rsidP="007F5D36">
      <w:pPr>
        <w:pStyle w:val="UZEINormaln"/>
      </w:pPr>
      <w:r w:rsidRPr="00D95127">
        <w:t>V celkové struktuře plateb, které čerpá odvětví mléka, převažují nárokové platby. Podmíněné platby (DŽPZ, národní tituly 19 a 20, AEKO a podpora pojištění) mají na celkových podporách minoritní podíl. V roce 2020 se jednalo o 20,1 %.</w:t>
      </w:r>
    </w:p>
    <w:p w14:paraId="28B3B6B0" w14:textId="77777777" w:rsidR="00A16DDB" w:rsidRPr="00D95127" w:rsidRDefault="00A16DDB" w:rsidP="00A16DDB">
      <w:pPr>
        <w:pStyle w:val="Odstavecseseznamem"/>
        <w:ind w:left="0" w:firstLine="709"/>
        <w:rPr>
          <w:lang w:eastAsia="cs-CZ"/>
        </w:rPr>
      </w:pPr>
    </w:p>
    <w:p w14:paraId="0BFCA083" w14:textId="77777777" w:rsidR="007F5D36" w:rsidRDefault="007F5D36">
      <w:pPr>
        <w:spacing w:after="160" w:line="259" w:lineRule="auto"/>
        <w:jc w:val="left"/>
        <w:rPr>
          <w:rFonts w:eastAsiaTheme="majorEastAsia" w:cs="Times New Roman"/>
          <w:b/>
          <w:bCs/>
          <w:sz w:val="28"/>
          <w:szCs w:val="32"/>
          <w:lang w:val="cs-CZ"/>
        </w:rPr>
      </w:pPr>
      <w:bookmarkStart w:id="865" w:name="_Toc15304087"/>
      <w:bookmarkStart w:id="866" w:name="_Toc23509905"/>
      <w:bookmarkStart w:id="867" w:name="_Toc76137439"/>
      <w:bookmarkStart w:id="868" w:name="_Toc76637638"/>
      <w:bookmarkStart w:id="869" w:name="_Toc80953327"/>
      <w:r>
        <w:br w:type="page"/>
      </w:r>
    </w:p>
    <w:p w14:paraId="31E8FD8F" w14:textId="1C72604F" w:rsidR="00A16DDB" w:rsidRPr="007F5D36" w:rsidRDefault="00A16DDB" w:rsidP="00A16DDB">
      <w:pPr>
        <w:pStyle w:val="Nadpis1"/>
      </w:pPr>
      <w:bookmarkStart w:id="870" w:name="_Toc81739280"/>
      <w:r w:rsidRPr="00D95127">
        <w:t>E</w:t>
      </w:r>
      <w:bookmarkEnd w:id="865"/>
      <w:r w:rsidRPr="00D95127">
        <w:t>xistence/neexistence možnosti efektivního řešení v rámci nástrojů SZP, které lze uvažovat v nových návrzích SZP</w:t>
      </w:r>
      <w:bookmarkEnd w:id="866"/>
      <w:bookmarkEnd w:id="867"/>
      <w:bookmarkEnd w:id="868"/>
      <w:bookmarkEnd w:id="869"/>
      <w:bookmarkEnd w:id="870"/>
    </w:p>
    <w:p w14:paraId="6D3AE3AF" w14:textId="77777777" w:rsidR="006E6AE7" w:rsidRDefault="00A16DDB" w:rsidP="007F5D36">
      <w:pPr>
        <w:pStyle w:val="UZEINormaln"/>
        <w:sectPr w:rsidR="006E6AE7" w:rsidSect="00C82CBD">
          <w:headerReference w:type="default" r:id="rId159"/>
          <w:footerReference w:type="default" r:id="rId160"/>
          <w:pgSz w:w="11906" w:h="16838"/>
          <w:pgMar w:top="1418" w:right="1418" w:bottom="1418" w:left="1418" w:header="709" w:footer="709" w:gutter="0"/>
          <w:cols w:space="708"/>
          <w:docGrid w:linePitch="360"/>
        </w:sectPr>
      </w:pPr>
      <w:bookmarkStart w:id="871" w:name="_Ref23836043"/>
      <w:r w:rsidRPr="00D95127">
        <w:t>Možnosti řešení problémů odvětví konkrétními vybranými nástroji SZP jsou uvedeny v přehledové tabulce (</w:t>
      </w:r>
      <w:r w:rsidR="006E6AE7">
        <w:fldChar w:fldCharType="begin"/>
      </w:r>
      <w:r w:rsidR="006E6AE7">
        <w:instrText xml:space="preserve"> REF _Ref81728059 \r \h </w:instrText>
      </w:r>
      <w:r w:rsidR="006E6AE7">
        <w:fldChar w:fldCharType="separate"/>
      </w:r>
      <w:r w:rsidR="006E6AE7">
        <w:t>Tabulka 97</w:t>
      </w:r>
      <w:r w:rsidR="006E6AE7">
        <w:fldChar w:fldCharType="end"/>
      </w:r>
      <w:r w:rsidRPr="00D95127">
        <w:t>). Řešení jsou uvedena vždy ve vztahu ke konkrétním problémům.</w:t>
      </w:r>
    </w:p>
    <w:bookmarkEnd w:id="871"/>
    <w:p w14:paraId="4572DD85" w14:textId="4D6A663B" w:rsidR="00A16DDB" w:rsidRPr="00D95127" w:rsidRDefault="007F5D36" w:rsidP="007F5D36">
      <w:pPr>
        <w:pStyle w:val="UZEITaB"/>
      </w:pPr>
      <w:r>
        <w:t xml:space="preserve"> </w:t>
      </w:r>
      <w:bookmarkStart w:id="872" w:name="_Ref81728059"/>
      <w:bookmarkStart w:id="873" w:name="_Toc81738525"/>
      <w:r w:rsidR="00A16DDB" w:rsidRPr="00D95127">
        <w:t>Teorie změny - mléko</w:t>
      </w:r>
      <w:bookmarkEnd w:id="872"/>
      <w:bookmarkEnd w:id="873"/>
    </w:p>
    <w:p w14:paraId="62A916EC" w14:textId="2C6733DB" w:rsidR="00A16DDB" w:rsidRDefault="00A16DDB" w:rsidP="00A16DDB">
      <w:pPr>
        <w:rPr>
          <w:rFonts w:cs="Times New Roman"/>
          <w:szCs w:val="24"/>
          <w:u w:val="single"/>
          <w:lang w:val="cs-CZ"/>
        </w:rPr>
      </w:pPr>
      <w:r w:rsidRPr="00D95127">
        <w:rPr>
          <w:rFonts w:cs="Times New Roman"/>
          <w:noProof/>
          <w:lang w:val="cs-CZ"/>
        </w:rPr>
        <w:drawing>
          <wp:inline distT="0" distB="0" distL="0" distR="0" wp14:anchorId="0D85D962" wp14:editId="62F13D3F">
            <wp:extent cx="8298873" cy="5072652"/>
            <wp:effectExtent l="0" t="0" r="6985" b="0"/>
            <wp:docPr id="324" name="Obrázek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8312786" cy="5081156"/>
                    </a:xfrm>
                    <a:prstGeom prst="rect">
                      <a:avLst/>
                    </a:prstGeom>
                    <a:noFill/>
                    <a:ln>
                      <a:noFill/>
                    </a:ln>
                  </pic:spPr>
                </pic:pic>
              </a:graphicData>
            </a:graphic>
          </wp:inline>
        </w:drawing>
      </w:r>
    </w:p>
    <w:p w14:paraId="0E3D1780" w14:textId="58BB5327" w:rsidR="008E56F9" w:rsidRDefault="008E56F9" w:rsidP="00A16DDB">
      <w:pPr>
        <w:rPr>
          <w:rFonts w:cs="Times New Roman"/>
          <w:szCs w:val="24"/>
          <w:u w:val="single"/>
          <w:lang w:val="cs-CZ"/>
        </w:rPr>
      </w:pPr>
    </w:p>
    <w:p w14:paraId="2571EE37" w14:textId="1ECC6ECD" w:rsidR="008E56F9" w:rsidRDefault="008E56F9" w:rsidP="00A16DDB">
      <w:pPr>
        <w:rPr>
          <w:rFonts w:cs="Times New Roman"/>
          <w:szCs w:val="24"/>
          <w:u w:val="single"/>
          <w:lang w:val="cs-CZ"/>
        </w:rPr>
      </w:pPr>
    </w:p>
    <w:p w14:paraId="23C37881" w14:textId="1CF2B206" w:rsidR="008E56F9" w:rsidRDefault="008E56F9" w:rsidP="00A16DDB">
      <w:pPr>
        <w:rPr>
          <w:rFonts w:cs="Times New Roman"/>
          <w:szCs w:val="24"/>
          <w:u w:val="single"/>
          <w:lang w:val="cs-CZ"/>
        </w:rPr>
      </w:pPr>
    </w:p>
    <w:p w14:paraId="25A45CC2" w14:textId="64194F83" w:rsidR="008E56F9" w:rsidRPr="008E56F9" w:rsidRDefault="008E56F9" w:rsidP="00A16DDB">
      <w:pPr>
        <w:rPr>
          <w:rFonts w:cs="Times New Roman"/>
          <w:szCs w:val="24"/>
          <w:lang w:val="cs-CZ"/>
        </w:rPr>
      </w:pPr>
      <w:r w:rsidRPr="008E56F9">
        <w:rPr>
          <w:rFonts w:cs="Times New Roman"/>
          <w:szCs w:val="24"/>
          <w:lang w:val="cs-CZ"/>
        </w:rPr>
        <w:t>Možnos</w:t>
      </w:r>
      <w:r>
        <w:rPr>
          <w:rFonts w:cs="Times New Roman"/>
          <w:szCs w:val="24"/>
          <w:lang w:val="cs-CZ"/>
        </w:rPr>
        <w:t>to řešení problémů odvětví konkrétními vybranými nástroji SZP jsou uvedeny v přehledové tabulce 97. Řešení jsou uvedena vždy ve vztahu ke konkrétním problémům.</w:t>
      </w:r>
    </w:p>
    <w:p w14:paraId="29A32FC5" w14:textId="38682D00" w:rsidR="00A16DDB" w:rsidRPr="008E56F9" w:rsidRDefault="008E56F9" w:rsidP="008E56F9">
      <w:pPr>
        <w:pStyle w:val="UZEINormaln"/>
        <w:rPr>
          <w:b/>
          <w:bCs/>
          <w:sz w:val="20"/>
          <w:szCs w:val="20"/>
        </w:rPr>
      </w:pPr>
      <w:r w:rsidRPr="008E56F9">
        <w:rPr>
          <w:b/>
          <w:bCs/>
          <w:sz w:val="20"/>
          <w:szCs w:val="20"/>
        </w:rPr>
        <w:t xml:space="preserve">Tabulka 97 </w:t>
      </w:r>
      <w:r w:rsidR="00A16DDB" w:rsidRPr="008E56F9">
        <w:rPr>
          <w:b/>
          <w:bCs/>
          <w:sz w:val="20"/>
          <w:szCs w:val="20"/>
        </w:rPr>
        <w:t>Teorie změny - mléko - pokračování tabulky</w:t>
      </w:r>
    </w:p>
    <w:p w14:paraId="746C56D4" w14:textId="77777777" w:rsidR="00A16DDB" w:rsidRPr="00D95127" w:rsidRDefault="00A16DDB" w:rsidP="00A16DDB">
      <w:pPr>
        <w:rPr>
          <w:rFonts w:cs="Times New Roman"/>
          <w:szCs w:val="24"/>
          <w:u w:val="single"/>
          <w:lang w:val="cs-CZ"/>
        </w:rPr>
      </w:pPr>
      <w:r w:rsidRPr="00D95127">
        <w:rPr>
          <w:rFonts w:cs="Times New Roman"/>
          <w:noProof/>
          <w:lang w:val="cs-CZ"/>
        </w:rPr>
        <w:drawing>
          <wp:inline distT="0" distB="0" distL="0" distR="0" wp14:anchorId="5BC78003" wp14:editId="0F86E309">
            <wp:extent cx="8299682" cy="3255818"/>
            <wp:effectExtent l="0" t="0" r="6350" b="1905"/>
            <wp:docPr id="325" name="Obrázek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8312237" cy="3260743"/>
                    </a:xfrm>
                    <a:prstGeom prst="rect">
                      <a:avLst/>
                    </a:prstGeom>
                    <a:noFill/>
                    <a:ln>
                      <a:noFill/>
                    </a:ln>
                  </pic:spPr>
                </pic:pic>
              </a:graphicData>
            </a:graphic>
          </wp:inline>
        </w:drawing>
      </w:r>
    </w:p>
    <w:p w14:paraId="7B4C010B" w14:textId="77777777" w:rsidR="00A16DDB" w:rsidRPr="00D95127" w:rsidRDefault="00A16DDB" w:rsidP="00A16DDB">
      <w:pPr>
        <w:spacing w:after="60"/>
        <w:ind w:left="709"/>
        <w:rPr>
          <w:rFonts w:cs="Times New Roman"/>
          <w:szCs w:val="24"/>
          <w:lang w:val="cs-CZ"/>
        </w:rPr>
        <w:sectPr w:rsidR="00A16DDB" w:rsidRPr="00D95127" w:rsidSect="00C82CBD">
          <w:headerReference w:type="default" r:id="rId163"/>
          <w:footerReference w:type="default" r:id="rId164"/>
          <w:pgSz w:w="16838" w:h="11906" w:orient="landscape"/>
          <w:pgMar w:top="1418" w:right="1418" w:bottom="1418" w:left="1418" w:header="709" w:footer="709" w:gutter="0"/>
          <w:cols w:space="708"/>
          <w:docGrid w:linePitch="360"/>
        </w:sectPr>
      </w:pPr>
    </w:p>
    <w:p w14:paraId="2DD0F0EB" w14:textId="77777777" w:rsidR="00A16DDB" w:rsidRPr="00D95127" w:rsidRDefault="00A16DDB" w:rsidP="008E56F9">
      <w:pPr>
        <w:pStyle w:val="UZEINormaln"/>
        <w:rPr>
          <w:u w:val="single"/>
        </w:rPr>
      </w:pPr>
      <w:bookmarkStart w:id="874" w:name="_Toc15304088"/>
      <w:bookmarkStart w:id="875" w:name="_Toc23509906"/>
      <w:r w:rsidRPr="00D95127">
        <w:t>V následující tabulce jsou uvedeny investiční potřeby, pro které byla na základě požadavku MZe provedena dílčí kvantifikace</w:t>
      </w:r>
      <w:r w:rsidRPr="00D95127">
        <w:rPr>
          <w:u w:val="single"/>
        </w:rPr>
        <w:t>.</w:t>
      </w:r>
    </w:p>
    <w:p w14:paraId="43B72CD4" w14:textId="77777777" w:rsidR="00A16DDB" w:rsidRPr="00D95127" w:rsidRDefault="00A16DDB" w:rsidP="00A16DDB">
      <w:pPr>
        <w:keepNext/>
        <w:ind w:firstLine="708"/>
        <w:rPr>
          <w:rFonts w:cs="Times New Roman"/>
          <w:szCs w:val="24"/>
          <w:u w:val="single"/>
          <w:lang w:val="cs-CZ"/>
        </w:rPr>
      </w:pPr>
    </w:p>
    <w:p w14:paraId="653FA977" w14:textId="49B7EFD4" w:rsidR="00A16DDB" w:rsidRPr="00D95127" w:rsidRDefault="008E56F9" w:rsidP="008E56F9">
      <w:pPr>
        <w:pStyle w:val="UZEITaB"/>
      </w:pPr>
      <w:r>
        <w:t xml:space="preserve"> </w:t>
      </w:r>
      <w:bookmarkStart w:id="876" w:name="_Toc81738526"/>
      <w:r w:rsidR="00A16DDB" w:rsidRPr="00D95127">
        <w:t>Odhad investičních potřeb pro odvětví PRODUKCE MLÉKA na období let 2021-2027:</w:t>
      </w:r>
      <w:bookmarkEnd w:id="876"/>
    </w:p>
    <w:p w14:paraId="56551C03" w14:textId="77777777" w:rsidR="00A16DDB" w:rsidRPr="00D95127" w:rsidRDefault="00A16DDB" w:rsidP="00A16DDB">
      <w:pPr>
        <w:rPr>
          <w:rFonts w:cs="Times New Roman"/>
          <w:i/>
          <w:sz w:val="20"/>
          <w:lang w:val="cs-CZ"/>
        </w:rPr>
      </w:pPr>
      <w:r w:rsidRPr="00D95127">
        <w:rPr>
          <w:rFonts w:cs="Times New Roman"/>
          <w:noProof/>
          <w:lang w:val="cs-CZ"/>
        </w:rPr>
        <w:drawing>
          <wp:inline distT="0" distB="0" distL="0" distR="0" wp14:anchorId="44C091FB" wp14:editId="2AAD2F7D">
            <wp:extent cx="9648581" cy="1933575"/>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653985" cy="1934658"/>
                    </a:xfrm>
                    <a:prstGeom prst="rect">
                      <a:avLst/>
                    </a:prstGeom>
                    <a:noFill/>
                    <a:ln>
                      <a:noFill/>
                    </a:ln>
                  </pic:spPr>
                </pic:pic>
              </a:graphicData>
            </a:graphic>
          </wp:inline>
        </w:drawing>
      </w:r>
    </w:p>
    <w:p w14:paraId="1A207A81" w14:textId="77777777" w:rsidR="00A16DDB" w:rsidRPr="00D95127" w:rsidRDefault="00A16DDB" w:rsidP="008E56F9">
      <w:pPr>
        <w:pStyle w:val="UZEIZdroj"/>
      </w:pPr>
      <w:r w:rsidRPr="00D95127">
        <w:t>Zdroj: Expertní odhad</w:t>
      </w:r>
    </w:p>
    <w:p w14:paraId="6B08716A" w14:textId="77777777" w:rsidR="00A16DDB" w:rsidRPr="00D95127" w:rsidRDefault="00A16DDB" w:rsidP="00A16DDB">
      <w:pPr>
        <w:rPr>
          <w:rFonts w:cs="Times New Roman"/>
          <w:szCs w:val="24"/>
          <w:lang w:val="cs-CZ"/>
        </w:rPr>
      </w:pPr>
    </w:p>
    <w:p w14:paraId="3DF3E572" w14:textId="77777777" w:rsidR="00A16DDB" w:rsidRPr="00D95127" w:rsidRDefault="00A16DDB" w:rsidP="00A16DDB">
      <w:pPr>
        <w:rPr>
          <w:rFonts w:cs="Times New Roman"/>
          <w:szCs w:val="24"/>
          <w:lang w:val="cs-CZ"/>
        </w:rPr>
        <w:sectPr w:rsidR="00A16DDB" w:rsidRPr="00D95127" w:rsidSect="00C82CBD">
          <w:headerReference w:type="default" r:id="rId166"/>
          <w:footerReference w:type="default" r:id="rId167"/>
          <w:pgSz w:w="16838" w:h="11906" w:orient="landscape"/>
          <w:pgMar w:top="1418" w:right="1418" w:bottom="1418" w:left="1418" w:header="709" w:footer="709" w:gutter="0"/>
          <w:cols w:space="708"/>
          <w:docGrid w:linePitch="360"/>
        </w:sectPr>
      </w:pPr>
    </w:p>
    <w:p w14:paraId="50B61CA8" w14:textId="77777777" w:rsidR="00A16DDB" w:rsidRPr="00D95127" w:rsidRDefault="00A16DDB" w:rsidP="008E56F9">
      <w:pPr>
        <w:pStyle w:val="Nadpis1"/>
      </w:pPr>
      <w:bookmarkStart w:id="877" w:name="_Toc76137440"/>
      <w:bookmarkStart w:id="878" w:name="_Toc76637639"/>
      <w:bookmarkStart w:id="879" w:name="_Toc80953328"/>
      <w:bookmarkStart w:id="880" w:name="_Toc81739281"/>
      <w:r w:rsidRPr="00D95127">
        <w:t>SWOT analýza</w:t>
      </w:r>
      <w:bookmarkEnd w:id="874"/>
      <w:bookmarkEnd w:id="875"/>
      <w:bookmarkEnd w:id="877"/>
      <w:bookmarkEnd w:id="878"/>
      <w:bookmarkEnd w:id="879"/>
      <w:bookmarkEnd w:id="880"/>
    </w:p>
    <w:p w14:paraId="7576357D" w14:textId="77777777" w:rsidR="00A16DDB" w:rsidRPr="002B354C" w:rsidRDefault="00A16DDB" w:rsidP="002B354C">
      <w:pPr>
        <w:rPr>
          <w:rStyle w:val="Odkazintenzivn"/>
          <w:rFonts w:cs="Times New Roman"/>
          <w:caps/>
          <w:smallCaps w:val="0"/>
          <w:color w:val="auto"/>
          <w:szCs w:val="24"/>
          <w:lang w:val="cs-CZ"/>
        </w:rPr>
      </w:pPr>
      <w:r w:rsidRPr="002B354C">
        <w:rPr>
          <w:rStyle w:val="Odkazintenzivn"/>
          <w:rFonts w:cs="Times New Roman"/>
          <w:caps/>
          <w:smallCaps w:val="0"/>
          <w:color w:val="auto"/>
          <w:szCs w:val="24"/>
          <w:lang w:val="cs-CZ"/>
        </w:rPr>
        <w:t>Mléko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28"/>
        <w:gridCol w:w="4532"/>
      </w:tblGrid>
      <w:tr w:rsidR="00A16DDB" w:rsidRPr="00D95127" w14:paraId="4E7948EC" w14:textId="77777777" w:rsidTr="007A627A">
        <w:tc>
          <w:tcPr>
            <w:tcW w:w="4529" w:type="dxa"/>
            <w:shd w:val="clear" w:color="auto" w:fill="auto"/>
          </w:tcPr>
          <w:p w14:paraId="52EF0228" w14:textId="77777777" w:rsidR="00A16DDB" w:rsidRPr="00D95127" w:rsidRDefault="00A16DDB" w:rsidP="007A627A">
            <w:pPr>
              <w:jc w:val="center"/>
              <w:rPr>
                <w:rFonts w:cs="Times New Roman"/>
                <w:b/>
                <w:szCs w:val="24"/>
                <w:lang w:val="cs-CZ"/>
              </w:rPr>
            </w:pPr>
            <w:r w:rsidRPr="00D95127">
              <w:rPr>
                <w:rFonts w:cs="Times New Roman"/>
                <w:b/>
                <w:szCs w:val="24"/>
                <w:lang w:val="cs-CZ"/>
              </w:rPr>
              <w:t>Silné stránky</w:t>
            </w:r>
          </w:p>
        </w:tc>
        <w:tc>
          <w:tcPr>
            <w:tcW w:w="4533" w:type="dxa"/>
            <w:shd w:val="clear" w:color="auto" w:fill="auto"/>
          </w:tcPr>
          <w:p w14:paraId="36329B36" w14:textId="77777777" w:rsidR="00A16DDB" w:rsidRPr="00D95127" w:rsidRDefault="00A16DDB" w:rsidP="007A627A">
            <w:pPr>
              <w:jc w:val="center"/>
              <w:rPr>
                <w:rFonts w:cs="Times New Roman"/>
                <w:b/>
                <w:szCs w:val="24"/>
                <w:lang w:val="cs-CZ"/>
              </w:rPr>
            </w:pPr>
            <w:r w:rsidRPr="00D95127">
              <w:rPr>
                <w:rFonts w:cs="Times New Roman"/>
                <w:b/>
                <w:szCs w:val="24"/>
                <w:lang w:val="cs-CZ"/>
              </w:rPr>
              <w:t>Slabé stránky</w:t>
            </w:r>
          </w:p>
        </w:tc>
      </w:tr>
      <w:tr w:rsidR="00A16DDB" w:rsidRPr="00D95127" w14:paraId="652F73A6" w14:textId="77777777" w:rsidTr="007A627A">
        <w:tc>
          <w:tcPr>
            <w:tcW w:w="4529" w:type="dxa"/>
            <w:shd w:val="clear" w:color="auto" w:fill="auto"/>
          </w:tcPr>
          <w:p w14:paraId="1DEF6B90" w14:textId="60B9FBE6" w:rsidR="00A16DDB" w:rsidRPr="00D95127" w:rsidRDefault="002B354C" w:rsidP="002B354C">
            <w:pPr>
              <w:pStyle w:val="UZEIOdrky"/>
              <w:ind w:left="460" w:hanging="425"/>
            </w:pPr>
            <w:r>
              <w:t xml:space="preserve">S1: </w:t>
            </w:r>
            <w:r w:rsidR="00A16DDB" w:rsidRPr="00D95127">
              <w:t>Růst užitkovosti, podmíněný také vyspělými plemenářskými službami a činnostmi svazů chovatelů. Dobrý genetický potenciál.</w:t>
            </w:r>
          </w:p>
          <w:p w14:paraId="04FE4763" w14:textId="55031563" w:rsidR="00A16DDB" w:rsidRPr="00D95127" w:rsidRDefault="002B354C" w:rsidP="002B354C">
            <w:pPr>
              <w:pStyle w:val="UZEIOdrky"/>
              <w:ind w:left="460" w:hanging="425"/>
            </w:pPr>
            <w:r>
              <w:t xml:space="preserve">S2: </w:t>
            </w:r>
            <w:r w:rsidR="00A16DDB" w:rsidRPr="00D95127">
              <w:t>Kladné rentability i bez podpor dosahuje zhruba jedna třetina chovatelů.</w:t>
            </w:r>
          </w:p>
          <w:p w14:paraId="2A054CCD" w14:textId="7793F0D6" w:rsidR="00A16DDB" w:rsidRPr="00D95127" w:rsidRDefault="002B354C" w:rsidP="002B354C">
            <w:pPr>
              <w:pStyle w:val="UZEIOdrky"/>
              <w:ind w:left="460" w:hanging="425"/>
            </w:pPr>
            <w:r>
              <w:t xml:space="preserve">S3: </w:t>
            </w:r>
            <w:r w:rsidR="00A16DDB" w:rsidRPr="00D95127">
              <w:t>Nižší cena práce a půdy než v zemích EU 15.</w:t>
            </w:r>
          </w:p>
          <w:p w14:paraId="286011EA" w14:textId="6B222CB5" w:rsidR="00A16DDB" w:rsidRPr="00D95127" w:rsidRDefault="002B354C" w:rsidP="002B354C">
            <w:pPr>
              <w:pStyle w:val="UZEIOdrky"/>
              <w:ind w:left="460" w:hanging="425"/>
            </w:pPr>
            <w:r>
              <w:t xml:space="preserve">S4: </w:t>
            </w:r>
            <w:r w:rsidR="00A16DDB" w:rsidRPr="00D95127">
              <w:t>Převažující velkovýroba s využitím krmiv na o. p. většinou s moderními technologiemi i ve vztahu k pohodě zvířat.</w:t>
            </w:r>
          </w:p>
          <w:p w14:paraId="089C15C1" w14:textId="7CCEE6FD" w:rsidR="00A16DDB" w:rsidRPr="00D95127" w:rsidRDefault="002B354C" w:rsidP="002B354C">
            <w:pPr>
              <w:pStyle w:val="UZEIOdrky"/>
              <w:ind w:left="460" w:hanging="425"/>
            </w:pPr>
            <w:r>
              <w:t xml:space="preserve">S5: </w:t>
            </w:r>
            <w:r w:rsidR="00A16DDB" w:rsidRPr="00D95127">
              <w:t>Příspěvek k udržování kvality půdy a zaměstnanosti venkova.</w:t>
            </w:r>
          </w:p>
          <w:p w14:paraId="66FB351F" w14:textId="731A4EBA" w:rsidR="00A16DDB" w:rsidRPr="00D95127" w:rsidRDefault="002B354C" w:rsidP="002B354C">
            <w:pPr>
              <w:pStyle w:val="UZEIOdrky"/>
              <w:ind w:left="460" w:hanging="425"/>
            </w:pPr>
            <w:r>
              <w:t xml:space="preserve">S6: </w:t>
            </w:r>
            <w:r w:rsidR="00A16DDB" w:rsidRPr="00D95127">
              <w:t>Část sektoru je dobře organizovaná v prodeji mléka.</w:t>
            </w:r>
          </w:p>
        </w:tc>
        <w:tc>
          <w:tcPr>
            <w:tcW w:w="4533" w:type="dxa"/>
            <w:shd w:val="clear" w:color="auto" w:fill="auto"/>
          </w:tcPr>
          <w:p w14:paraId="4E31E650" w14:textId="2D7D4F16" w:rsidR="00A16DDB" w:rsidRPr="00D95127" w:rsidRDefault="002B354C" w:rsidP="002B354C">
            <w:pPr>
              <w:pStyle w:val="UZEIOdrky"/>
              <w:ind w:left="460" w:hanging="425"/>
            </w:pPr>
            <w:r>
              <w:t xml:space="preserve">W1: </w:t>
            </w:r>
            <w:r w:rsidR="00A16DDB" w:rsidRPr="00D95127">
              <w:t xml:space="preserve">Nízký podíl (efektivní) produkce z chovu dojnic s převahou krmivové základny na TTP.   </w:t>
            </w:r>
          </w:p>
          <w:p w14:paraId="6B5D7529" w14:textId="16F90C00" w:rsidR="00A16DDB" w:rsidRPr="00D95127" w:rsidRDefault="002B354C" w:rsidP="002B354C">
            <w:pPr>
              <w:pStyle w:val="UZEIOdrky"/>
              <w:ind w:left="460" w:hanging="425"/>
            </w:pPr>
            <w:r>
              <w:t xml:space="preserve">W2: </w:t>
            </w:r>
            <w:r w:rsidR="00A16DDB" w:rsidRPr="00D95127">
              <w:t>Produkce není efektivní u zhruba dvou třetin chovatelů.</w:t>
            </w:r>
          </w:p>
          <w:p w14:paraId="7B648786" w14:textId="1DAD7C1E" w:rsidR="00A16DDB" w:rsidRPr="00D95127" w:rsidRDefault="002B354C" w:rsidP="002B354C">
            <w:pPr>
              <w:pStyle w:val="UZEIOdrky"/>
              <w:ind w:left="460" w:hanging="425"/>
            </w:pPr>
            <w:r>
              <w:t xml:space="preserve">W3: </w:t>
            </w:r>
            <w:r w:rsidR="00A16DDB" w:rsidRPr="00D95127">
              <w:t>Klesající počet dojnic snižuje význam odvětví pro udržování kvality půdy a zaměstnanost venkova.</w:t>
            </w:r>
          </w:p>
          <w:p w14:paraId="5AB01398" w14:textId="28558704" w:rsidR="00A16DDB" w:rsidRPr="00D95127" w:rsidRDefault="002B354C" w:rsidP="002B354C">
            <w:pPr>
              <w:pStyle w:val="UZEIOdrky"/>
              <w:ind w:left="460" w:hanging="425"/>
            </w:pPr>
            <w:r>
              <w:t xml:space="preserve">W4: </w:t>
            </w:r>
            <w:r w:rsidR="00A16DDB" w:rsidRPr="00D95127">
              <w:t>Problémy se získáváním kvalifikovaných a odpovědných pracovníků, řešené najímáním cizích státních příslušníků.</w:t>
            </w:r>
          </w:p>
          <w:p w14:paraId="2FEC880F" w14:textId="64DFF76A" w:rsidR="00A16DDB" w:rsidRPr="00D95127" w:rsidRDefault="002B354C" w:rsidP="002B354C">
            <w:pPr>
              <w:pStyle w:val="UZEIOdrky"/>
              <w:ind w:left="460" w:hanging="425"/>
            </w:pPr>
            <w:r>
              <w:t xml:space="preserve">W5: </w:t>
            </w:r>
            <w:r w:rsidR="00A16DDB" w:rsidRPr="00D95127">
              <w:t>Absence národních (soukromých) systémů kvality, resp. vhodné zapojení do nadnárodních systémů kvality.</w:t>
            </w:r>
          </w:p>
          <w:p w14:paraId="202C7920" w14:textId="1F2FA9AF" w:rsidR="00A16DDB" w:rsidRPr="00D95127" w:rsidRDefault="00A16DDB" w:rsidP="002B354C">
            <w:pPr>
              <w:pStyle w:val="UZEIOdrky"/>
              <w:numPr>
                <w:ilvl w:val="0"/>
                <w:numId w:val="0"/>
              </w:numPr>
              <w:ind w:left="460"/>
            </w:pPr>
          </w:p>
        </w:tc>
      </w:tr>
      <w:tr w:rsidR="00A16DDB" w:rsidRPr="00D95127" w14:paraId="3872EEE4" w14:textId="77777777" w:rsidTr="007A627A">
        <w:tc>
          <w:tcPr>
            <w:tcW w:w="4529" w:type="dxa"/>
            <w:shd w:val="clear" w:color="auto" w:fill="auto"/>
          </w:tcPr>
          <w:p w14:paraId="68749BE4" w14:textId="77777777" w:rsidR="00A16DDB" w:rsidRPr="00D95127" w:rsidRDefault="00A16DDB" w:rsidP="007A627A">
            <w:pPr>
              <w:jc w:val="center"/>
              <w:rPr>
                <w:rFonts w:cs="Times New Roman"/>
                <w:b/>
                <w:szCs w:val="24"/>
                <w:lang w:val="cs-CZ"/>
              </w:rPr>
            </w:pPr>
            <w:r w:rsidRPr="00D95127">
              <w:rPr>
                <w:rFonts w:cs="Times New Roman"/>
                <w:b/>
                <w:szCs w:val="24"/>
                <w:lang w:val="cs-CZ"/>
              </w:rPr>
              <w:t>Příležitosti</w:t>
            </w:r>
          </w:p>
        </w:tc>
        <w:tc>
          <w:tcPr>
            <w:tcW w:w="4533" w:type="dxa"/>
            <w:shd w:val="clear" w:color="auto" w:fill="auto"/>
          </w:tcPr>
          <w:p w14:paraId="5C8D6BF1" w14:textId="77777777" w:rsidR="00A16DDB" w:rsidRPr="00D95127" w:rsidRDefault="00A16DDB" w:rsidP="007A627A">
            <w:pPr>
              <w:jc w:val="center"/>
              <w:rPr>
                <w:rFonts w:cs="Times New Roman"/>
                <w:b/>
                <w:szCs w:val="24"/>
                <w:lang w:val="cs-CZ"/>
              </w:rPr>
            </w:pPr>
            <w:r w:rsidRPr="00D95127">
              <w:rPr>
                <w:rFonts w:cs="Times New Roman"/>
                <w:b/>
                <w:szCs w:val="24"/>
                <w:lang w:val="cs-CZ"/>
              </w:rPr>
              <w:t>Ohrožení</w:t>
            </w:r>
          </w:p>
        </w:tc>
      </w:tr>
      <w:tr w:rsidR="00A16DDB" w:rsidRPr="00D95127" w14:paraId="5337EEB2" w14:textId="77777777" w:rsidTr="007A627A">
        <w:tc>
          <w:tcPr>
            <w:tcW w:w="4529" w:type="dxa"/>
            <w:shd w:val="clear" w:color="auto" w:fill="auto"/>
          </w:tcPr>
          <w:p w14:paraId="34D3F7A3" w14:textId="79B6F944" w:rsidR="00A16DDB" w:rsidRPr="00D95127" w:rsidRDefault="002B354C" w:rsidP="002B354C">
            <w:pPr>
              <w:pStyle w:val="UZEIOdrky"/>
              <w:ind w:left="460" w:hanging="425"/>
            </w:pPr>
            <w:r>
              <w:t xml:space="preserve">O1: </w:t>
            </w:r>
            <w:r w:rsidR="00A16DDB" w:rsidRPr="00D95127">
              <w:t>Pokračující specifické podpory producentům mléka.</w:t>
            </w:r>
          </w:p>
          <w:p w14:paraId="42CFFDDC" w14:textId="0A634DA2" w:rsidR="00A16DDB" w:rsidRPr="00D95127" w:rsidRDefault="002B354C" w:rsidP="002B354C">
            <w:pPr>
              <w:pStyle w:val="UZEIOdrky"/>
              <w:ind w:left="460" w:hanging="425"/>
            </w:pPr>
            <w:r>
              <w:t xml:space="preserve">O2: </w:t>
            </w:r>
            <w:r w:rsidR="00A16DDB" w:rsidRPr="00D95127">
              <w:t>Rozšíření chovu dojeného skotu v podhorských a horských oblastech s krmivovou základnou na TTP a s uplatněním EZ.</w:t>
            </w:r>
          </w:p>
          <w:p w14:paraId="404AAC00" w14:textId="093B73BA" w:rsidR="00A16DDB" w:rsidRPr="00D95127" w:rsidRDefault="002B354C" w:rsidP="002B354C">
            <w:pPr>
              <w:pStyle w:val="UZEIOdrky"/>
              <w:ind w:left="460" w:hanging="425"/>
            </w:pPr>
            <w:r>
              <w:t xml:space="preserve">O3: </w:t>
            </w:r>
            <w:r w:rsidR="00A16DDB" w:rsidRPr="00D95127">
              <w:t>Další rozvoj zpracování produkce v podnicích, využití „krátkých řetězců“ a odbytových organizací.</w:t>
            </w:r>
          </w:p>
          <w:p w14:paraId="0BB555FE" w14:textId="11B8CBED" w:rsidR="00A16DDB" w:rsidRPr="00D95127" w:rsidRDefault="002B354C" w:rsidP="002B354C">
            <w:pPr>
              <w:pStyle w:val="UZEIOdrky"/>
              <w:ind w:left="460" w:hanging="425"/>
            </w:pPr>
            <w:r>
              <w:t xml:space="preserve">O4: </w:t>
            </w:r>
            <w:r w:rsidR="00A16DDB" w:rsidRPr="00D95127">
              <w:t>Zvýšení poptávky - zlepšení stravovacích návyků obyvatelstva.</w:t>
            </w:r>
          </w:p>
          <w:p w14:paraId="028A8178" w14:textId="493F565E" w:rsidR="00A16DDB" w:rsidRPr="00D95127" w:rsidRDefault="002B354C" w:rsidP="002B354C">
            <w:pPr>
              <w:pStyle w:val="UZEIOdrky"/>
              <w:ind w:left="460" w:hanging="425"/>
            </w:pPr>
            <w:r>
              <w:t xml:space="preserve">O5: </w:t>
            </w:r>
            <w:r w:rsidR="00A16DDB" w:rsidRPr="00D95127">
              <w:t>Vytvoření národních (soukromých) systémů kvality, resp. vhodné zapojení do nadnárodních systémů kvality.</w:t>
            </w:r>
          </w:p>
          <w:p w14:paraId="16958135" w14:textId="05D23FDA" w:rsidR="00A16DDB" w:rsidRPr="00D95127" w:rsidRDefault="002B354C" w:rsidP="002B354C">
            <w:pPr>
              <w:pStyle w:val="UZEIOdrky"/>
              <w:ind w:left="460" w:hanging="425"/>
            </w:pPr>
            <w:r>
              <w:t xml:space="preserve">O6: </w:t>
            </w:r>
            <w:r w:rsidR="00A16DDB" w:rsidRPr="00D95127">
              <w:t>Vyšší míra propojení výzkumu s chovatelskou praxí.</w:t>
            </w:r>
          </w:p>
        </w:tc>
        <w:tc>
          <w:tcPr>
            <w:tcW w:w="4533" w:type="dxa"/>
            <w:shd w:val="clear" w:color="auto" w:fill="auto"/>
          </w:tcPr>
          <w:p w14:paraId="008A92F8" w14:textId="0ED653C8" w:rsidR="00A16DDB" w:rsidRPr="00D95127" w:rsidRDefault="002B354C" w:rsidP="002B354C">
            <w:pPr>
              <w:pStyle w:val="UZEIOdrky"/>
              <w:ind w:left="460" w:hanging="425"/>
            </w:pPr>
            <w:r>
              <w:t xml:space="preserve">T1: </w:t>
            </w:r>
            <w:r w:rsidR="00A16DDB" w:rsidRPr="00D95127">
              <w:t>Pokračující nižší efektivnost zpracovatelů.</w:t>
            </w:r>
          </w:p>
          <w:p w14:paraId="5F34EDDD" w14:textId="10223A83" w:rsidR="00A16DDB" w:rsidRPr="00D95127" w:rsidRDefault="002B354C" w:rsidP="002B354C">
            <w:pPr>
              <w:pStyle w:val="UZEIOdrky"/>
              <w:ind w:left="460" w:hanging="425"/>
            </w:pPr>
            <w:r>
              <w:t xml:space="preserve">T2: </w:t>
            </w:r>
            <w:r w:rsidR="00A16DDB" w:rsidRPr="00D95127">
              <w:t>Rozhodování (zahraničních) vlastníků zpracovatelského průmyslu.</w:t>
            </w:r>
          </w:p>
          <w:p w14:paraId="0C9612DA" w14:textId="7A03EB6D" w:rsidR="00A16DDB" w:rsidRPr="00D95127" w:rsidRDefault="002B354C" w:rsidP="002B354C">
            <w:pPr>
              <w:pStyle w:val="UZEIOdrky"/>
              <w:ind w:left="460" w:hanging="425"/>
            </w:pPr>
            <w:r>
              <w:t xml:space="preserve">T3: </w:t>
            </w:r>
            <w:r w:rsidR="00A16DDB" w:rsidRPr="00D95127">
              <w:t>Rostoucí ceny práce, půdy, energií a dalších vstupů, zejména krmných směsí na bázi sóji (konkurence bio-energetiky).</w:t>
            </w:r>
          </w:p>
          <w:p w14:paraId="745DF2C9" w14:textId="564CDF79" w:rsidR="00A16DDB" w:rsidRPr="00D95127" w:rsidRDefault="002B354C" w:rsidP="002B354C">
            <w:pPr>
              <w:pStyle w:val="UZEIOdrky"/>
              <w:ind w:left="460" w:hanging="425"/>
            </w:pPr>
            <w:r>
              <w:t xml:space="preserve">T4: </w:t>
            </w:r>
            <w:r w:rsidR="00A16DDB" w:rsidRPr="00D95127">
              <w:t>Chybějící kvalifikovaní zaměstnanci v chovech.</w:t>
            </w:r>
          </w:p>
        </w:tc>
      </w:tr>
    </w:tbl>
    <w:p w14:paraId="23CD0F3D" w14:textId="77777777" w:rsidR="00A16DDB" w:rsidRPr="00D95127" w:rsidRDefault="00A16DDB" w:rsidP="00A16DDB">
      <w:pPr>
        <w:spacing w:after="120" w:line="300" w:lineRule="atLeast"/>
        <w:ind w:left="425"/>
        <w:rPr>
          <w:rFonts w:cs="Times New Roman"/>
          <w:szCs w:val="24"/>
          <w:lang w:val="cs-CZ"/>
        </w:rPr>
        <w:sectPr w:rsidR="00A16DDB" w:rsidRPr="00D95127" w:rsidSect="00C82CBD">
          <w:headerReference w:type="default" r:id="rId168"/>
          <w:footerReference w:type="default" r:id="rId169"/>
          <w:pgSz w:w="11906" w:h="16838"/>
          <w:pgMar w:top="1418" w:right="1418" w:bottom="1418" w:left="1418" w:header="709" w:footer="709" w:gutter="0"/>
          <w:cols w:space="708"/>
          <w:docGrid w:linePitch="360"/>
        </w:sectPr>
      </w:pPr>
    </w:p>
    <w:p w14:paraId="0CCE5235" w14:textId="77777777" w:rsidR="00A16DDB" w:rsidRPr="00D95127" w:rsidRDefault="00A16DDB" w:rsidP="00A239CB">
      <w:pPr>
        <w:pStyle w:val="UZEINadpis1stbezsla"/>
      </w:pPr>
      <w:bookmarkStart w:id="881" w:name="_Toc526113886"/>
      <w:bookmarkStart w:id="882" w:name="_Toc526114042"/>
      <w:bookmarkStart w:id="883" w:name="_Toc12449697"/>
      <w:bookmarkStart w:id="884" w:name="_Toc15304089"/>
      <w:bookmarkStart w:id="885" w:name="_Toc23509907"/>
      <w:bookmarkStart w:id="886" w:name="_Toc76137441"/>
      <w:bookmarkStart w:id="887" w:name="_Toc76637640"/>
      <w:bookmarkStart w:id="888" w:name="_Toc80953329"/>
      <w:bookmarkStart w:id="889" w:name="_Toc81739282"/>
      <w:r w:rsidRPr="00D95127">
        <w:t>HOVĚZÍ MASO</w:t>
      </w:r>
      <w:bookmarkEnd w:id="881"/>
      <w:bookmarkEnd w:id="882"/>
      <w:bookmarkEnd w:id="883"/>
      <w:bookmarkEnd w:id="884"/>
      <w:bookmarkEnd w:id="885"/>
      <w:bookmarkEnd w:id="886"/>
      <w:bookmarkEnd w:id="887"/>
      <w:bookmarkEnd w:id="888"/>
      <w:bookmarkEnd w:id="889"/>
    </w:p>
    <w:p w14:paraId="623473D3" w14:textId="0CC5C7F0" w:rsidR="00A16DDB" w:rsidRPr="00D95127" w:rsidRDefault="00A16DDB" w:rsidP="00A239CB">
      <w:pPr>
        <w:pStyle w:val="UZEINormaln"/>
      </w:pPr>
      <w:r w:rsidRPr="00D95127">
        <w:t xml:space="preserve">Odvětví hovězího a telecího masa v ČR vykazuje v posledních letech ve srovnání s odvětvími vepřového a drůbežího masa největší stabilitu, a to jak z pohledu stavů skotu, tak i produkce masa. Pro tento sektor zemědělské výroby je charakteristické úzké provázání s odvětvím mléka, silná závislost efektivity výroby na podporách a převažující vývoz suroviny (aktivní saldo ZO v živém skotu) nad vývozem zpracovaných produktů (pasivní saldo ZO s hovězím masem). Rentabilita výroby mléka ovlivňuje nepřímo i trh s hovězím masem, a to v případě, kdy při jejím zhoršení dochází často ke zvýšeným porážkám dojných plemen krav, a tím i k nárůstu nabídky hovězího masa na trhu. To má obvykle za následek pokles ceny zemědělských výrobců za jatečná zvířata a (např. roky 2015 a 2016). </w:t>
      </w:r>
    </w:p>
    <w:p w14:paraId="114C44D0" w14:textId="77777777" w:rsidR="00A16DDB" w:rsidRPr="00D95127" w:rsidRDefault="00A16DDB" w:rsidP="00DE7D57">
      <w:pPr>
        <w:pStyle w:val="Nadpis1"/>
        <w:numPr>
          <w:ilvl w:val="0"/>
          <w:numId w:val="27"/>
        </w:numPr>
      </w:pPr>
      <w:bookmarkStart w:id="890" w:name="_Toc15304090"/>
      <w:bookmarkStart w:id="891" w:name="_Toc23509908"/>
      <w:bookmarkStart w:id="892" w:name="_Toc76137442"/>
      <w:bookmarkStart w:id="893" w:name="_Toc76637641"/>
      <w:bookmarkStart w:id="894" w:name="_Toc80953330"/>
      <w:bookmarkStart w:id="895" w:name="_Toc81739283"/>
      <w:r w:rsidRPr="00D95127">
        <w:t>Analýza stávajících/navrhovaných právních předpisů EK/ČR a pravděpodobné nastavení směrů a cílů SZP</w:t>
      </w:r>
      <w:bookmarkEnd w:id="890"/>
      <w:bookmarkEnd w:id="891"/>
      <w:bookmarkEnd w:id="892"/>
      <w:bookmarkEnd w:id="893"/>
      <w:bookmarkEnd w:id="894"/>
      <w:bookmarkEnd w:id="895"/>
    </w:p>
    <w:p w14:paraId="35F8AD44" w14:textId="77777777" w:rsidR="00A16DDB" w:rsidRPr="00D95127" w:rsidRDefault="00A16DDB" w:rsidP="00A239CB">
      <w:pPr>
        <w:pStyle w:val="UZEINormaln"/>
      </w:pPr>
      <w:r w:rsidRPr="00D95127">
        <w:t>Tato část je zpracována souhrnně v základním analytickém dokumentu za oblast konkurenceschopnost zemědělství.</w:t>
      </w:r>
    </w:p>
    <w:p w14:paraId="201BCB0B" w14:textId="77777777" w:rsidR="00A16DDB" w:rsidRPr="00D95127" w:rsidRDefault="00A16DDB" w:rsidP="00A16DDB">
      <w:pPr>
        <w:pStyle w:val="Odstavecseseznamem"/>
        <w:ind w:left="0" w:firstLine="709"/>
        <w:rPr>
          <w:u w:val="single"/>
        </w:rPr>
      </w:pPr>
    </w:p>
    <w:p w14:paraId="71FE0A95" w14:textId="77777777" w:rsidR="00A239CB" w:rsidRDefault="00A239CB">
      <w:pPr>
        <w:spacing w:after="160" w:line="259" w:lineRule="auto"/>
        <w:jc w:val="left"/>
        <w:rPr>
          <w:rFonts w:eastAsiaTheme="majorEastAsia" w:cs="Times New Roman"/>
          <w:b/>
          <w:bCs/>
          <w:sz w:val="28"/>
          <w:szCs w:val="32"/>
          <w:lang w:val="cs-CZ"/>
        </w:rPr>
      </w:pPr>
      <w:bookmarkStart w:id="896" w:name="_Toc15304091"/>
      <w:bookmarkStart w:id="897" w:name="_Toc23509909"/>
      <w:bookmarkStart w:id="898" w:name="_Toc76137443"/>
      <w:bookmarkStart w:id="899" w:name="_Toc76637642"/>
      <w:bookmarkStart w:id="900" w:name="_Toc80953331"/>
      <w:r>
        <w:br w:type="page"/>
      </w:r>
    </w:p>
    <w:p w14:paraId="65492775" w14:textId="2F83E53C" w:rsidR="00A16DDB" w:rsidRPr="00D95127" w:rsidRDefault="00A16DDB" w:rsidP="00A239CB">
      <w:pPr>
        <w:pStyle w:val="Nadpis1"/>
      </w:pPr>
      <w:bookmarkStart w:id="901" w:name="_Toc81739284"/>
      <w:r w:rsidRPr="00D95127">
        <w:t>Co je skutečným problémem, na který má politika reagovat?</w:t>
      </w:r>
      <w:bookmarkEnd w:id="896"/>
      <w:bookmarkEnd w:id="897"/>
      <w:bookmarkEnd w:id="898"/>
      <w:bookmarkEnd w:id="899"/>
      <w:bookmarkEnd w:id="900"/>
      <w:bookmarkEnd w:id="901"/>
    </w:p>
    <w:p w14:paraId="427B91C4" w14:textId="6D1C3934" w:rsidR="00A16DDB" w:rsidRPr="00D95127" w:rsidRDefault="00A16DDB" w:rsidP="00A239CB">
      <w:pPr>
        <w:pStyle w:val="UZEINormaln"/>
      </w:pPr>
      <w:r w:rsidRPr="00D95127">
        <w:t xml:space="preserve">Stavy skotu byly v posledních pěti letech (2016-2020) poměrně vyrovnané a držely se mírně nad 1,4 mil. ks, proti předchozímu pětiletému období (2011-2015) byly v průměru o 3,6 % vyšší. Od roku 2011 do roku 2020 stouply o 27 %. Chov skotu specializovaných masných plemen v ČR se trvale rozvíjí. Stavy krav BTPM dlouhodobě poměrně dynamicky rostly, v posledních dvou letech (2019-2020) tento trend zpomalil. Od roku 2011 do roku 2020 tvořil přírůstek stavů krav BTPM více než 27 %. Jejich podíl z celkového stavu krav v ČR dosahoval v posledních třech letech průměru více než 38 % a od roku 2011 do roku 2020 zvýšil ze 32,2 % na 38,6 %. Kromě vlastního rozšiřování základního stáda k tomu přispěl i pokles stavů dojených krav (graf 22). V rámci NČZ 13 náležela ČR k až do roku 2018 k největšímu chovateli krav BTPM, v roce 2019 ji odsunulo na druhé místo Polsko. V ČR bylo v roce 2011 chováno v rámci NČZ více než 30 % z celkového stáda krav BTPM, do roku 2020 se tento podíl snížil na 18 %. To bylo způsobeno především dynamickým růstem stavů masných krav v Polsku, Maďarsku a Bulharsku. Rovněž v rámci EU 28 náleží ČR k významným chovatelům, kdy je ve velikosti základního stáda na 9 místě (rok 2020). </w:t>
      </w:r>
    </w:p>
    <w:p w14:paraId="5712E684" w14:textId="1EFBE40F" w:rsidR="00A16DDB" w:rsidRPr="00A239CB" w:rsidRDefault="00A16DDB" w:rsidP="00A239CB">
      <w:pPr>
        <w:pStyle w:val="UZEINormaln"/>
      </w:pPr>
      <w:r w:rsidRPr="00D95127">
        <w:t>Hlavní podíl na rozvoji odvětví chovu skotu specializovaného na produkci masa v tuzemsku jsou jak podpory směrované do odvětví, které významně zlepšují ekonomiku výroby, tak i dobré uplatnění živých zvířat v zahraničí. V ČR je chováno více než 23 masných plemen skotu a tato různorodost sebou nese i určité problémy zejména při exportu, kdy je nutno dle požadavku odběratelů sestavit vyrovnané partie jak živých, tak i poražených JUT zvířat.</w:t>
      </w:r>
      <w:r w:rsidRPr="00D95127">
        <w:rPr>
          <w:vertAlign w:val="superscript"/>
        </w:rPr>
        <w:footnoteReference w:id="30"/>
      </w:r>
      <w:r w:rsidRPr="00D95127">
        <w:t xml:space="preserve">. Převážná většina jatečného skotu je však dodávána na jatky přímo chovateli, nikoli prostřednictvím organizací producentů. Pro udržení vyrovnané bilance odvětví hovězího masa jsou vývozy živých zvířat nezbytné, neboť v zahraničním obchodě s hovězím a telecím masem převažuje dovoz nad vývozem. </w:t>
      </w:r>
    </w:p>
    <w:p w14:paraId="0B223A49" w14:textId="5522BE3B" w:rsidR="00A16DDB" w:rsidRPr="00D95127" w:rsidRDefault="00A16DDB" w:rsidP="00A239CB">
      <w:pPr>
        <w:pStyle w:val="UZEIGraf"/>
      </w:pPr>
      <w:bookmarkStart w:id="902" w:name="_Toc81738823"/>
      <w:r w:rsidRPr="00D95127">
        <w:t>Změna stavů skotu, z toho krav BTPM a dojených krav za období 2011-2020 v %</w:t>
      </w:r>
      <w:bookmarkEnd w:id="902"/>
    </w:p>
    <w:p w14:paraId="3B22BE50" w14:textId="77777777" w:rsidR="00A16DDB" w:rsidRPr="00D95127" w:rsidRDefault="00A16DDB" w:rsidP="00A239CB">
      <w:pPr>
        <w:pStyle w:val="UZEIZdroj"/>
      </w:pPr>
      <w:r w:rsidRPr="00D95127">
        <w:rPr>
          <w:noProof/>
        </w:rPr>
        <w:drawing>
          <wp:inline distT="0" distB="0" distL="0" distR="0" wp14:anchorId="51039810" wp14:editId="11ED8CDC">
            <wp:extent cx="5591175" cy="3190875"/>
            <wp:effectExtent l="0" t="0" r="9525" b="9525"/>
            <wp:docPr id="37" name="Graf 37">
              <a:extLst xmlns:a="http://schemas.openxmlformats.org/drawingml/2006/main">
                <a:ext uri="{FF2B5EF4-FFF2-40B4-BE49-F238E27FC236}">
                  <a16:creationId xmlns:a16="http://schemas.microsoft.com/office/drawing/2014/main" id="{4C65040A-6061-4FC5-9AA5-D51417D1CC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r w:rsidRPr="00D95127">
        <w:t>Pramen: Výpočet ÚZEI dle ČSÚ – Soupis hospodářských zvířat k 1.4.</w:t>
      </w:r>
    </w:p>
    <w:p w14:paraId="3EEBDAF4" w14:textId="77777777" w:rsidR="00A16DDB" w:rsidRPr="00D95127" w:rsidRDefault="00A16DDB" w:rsidP="00A16DDB">
      <w:pPr>
        <w:ind w:firstLine="709"/>
        <w:rPr>
          <w:rFonts w:cs="Times New Roman"/>
          <w:szCs w:val="24"/>
          <w:lang w:val="cs-CZ"/>
        </w:rPr>
      </w:pPr>
    </w:p>
    <w:p w14:paraId="793B9EF3" w14:textId="78622944" w:rsidR="00A16DDB" w:rsidRPr="00D95127" w:rsidRDefault="00A16DDB" w:rsidP="00E47661">
      <w:pPr>
        <w:pStyle w:val="UZEINormaln"/>
      </w:pPr>
      <w:r w:rsidRPr="00D95127">
        <w:t>Pro ČR je charakteristické, že výkrm skotu je v zemědělských podnicích koncentrován do poměrně velkých stád. Výkrmem skotu se zabývá zhruba 3 tis. chovatelů</w:t>
      </w:r>
      <w:r w:rsidRPr="00D95127">
        <w:rPr>
          <w:rStyle w:val="Znakapoznpodarou"/>
        </w:rPr>
        <w:footnoteReference w:id="31"/>
      </w:r>
      <w:r w:rsidRPr="00D95127">
        <w:t>, z toho téměř 45 % zvířat je chováno v podnicích s koncentrací nad 200 ks zvířat.</w:t>
      </w:r>
    </w:p>
    <w:p w14:paraId="7F4DC816" w14:textId="7EE94B5E" w:rsidR="00A16DDB" w:rsidRPr="00D95127" w:rsidRDefault="00A16DDB" w:rsidP="00E47661">
      <w:pPr>
        <w:pStyle w:val="UZEINormaln"/>
      </w:pPr>
      <w:r w:rsidRPr="00D95127">
        <w:t>Zatížení skotu na jednotku plochy zemědělské půdy (na 100 ha) je v ČR dlouhodobě nízké, za předchozích deset let (2011-2020) nepřekročilo ani v jednom roce hranici 42 ks/100 ha z .p. Za uvedené období přesto došlo k mírnému zlepšení, neboť v průměru let 2011-2013 bylo u nás chováno 38,4 ks skotu na 100 ha z. p, zatímco v průměru let 2018-2020 to bylo 40,1 ks. V porovnání s ostatními členskými zeměmi EU 28 se ČR v tomto ukazateli nacházela v roce 2013 v pořadí až na 18. místě za Polskem, ale byla na tom lépe než např. Španělsko, Slovensko a Maďarsko. V průměr EU 28 dosahovala intenzita zatížení 50,8 ks skotu na100 ha z. p. Do roku 2018 si ČR v tomto ukazateli o jedno místo polepšila, díky poklesu intenzity ve Finsku. V rámci EU 28 došlo od roku 2013 do roku 2018 ke zhoršení ukazatele zatížení skotu o 3,0 % (o1,5 ks/ 100 ha z. p.), neboť celkem ve 20 členských zemích intenzita skotu klesla. Nízké zatížení skotu na jednotku zem. půdy sebou přináší i problém s nízkým objemem vyprodukovaných statkových hnojiv, která jsou potřebná zejména pro udržení kvality obhospodařované orné půdy. Další zvyšování stavů skotu by sice mohlo přinést vyšší objem statkových hnojiv, ale zároveň by:</w:t>
      </w:r>
    </w:p>
    <w:p w14:paraId="6601DEEA" w14:textId="77777777" w:rsidR="00A16DDB" w:rsidRPr="00D95127" w:rsidRDefault="00A16DDB" w:rsidP="00E47661">
      <w:pPr>
        <w:pStyle w:val="UZEIOdrky"/>
      </w:pPr>
      <w:r w:rsidRPr="00D95127">
        <w:t>rostlo i riziko, zda se podaří při nízké domácí spotřebě hovězího masa bilanční přebytek uplatnit v plné míře na zahraničním trhu,</w:t>
      </w:r>
    </w:p>
    <w:p w14:paraId="70D198A3" w14:textId="4F7572CE" w:rsidR="00A16DDB" w:rsidRPr="00D95127" w:rsidRDefault="00A16DDB" w:rsidP="00E47661">
      <w:pPr>
        <w:pStyle w:val="UZEIOdrky"/>
      </w:pPr>
      <w:r w:rsidRPr="00D95127">
        <w:t>zvyšovalo by produkci skleníkových plynů, zejména metanu, u nichž jsou závazné národní cíle,</w:t>
      </w:r>
    </w:p>
    <w:p w14:paraId="33D9990E" w14:textId="67C22140" w:rsidR="00A16DDB" w:rsidRPr="00D95127" w:rsidRDefault="00A16DDB" w:rsidP="00E47661">
      <w:pPr>
        <w:pStyle w:val="UZEIOdrky"/>
      </w:pPr>
      <w:r w:rsidRPr="00D95127">
        <w:t>bylo v dlouhodobém rozporu s trendem i požadavkem na snižování podílu živočišných bílkovin ve výživě obyvatelstva.</w:t>
      </w:r>
    </w:p>
    <w:p w14:paraId="3DD18108" w14:textId="77234027" w:rsidR="00A16DDB" w:rsidRPr="00D95127" w:rsidRDefault="00A16DDB" w:rsidP="00E47661">
      <w:pPr>
        <w:pStyle w:val="UZEIGraf"/>
      </w:pPr>
      <w:bookmarkStart w:id="903" w:name="_Toc81738824"/>
      <w:r w:rsidRPr="00D95127">
        <w:t>Zatížení skotu celkem v zemích EU v roce 2018 a vývoj zatížení skotu v ČR v ks/100 ha z.p.</w:t>
      </w:r>
      <w:bookmarkEnd w:id="903"/>
    </w:p>
    <w:p w14:paraId="294FECAB" w14:textId="77777777" w:rsidR="00A16DDB" w:rsidRPr="00D95127" w:rsidRDefault="00A16DDB" w:rsidP="00A16DDB">
      <w:pPr>
        <w:rPr>
          <w:rFonts w:cs="Times New Roman"/>
          <w:lang w:val="cs-CZ" w:eastAsia="cs-CZ"/>
        </w:rPr>
      </w:pPr>
      <w:r w:rsidRPr="00D95127">
        <w:rPr>
          <w:rFonts w:cs="Times New Roman"/>
          <w:noProof/>
          <w:lang w:val="cs-CZ"/>
        </w:rPr>
        <w:drawing>
          <wp:inline distT="0" distB="0" distL="0" distR="0" wp14:anchorId="61418EBD" wp14:editId="2B0DD90E">
            <wp:extent cx="5886450" cy="3467735"/>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886450" cy="3467735"/>
                    </a:xfrm>
                    <a:prstGeom prst="rect">
                      <a:avLst/>
                    </a:prstGeom>
                    <a:noFill/>
                    <a:ln>
                      <a:noFill/>
                    </a:ln>
                  </pic:spPr>
                </pic:pic>
              </a:graphicData>
            </a:graphic>
          </wp:inline>
        </w:drawing>
      </w:r>
    </w:p>
    <w:p w14:paraId="7A373103" w14:textId="77777777" w:rsidR="00A16DDB" w:rsidRPr="00D95127" w:rsidRDefault="00A16DDB" w:rsidP="00E47661">
      <w:pPr>
        <w:pStyle w:val="UZEIZdroj"/>
      </w:pPr>
      <w:r w:rsidRPr="00D95127">
        <w:t>Pramen: ČSÚ, EUROSTAT</w:t>
      </w:r>
    </w:p>
    <w:p w14:paraId="32603893" w14:textId="520A4349" w:rsidR="00A16DDB" w:rsidRPr="00D95127" w:rsidRDefault="00A16DDB" w:rsidP="00E47661">
      <w:pPr>
        <w:pStyle w:val="UZEINormaln"/>
      </w:pPr>
      <w:r w:rsidRPr="00D95127">
        <w:t>Celkový objem výroby hovězího a telecího masa v České republice výrazně převyšuje domácí spotřebu a míra soběstačnosti dlouhodobě převyšuje 120 % (průměr 2016-2020 dosáhl 123 %). V posledních pěti letech (2016</w:t>
      </w:r>
      <w:r w:rsidRPr="00D95127">
        <w:noBreakHyphen/>
        <w:t xml:space="preserve">2020) byla výroba hovězího masa poměrně vyrovnaná a v průměru dosahovala 170 tis. t ž. hm. Průměrná roční produkce na krávu za pětileté období představovala 295 kg ž. hm. a byla i v jednotlivých letech poměrně vyrovnaná. </w:t>
      </w:r>
    </w:p>
    <w:p w14:paraId="30673C3D" w14:textId="17154AB3" w:rsidR="00A16DDB" w:rsidRPr="00D95127" w:rsidRDefault="00A16DDB" w:rsidP="00E47661">
      <w:pPr>
        <w:pStyle w:val="UZEINormaln"/>
      </w:pPr>
      <w:r w:rsidRPr="00D95127">
        <w:t xml:space="preserve">K dosažení vyrovnané bilance je při trvale nízké tuzemské spotřebě hovězího a telecího masa (2016-2020 průměr 8,8 kg/obyv. rok) nutno bilanční přebytek výroby exportovat. To se daří pouze díky vysokému vývozu živého skotu především na evropské trhy a v posledních letech i do třetích zemí (Turecko, Kazachstán aj.). Naproti tomu u hovězího masa převažuje dovoz nad vývozem a bilance zahraničního obchodu, která se stále prohlubuje, vykazuje je výrazně pasivní hodnoty. Celkové saldo zahraničního obchodu v odvětví (tj. maso včetně živých zvířat) je dlouhodobě aktivní především zásluhou vysokého vývozu živého skotu. Jeho dobré uplatnění v zahraničí lze považovat za konkurenční výhodu českých prvovýrobců z těchto důvodů: 1) Dobrý zdravotní stav skotu jako výsledek dlouhodobé spolupráce chovatelů, chovatelských svazů a veterinářů, včetně vytvořených národních ozdravovacích programů (IBR apod.) podporovaných z národních zdrojů; 2) Nižší cena zástavu i jatečného skotu ve srovnání se zeměmi EU 15 (u jatečných býků proti Německu a Rakousku v průměru o více než 13 %, proti průměru EU 28 cca o 12,2 %). </w:t>
      </w:r>
    </w:p>
    <w:p w14:paraId="037ECC07" w14:textId="75792D5B" w:rsidR="00A16DDB" w:rsidRPr="00D95127" w:rsidRDefault="00A16DDB" w:rsidP="00E47661">
      <w:pPr>
        <w:pStyle w:val="UZEIGraf"/>
      </w:pPr>
      <w:bookmarkStart w:id="904" w:name="_Ref81728974"/>
      <w:bookmarkStart w:id="905" w:name="_Toc81738825"/>
      <w:r w:rsidRPr="00D95127">
        <w:t>Vývoj bilance zahraničního obchodu s živým skotem a hovězím masem v mil. Kč</w:t>
      </w:r>
      <w:bookmarkEnd w:id="904"/>
      <w:bookmarkEnd w:id="905"/>
    </w:p>
    <w:p w14:paraId="3265D02E" w14:textId="77777777" w:rsidR="00A16DDB" w:rsidRPr="00D95127" w:rsidRDefault="00A16DDB" w:rsidP="00A16DDB">
      <w:pPr>
        <w:spacing w:line="240" w:lineRule="atLeast"/>
        <w:rPr>
          <w:rFonts w:cs="Times New Roman"/>
          <w:i/>
          <w:szCs w:val="24"/>
          <w:lang w:val="cs-CZ"/>
        </w:rPr>
      </w:pPr>
      <w:r w:rsidRPr="00D95127">
        <w:rPr>
          <w:rFonts w:cs="Times New Roman"/>
          <w:noProof/>
          <w:shd w:val="clear" w:color="auto" w:fill="FFFFFF" w:themeFill="background1"/>
          <w:lang w:val="cs-CZ"/>
        </w:rPr>
        <w:drawing>
          <wp:inline distT="0" distB="0" distL="0" distR="0" wp14:anchorId="4D4CB33F" wp14:editId="12854477">
            <wp:extent cx="5759450" cy="3321050"/>
            <wp:effectExtent l="0" t="0" r="12700" b="12700"/>
            <wp:docPr id="49" name="Graf 49">
              <a:extLst xmlns:a="http://schemas.openxmlformats.org/drawingml/2006/main">
                <a:ext uri="{FF2B5EF4-FFF2-40B4-BE49-F238E27FC236}">
                  <a16:creationId xmlns:a16="http://schemas.microsoft.com/office/drawing/2014/main" id="{19E839CF-C63A-4BE3-9E5E-67884E2ED5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p w14:paraId="06F051ED" w14:textId="1AA170AA" w:rsidR="00A16DDB" w:rsidRPr="00D95127" w:rsidRDefault="00A16DDB" w:rsidP="00E47661">
      <w:pPr>
        <w:pStyle w:val="UZEIZdroj"/>
      </w:pPr>
      <w:r w:rsidRPr="00D95127">
        <w:t>Pramen: Výpočet ÚZEI podle MZe –statistika zahraničního obchodu</w:t>
      </w:r>
    </w:p>
    <w:p w14:paraId="4C83A313" w14:textId="2C4F7F8B" w:rsidR="00A16DDB" w:rsidRPr="00D95127" w:rsidRDefault="00A16DDB" w:rsidP="00E47661">
      <w:pPr>
        <w:pStyle w:val="UZEINormaln"/>
      </w:pPr>
      <w:r w:rsidRPr="00D95127">
        <w:t>Vývoz živého skotu za posledních deset let rostl cca o 3,0 % ročně. V průměru let 2011</w:t>
      </w:r>
      <w:r w:rsidRPr="00D95127">
        <w:noBreakHyphen/>
        <w:t>2015 bylo exportováno ročně 212 tis. ks (tj. cca 15 % z celkového stavu skotu) v roční hodnotě cca 3,5 mld. Kč. V letech 2016</w:t>
      </w:r>
      <w:r w:rsidRPr="00D95127">
        <w:noBreakHyphen/>
        <w:t>2020 proti předchozímu pětiletému období vzrostl vývoz zvířat o 19 %, kdy bylo vyvezeno v ročně již 253 tis. ks skotu (tj. 18 % z celkového stavu). Ve finančním vyjádření se vývoz zvýšil o 20 % a dosáhl roční hodnoty 4,9 mil. Kč. Za poslední tři roky 2018</w:t>
      </w:r>
      <w:r w:rsidRPr="00D95127">
        <w:noBreakHyphen/>
        <w:t>2020 byl největší podíl zvířat (cca 86 %) prodáván do zemí EU, především do Rakouska, Španělska a Německa. Ze třetích zemí směřovalo nejvíce skotu do Turecka, které bylo v letech 2018 a 2020 naším třetím nejvýznamnějším odběratelem a dále do Kazachstánu a Uzbekistánu. U zahraničního obchodu s hovězím masem docházelo za hodnocené desetileté období (2011</w:t>
      </w:r>
      <w:r w:rsidRPr="00D95127">
        <w:noBreakHyphen/>
        <w:t xml:space="preserve">2020) na k nárůstu dovozu v ročním průměru v objemovém vyjádření o 7,0 % a vývozu o 5 %. Dovoz však byl v porovnání s vývozem trojnásobně vyšší. V porovnání průměrů let 2016-2020 proti letům 2011-2015 se zvýšil dovoz hovězího masa o 67 % ze 23,5 tis. t ročně na 39,4 tis. t ročně, zatímco vývoz vzrostl o 38 % z 8,7 tis. t ročně na 12,0 tis. t, tj. Rostoucí dovozy hovězího masa snižují poptávku tuzemských zpracovatelů po domácí surovině, tím se však zvyšuje tlak na zemědělce uplatnit přebytečnou produkci (živý jatečný i zástavový skot) v zahraničí. </w:t>
      </w:r>
    </w:p>
    <w:p w14:paraId="24DE057B" w14:textId="585F511B" w:rsidR="00A16DDB" w:rsidRPr="00D95127" w:rsidRDefault="00A16DDB" w:rsidP="00E47661">
      <w:pPr>
        <w:pStyle w:val="UZEINormaln"/>
      </w:pPr>
      <w:r w:rsidRPr="00D95127">
        <w:t>V ČR bylo ročně vyprodukováno v průměru 341 tis. ks jatečných zvířat (průměr let 2013</w:t>
      </w:r>
      <w:r w:rsidRPr="00D95127">
        <w:noBreakHyphen/>
        <w:t>2020). Tři čtvrtiny jatečných zvířat jsou poraženy v ČR a čtvrtina je exportována. Počet ročně poraženého skotu v ČR se dosahoval v průměru předchozích deseti let 251 tis. ks, z toho mírně převažovaly jatečné krávy (45 %), následují jateční býci (41 %), zbytek tvoří jatečné jalovice a telata.</w:t>
      </w:r>
    </w:p>
    <w:p w14:paraId="7485067D" w14:textId="4F09055F" w:rsidR="00A16DDB" w:rsidRPr="00D95127" w:rsidRDefault="00A16DDB" w:rsidP="00E47661">
      <w:pPr>
        <w:pStyle w:val="UZEINormaln"/>
      </w:pPr>
      <w:r w:rsidRPr="00D95127">
        <w:t xml:space="preserve">Problémem odvětví je </w:t>
      </w:r>
      <w:r w:rsidRPr="00D95127">
        <w:rPr>
          <w:b/>
          <w:bCs/>
        </w:rPr>
        <w:t>záporná rentabilita výroby hovězího masa</w:t>
      </w:r>
      <w:r w:rsidRPr="00D95127">
        <w:t xml:space="preserve"> (náklady skotu ve výkrmu i při započtení podpor převyšují realizační cenu), a to i přesto, že CZV jatečných býků se držela v letech 2016-2020 na poměrně stabilní úrovni a dosahovala v průměru 46,52 Kč/kg ž. hm. Významnou roli při hodnocení ekonomiky výkrmu skotu hraje rovněž užitkovost (průměrný denní přírůstek). Ten se dle šetření ÚZEI sice stále mírně zvyšuje (od roku 2011 do roku 2020 stoupal ročně v průměru o 1,4 %), v posledních třech letech mírně převyšuje 1,0 kg/KD/ks</w:t>
      </w:r>
      <w:r w:rsidRPr="00D95127">
        <w:rPr>
          <w:rStyle w:val="Znakapoznpodarou"/>
        </w:rPr>
        <w:footnoteReference w:id="32"/>
      </w:r>
      <w:r w:rsidRPr="00D95127">
        <w:t xml:space="preserve">. Se zvyšujícím se přírůstkem se ekonomika výkrmu skotu zlepšuje. </w:t>
      </w:r>
    </w:p>
    <w:p w14:paraId="2E56DC34" w14:textId="2CD3A514" w:rsidR="00A16DDB" w:rsidRDefault="00A16DDB" w:rsidP="00E47661">
      <w:pPr>
        <w:pStyle w:val="UZEINormaln"/>
      </w:pPr>
      <w:r w:rsidRPr="00D95127">
        <w:t xml:space="preserve">Data mezinárodní sítě Agri benchmark Beef and Sheep však ukazují, že taková situace je obvyklá i v dalších zemích EU </w:t>
      </w:r>
      <w:r w:rsidR="00DF3585">
        <w:fldChar w:fldCharType="begin"/>
      </w:r>
      <w:r w:rsidR="00DF3585">
        <w:instrText xml:space="preserve"> REF _Ref81728775 \r \h </w:instrText>
      </w:r>
      <w:r w:rsidR="00DF3585">
        <w:fldChar w:fldCharType="separate"/>
      </w:r>
      <w:r w:rsidR="00DF3585">
        <w:t>Graf 49</w:t>
      </w:r>
      <w:r w:rsidR="00DF3585">
        <w:fldChar w:fldCharType="end"/>
      </w:r>
      <w:r w:rsidRPr="00D95127">
        <w:t>). Výkrm skotu je podle výsledků ekonomicky a na řadě typických farem i účetně nerentabilní. Vysvětlením, proč se přesto výkrm skotu udržuje, jsou efekty, které nejsou do tradičních ukazatelů zahrnuty, zejména proto, že nejsou přímo měřitelné. Jde např. o zlepšování kvality půdy, což lze zčásti do finančních ukazatelů zanést prostřednictvím ceny umělých hnojiv, ovšem to nevyjadřuje efekt získaný návratem organické hmoty do půd. Dalším důvodem mohou být sociální aspekty a snaha udržet pracovní pozice v lokalitě, pokud to celopodniková ekonomika dovolí. V neposlední řadě lze mezi argumenty pro pokračování ve výkrmu skotu zařadit i hledisko diverzifikace výroby na farmě. V případě výkrmu zástavového skotu se jedná o problém vysoké závislosti ekonomiky na dotační politice, protože se přímé i nepřímé podpory podílejí z 62 % na celkové hodnotě příjmů v období let 2004-2017. Nenadálé změny na trhu s hovězím masem či se zástavovým skotem mohou vyvolat vysokou volatilitu cen a tím i příjmů.</w:t>
      </w:r>
    </w:p>
    <w:p w14:paraId="266C8FBF" w14:textId="6E7A85CD" w:rsidR="00E47661" w:rsidRDefault="00E47661" w:rsidP="00E47661">
      <w:pPr>
        <w:pStyle w:val="UZEINormaln"/>
      </w:pPr>
    </w:p>
    <w:p w14:paraId="6D6BF272" w14:textId="6140EBAF" w:rsidR="00E47661" w:rsidRDefault="00E47661" w:rsidP="00E47661">
      <w:pPr>
        <w:pStyle w:val="UZEINormaln"/>
      </w:pPr>
    </w:p>
    <w:p w14:paraId="129E848D" w14:textId="664FBEE1" w:rsidR="00E47661" w:rsidRDefault="00E47661" w:rsidP="00E47661">
      <w:pPr>
        <w:pStyle w:val="UZEINormaln"/>
      </w:pPr>
    </w:p>
    <w:p w14:paraId="1C5ABDA5" w14:textId="602A18BD" w:rsidR="00E47661" w:rsidRDefault="00E47661" w:rsidP="00E47661">
      <w:pPr>
        <w:pStyle w:val="UZEINormaln"/>
      </w:pPr>
    </w:p>
    <w:p w14:paraId="4A03F489" w14:textId="14C8F880" w:rsidR="00E47661" w:rsidRDefault="00E47661" w:rsidP="00E47661">
      <w:pPr>
        <w:pStyle w:val="UZEINormaln"/>
      </w:pPr>
    </w:p>
    <w:p w14:paraId="7CF1F9F9" w14:textId="6A0FBD7D" w:rsidR="00E47661" w:rsidRDefault="00E47661" w:rsidP="00E47661">
      <w:pPr>
        <w:pStyle w:val="UZEINormaln"/>
      </w:pPr>
    </w:p>
    <w:p w14:paraId="78E5644F" w14:textId="13462D3A" w:rsidR="00E47661" w:rsidRDefault="00E47661" w:rsidP="00E47661">
      <w:pPr>
        <w:pStyle w:val="UZEINormaln"/>
      </w:pPr>
    </w:p>
    <w:p w14:paraId="0641CDBC" w14:textId="257E5999" w:rsidR="00E47661" w:rsidRDefault="00E47661" w:rsidP="00E47661">
      <w:pPr>
        <w:pStyle w:val="UZEINormaln"/>
      </w:pPr>
    </w:p>
    <w:p w14:paraId="7B40142D" w14:textId="6452FB21" w:rsidR="00E47661" w:rsidRDefault="00E47661" w:rsidP="00E47661">
      <w:pPr>
        <w:pStyle w:val="UZEINormaln"/>
      </w:pPr>
    </w:p>
    <w:p w14:paraId="5E7919B2" w14:textId="66DBB367" w:rsidR="00E47661" w:rsidRDefault="00E47661" w:rsidP="00E47661">
      <w:pPr>
        <w:pStyle w:val="UZEINormaln"/>
      </w:pPr>
    </w:p>
    <w:p w14:paraId="157E6C48" w14:textId="2E0CD548" w:rsidR="00E47661" w:rsidRDefault="00E47661" w:rsidP="00E47661">
      <w:pPr>
        <w:pStyle w:val="UZEINormaln"/>
      </w:pPr>
    </w:p>
    <w:p w14:paraId="3D5EFDCD" w14:textId="77777777" w:rsidR="00E47661" w:rsidRPr="00D95127" w:rsidRDefault="00E47661" w:rsidP="00E47661">
      <w:pPr>
        <w:pStyle w:val="UZEINormaln"/>
      </w:pPr>
    </w:p>
    <w:p w14:paraId="554A74DB" w14:textId="2E5D74AC" w:rsidR="00A16DDB" w:rsidRPr="00D95127" w:rsidRDefault="00A16DDB" w:rsidP="00E47661">
      <w:pPr>
        <w:pStyle w:val="UZEIGraf"/>
      </w:pPr>
      <w:bookmarkStart w:id="906" w:name="_Ref81728775"/>
      <w:bookmarkStart w:id="907" w:name="_Toc81738826"/>
      <w:r w:rsidRPr="00D95127">
        <w:t>Náklady a výnosy výkrmu skotu v roce 2019 (bez plateb oddělených od produkce)</w:t>
      </w:r>
      <w:bookmarkEnd w:id="906"/>
      <w:bookmarkEnd w:id="907"/>
    </w:p>
    <w:p w14:paraId="2471D7B7" w14:textId="77777777" w:rsidR="00A16DDB" w:rsidRPr="00D95127" w:rsidRDefault="00A16DDB" w:rsidP="00A16DDB">
      <w:pPr>
        <w:rPr>
          <w:rFonts w:cs="Times New Roman"/>
          <w:lang w:val="cs-CZ" w:eastAsia="cs-CZ"/>
        </w:rPr>
      </w:pPr>
      <w:r w:rsidRPr="00D95127">
        <w:rPr>
          <w:rFonts w:cs="Times New Roman"/>
          <w:noProof/>
          <w:lang w:val="cs-CZ"/>
        </w:rPr>
        <w:drawing>
          <wp:inline distT="0" distB="0" distL="0" distR="0" wp14:anchorId="1DA05523" wp14:editId="2AEED344">
            <wp:extent cx="5759450" cy="3381375"/>
            <wp:effectExtent l="0" t="0" r="0" b="0"/>
            <wp:docPr id="47" name="Graf 47">
              <a:extLst xmlns:a="http://schemas.openxmlformats.org/drawingml/2006/main">
                <a:ext uri="{FF2B5EF4-FFF2-40B4-BE49-F238E27FC236}">
                  <a16:creationId xmlns:a16="http://schemas.microsoft.com/office/drawing/2014/main" id="{00000000-0008-0000-0200-0000D8316F0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inline>
        </w:drawing>
      </w:r>
    </w:p>
    <w:p w14:paraId="3E6D5F5F" w14:textId="77777777" w:rsidR="00A16DDB" w:rsidRPr="00D95127" w:rsidRDefault="00A16DDB" w:rsidP="00DF3585">
      <w:pPr>
        <w:pStyle w:val="UZEIZdroj"/>
      </w:pPr>
      <w:r w:rsidRPr="00D95127">
        <w:t>Pozn.: 1) V přehledu nejsou zahrnuty přímé platby oddělené od produkce. Výsledky tedy poskytují informaci o ekonomice výkrmu skotu ve srovnání s alternativními výrobami na farmě. 2) Kód typické farmy zahrnuje označení země (písmena), počet krav bez tržní produkce mléka (pokud je farma chová; první číslice) a počet vykrmených kusů skotu za rok (druhá číslice). Kód „A“ a „B“ vzájemně rozlišuje farmy, které mají stejný počet kusů skotu. Kód „K“ značí „kilo“, tedy tisícinásobek uvedeného čísla.</w:t>
      </w:r>
    </w:p>
    <w:p w14:paraId="04F09BD4" w14:textId="77777777" w:rsidR="00A16DDB" w:rsidRPr="00D95127" w:rsidRDefault="00A16DDB" w:rsidP="00DF3585">
      <w:pPr>
        <w:pStyle w:val="UZEIZdroj"/>
      </w:pPr>
      <w:r w:rsidRPr="00D95127">
        <w:t>Pramen: Agri benchmark Beef and Sheep, Braunschweig</w:t>
      </w:r>
    </w:p>
    <w:p w14:paraId="1D96BF1A" w14:textId="72553AA3" w:rsidR="00A16DDB" w:rsidRPr="00D95127" w:rsidRDefault="00A16DDB" w:rsidP="00DF3585">
      <w:pPr>
        <w:spacing w:before="120" w:after="120"/>
        <w:rPr>
          <w:rFonts w:cs="Times New Roman"/>
          <w:szCs w:val="24"/>
          <w:lang w:val="cs-CZ" w:eastAsia="cs-CZ"/>
        </w:rPr>
      </w:pPr>
      <w:r w:rsidRPr="00D95127">
        <w:rPr>
          <w:rFonts w:cs="Times New Roman"/>
          <w:szCs w:val="24"/>
          <w:lang w:val="cs-CZ" w:eastAsia="cs-CZ"/>
        </w:rPr>
        <w:t xml:space="preserve">Druhým problémem je fakt, že </w:t>
      </w:r>
      <w:r w:rsidRPr="00D95127">
        <w:rPr>
          <w:rFonts w:cs="Times New Roman"/>
          <w:b/>
          <w:bCs/>
          <w:szCs w:val="24"/>
          <w:lang w:val="cs-CZ" w:eastAsia="cs-CZ"/>
        </w:rPr>
        <w:t>Česká republika vyváží produkt s nízkou přidanou hodnotou (</w:t>
      </w:r>
      <w:r w:rsidRPr="00D95127">
        <w:rPr>
          <w:rFonts w:cs="Times New Roman"/>
          <w:b/>
          <w:bCs/>
          <w:szCs w:val="24"/>
          <w:lang w:val="cs-CZ"/>
        </w:rPr>
        <w:t>1/3 jatečných zvířat z ČR je exportována</w:t>
      </w:r>
      <w:r w:rsidRPr="00D95127">
        <w:rPr>
          <w:rFonts w:cs="Times New Roman"/>
          <w:b/>
          <w:bCs/>
          <w:szCs w:val="24"/>
          <w:lang w:val="cs-CZ" w:eastAsia="cs-CZ"/>
        </w:rPr>
        <w:t>), nikoliv produkt s vysokou přidanou hodnotou</w:t>
      </w:r>
      <w:r w:rsidRPr="00D95127">
        <w:rPr>
          <w:rFonts w:cs="Times New Roman"/>
          <w:szCs w:val="24"/>
          <w:lang w:val="cs-CZ" w:eastAsia="cs-CZ"/>
        </w:rPr>
        <w:t xml:space="preserve">, tj. maso a výrobky z něj. Důvodem je nízká konkurenceschopnost a koncentrace masného zpracovatelského průmyslu v porovnání se sousedním Německem, Polskem a Rakouskem. </w:t>
      </w:r>
      <w:r w:rsidRPr="00D95127">
        <w:rPr>
          <w:rFonts w:cs="Times New Roman"/>
          <w:szCs w:val="24"/>
          <w:lang w:val="cs-CZ"/>
        </w:rPr>
        <w:t>Rostoucí dovozy hovězího masa snižují poptávku tuzemských zpracovatelů po domácí surovině, tím se však zvyšuje tlak na zemědělce uplatnit přebytečnou produkci (živý jatečný i zástavový skot) v zahraničí a tím udržet stavy</w:t>
      </w:r>
      <w:r w:rsidRPr="00D95127">
        <w:rPr>
          <w:rFonts w:cs="Times New Roman"/>
          <w:szCs w:val="24"/>
          <w:lang w:val="cs-CZ" w:eastAsia="cs-CZ"/>
        </w:rPr>
        <w:t xml:space="preserve"> základního stáda i bilanční rovnováhu v této komoditě</w:t>
      </w:r>
      <w:r w:rsidRPr="00D95127">
        <w:rPr>
          <w:rFonts w:cs="Times New Roman"/>
          <w:szCs w:val="24"/>
          <w:lang w:val="cs-CZ"/>
        </w:rPr>
        <w:t xml:space="preserve">. </w:t>
      </w:r>
    </w:p>
    <w:p w14:paraId="3B2E0CEE" w14:textId="77777777" w:rsidR="00A16DDB" w:rsidRPr="00D95127" w:rsidRDefault="00A16DDB" w:rsidP="00DF3585">
      <w:pPr>
        <w:spacing w:before="120" w:after="120"/>
        <w:rPr>
          <w:rFonts w:cs="Times New Roman"/>
          <w:szCs w:val="24"/>
          <w:lang w:val="cs-CZ" w:eastAsia="cs-CZ"/>
        </w:rPr>
      </w:pPr>
      <w:r w:rsidRPr="00D95127">
        <w:rPr>
          <w:rFonts w:cs="Times New Roman"/>
          <w:szCs w:val="24"/>
          <w:lang w:val="cs-CZ" w:eastAsia="cs-CZ"/>
        </w:rPr>
        <w:t xml:space="preserve">Třetím problémem je </w:t>
      </w:r>
      <w:r w:rsidRPr="00D95127">
        <w:rPr>
          <w:rFonts w:cs="Times New Roman"/>
          <w:b/>
          <w:bCs/>
          <w:szCs w:val="24"/>
          <w:lang w:val="cs-CZ" w:eastAsia="cs-CZ"/>
        </w:rPr>
        <w:t>nízká domácí spotřeba hovězího masa</w:t>
      </w:r>
      <w:r w:rsidRPr="00D95127">
        <w:rPr>
          <w:rFonts w:cs="Times New Roman"/>
          <w:szCs w:val="24"/>
          <w:lang w:val="cs-CZ" w:eastAsia="cs-CZ"/>
        </w:rPr>
        <w:t xml:space="preserve">, jejíž příčinou je jednak vyšší cena ve srovnání s jinými druhy masa a nízká tradice ve spotřebě výrobků z hovězího masa, které ovšem nelze ovlivnit. Další příčiny, které zahrnují nedostatečnou informovanost spotřebitele a absence značek kvality již ovlivnit lze. </w:t>
      </w:r>
      <w:r w:rsidRPr="00D95127">
        <w:rPr>
          <w:rFonts w:cs="Times New Roman"/>
          <w:szCs w:val="24"/>
          <w:lang w:val="cs-CZ"/>
        </w:rPr>
        <w:t>V ČR však chybí systémové a na převážně soukromých iniciativách založené programy kvality vedené od prvovýrobce po maloobchod, které by podpořily specifické kvalitativní charakteristiky produktu a spotřebitele na tyto kvality upozornily, jak je tomu v zahraničí (např. rakouský systém kvality AMA Gütesiegel (Pečeť kvality AMA) nebo německý systém kvality QS. Ihr Prüfsystem für Lebensmittel (QS. Systém kvality potravin.), kdy jsou postupy a normy transparentní a dostupné spotřebitelům. V ČR se podařilo dostat do povědomí spotřebitelů několik málo značek kvality (Klasa, Regionální potravina (RP), Bio potravina). Klasa ani Regionální potravina však nejsou plnohodnotným řešením.</w:t>
      </w:r>
    </w:p>
    <w:p w14:paraId="70B2E10C" w14:textId="77777777" w:rsidR="00A16DDB" w:rsidRPr="00D95127" w:rsidRDefault="00A16DDB" w:rsidP="00A16DDB">
      <w:pPr>
        <w:spacing w:before="60" w:after="60"/>
        <w:ind w:firstLine="709"/>
        <w:rPr>
          <w:rFonts w:cs="Times New Roman"/>
          <w:szCs w:val="24"/>
          <w:lang w:val="cs-CZ" w:eastAsia="cs-CZ"/>
        </w:rPr>
      </w:pPr>
    </w:p>
    <w:p w14:paraId="19707A5B" w14:textId="77777777" w:rsidR="00A16DDB" w:rsidRPr="00D95127" w:rsidRDefault="00A16DDB" w:rsidP="00DF3585">
      <w:pPr>
        <w:pStyle w:val="Nadpis1"/>
      </w:pPr>
      <w:bookmarkStart w:id="908" w:name="_Toc15304092"/>
      <w:bookmarkStart w:id="909" w:name="_Toc23509910"/>
      <w:bookmarkStart w:id="910" w:name="_Toc76137444"/>
      <w:bookmarkStart w:id="911" w:name="_Toc76637643"/>
      <w:bookmarkStart w:id="912" w:name="_Toc80953332"/>
      <w:bookmarkStart w:id="913" w:name="_Toc81739285"/>
      <w:r w:rsidRPr="00D95127">
        <w:t>Jaký je mechanizmus a příčiny tohoto problému?</w:t>
      </w:r>
      <w:bookmarkEnd w:id="908"/>
      <w:bookmarkEnd w:id="909"/>
      <w:bookmarkEnd w:id="910"/>
      <w:bookmarkEnd w:id="911"/>
      <w:bookmarkEnd w:id="912"/>
      <w:bookmarkEnd w:id="913"/>
    </w:p>
    <w:p w14:paraId="0B12A53E" w14:textId="77777777" w:rsidR="00A16DDB" w:rsidRPr="00D95127" w:rsidRDefault="00A16DDB" w:rsidP="00DF3585">
      <w:pPr>
        <w:pStyle w:val="UZEINormaln"/>
      </w:pPr>
      <w:r w:rsidRPr="00D95127">
        <w:t xml:space="preserve">Jedním z důvodů, proč čeští zemědělci vyvážejí jatečný skot, je jeho vyšší cena ve většině členských zemí, kam je skot exportován. Vývozy tedy znamenají pro chovatele vyšší zdroj příjmů, a tím při stejných nákladech i vyšší rentabilitu. </w:t>
      </w:r>
    </w:p>
    <w:p w14:paraId="6559E721" w14:textId="77777777" w:rsidR="00A16DDB" w:rsidRPr="00D95127" w:rsidRDefault="00A16DDB" w:rsidP="00DF3585">
      <w:pPr>
        <w:pStyle w:val="UZEIOdrky"/>
      </w:pPr>
      <w:r w:rsidRPr="00D95127">
        <w:t>provázanost sektoru s odvětvím mléka (více než dvě třetiny produkce hovězího a telecího masa pro užití na tuzemském trhu pochází od dojené populace skotu, masný skot je ve velké míře exportován jako užitkový, jatečný a chovný),</w:t>
      </w:r>
    </w:p>
    <w:p w14:paraId="4504D240" w14:textId="77777777" w:rsidR="00A16DDB" w:rsidRPr="00D95127" w:rsidRDefault="00A16DDB" w:rsidP="00DF3585">
      <w:pPr>
        <w:pStyle w:val="UZEIOdrky"/>
      </w:pPr>
      <w:r w:rsidRPr="00D95127">
        <w:t>záporné saldo zahraničního obchodu v mase vlivem nízké konkurenceschopnosti zpracovatelského průmyslu uplatnit tuzemskou produkci na zahraničním trhu. Stavy skotu na vysoké úrovni se udržují díky exportům živých zvířat a podporám do sektoru směrovaným</w:t>
      </w:r>
      <w:r w:rsidRPr="00D95127">
        <w:rPr>
          <w:lang w:eastAsia="cs-CZ"/>
        </w:rPr>
        <w:t>.</w:t>
      </w:r>
    </w:p>
    <w:p w14:paraId="6502C55A" w14:textId="77777777" w:rsidR="00A16DDB" w:rsidRPr="00D95127" w:rsidRDefault="00A16DDB" w:rsidP="00DF3585">
      <w:pPr>
        <w:pStyle w:val="UZEIOdrky"/>
      </w:pPr>
      <w:r w:rsidRPr="00D95127">
        <w:rPr>
          <w:lang w:eastAsia="cs-CZ"/>
        </w:rPr>
        <w:t>výše nákladů dosažených na kilogram živé hmotnosti vykrmovaného zvířete dlouhodobě převyšuje realizační cenu výkrmu skotu. Podpory, které jsou do chovu skotu směrovány, však do určité míry ekonomiku produkce hovězího masa chovatelům zlepšují,</w:t>
      </w:r>
    </w:p>
    <w:p w14:paraId="7D30C6D3" w14:textId="6035ACD5" w:rsidR="00A16DDB" w:rsidRPr="00DF3585" w:rsidRDefault="00A16DDB" w:rsidP="00DF3585">
      <w:pPr>
        <w:pStyle w:val="UZEIOdrky"/>
      </w:pPr>
      <w:r w:rsidRPr="00D95127">
        <w:rPr>
          <w:lang w:eastAsia="cs-CZ"/>
        </w:rPr>
        <w:t>nevyrovnané partie masa znevýhodňují nabídku pro export – velká rozmanitost chovaných masných plemen ve vztahu k celkovému počtu chovaných zvířat</w:t>
      </w:r>
      <w:r w:rsidRPr="00D95127">
        <w:t>.</w:t>
      </w:r>
    </w:p>
    <w:p w14:paraId="53488F07" w14:textId="74A94E4E" w:rsidR="00A16DDB" w:rsidRPr="00D95127" w:rsidRDefault="00A16DDB" w:rsidP="00DF3585">
      <w:pPr>
        <w:pStyle w:val="UZEITaB"/>
      </w:pPr>
      <w:bookmarkStart w:id="914" w:name="_Toc81738527"/>
      <w:r w:rsidRPr="00D95127">
        <w:t>Ekonomika výkrmu skotu v letech 2016 až 2020</w:t>
      </w:r>
      <w:bookmarkEnd w:id="914"/>
    </w:p>
    <w:p w14:paraId="21A3DB7B" w14:textId="77777777" w:rsidR="00A16DDB" w:rsidRPr="00D95127" w:rsidRDefault="00A16DDB" w:rsidP="00A16DDB">
      <w:pPr>
        <w:keepLines/>
        <w:spacing w:before="40"/>
        <w:rPr>
          <w:rFonts w:cs="Times New Roman"/>
          <w:b/>
          <w:szCs w:val="24"/>
          <w:lang w:val="cs-CZ"/>
        </w:rPr>
      </w:pPr>
      <w:bookmarkStart w:id="915" w:name="_Toc23401614"/>
      <w:bookmarkStart w:id="916" w:name="_Toc23473686"/>
      <w:bookmarkStart w:id="917" w:name="_Toc23475140"/>
      <w:bookmarkStart w:id="918" w:name="_Toc23509757"/>
      <w:bookmarkStart w:id="919" w:name="_Toc23509911"/>
      <w:bookmarkEnd w:id="915"/>
      <w:bookmarkEnd w:id="916"/>
      <w:bookmarkEnd w:id="917"/>
      <w:bookmarkEnd w:id="918"/>
      <w:bookmarkEnd w:id="919"/>
      <w:r w:rsidRPr="00D95127">
        <w:rPr>
          <w:rFonts w:cs="Times New Roman"/>
          <w:noProof/>
          <w:lang w:val="cs-CZ"/>
        </w:rPr>
        <w:drawing>
          <wp:inline distT="0" distB="0" distL="0" distR="0" wp14:anchorId="272BB058" wp14:editId="5218F53D">
            <wp:extent cx="5759450" cy="2287270"/>
            <wp:effectExtent l="0" t="0" r="0" b="0"/>
            <wp:docPr id="89" name="Obrázek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759450" cy="2287270"/>
                    </a:xfrm>
                    <a:prstGeom prst="rect">
                      <a:avLst/>
                    </a:prstGeom>
                    <a:noFill/>
                    <a:ln>
                      <a:noFill/>
                    </a:ln>
                  </pic:spPr>
                </pic:pic>
              </a:graphicData>
            </a:graphic>
          </wp:inline>
        </w:drawing>
      </w:r>
    </w:p>
    <w:p w14:paraId="2627D2A7" w14:textId="77777777" w:rsidR="00A16DDB" w:rsidRPr="00D95127" w:rsidRDefault="00A16DDB" w:rsidP="00DF3585">
      <w:pPr>
        <w:pStyle w:val="UZEIZdroj"/>
      </w:pPr>
      <w:r w:rsidRPr="00D95127">
        <w:t>Pozn.: 1) Meziroční index je vyjádřen v p.b. (tj. rozdílem %).</w:t>
      </w:r>
    </w:p>
    <w:p w14:paraId="60C929C2" w14:textId="77777777" w:rsidR="00A16DDB" w:rsidRPr="00D95127" w:rsidRDefault="00A16DDB" w:rsidP="00DF3585">
      <w:pPr>
        <w:pStyle w:val="UZEIZdroj"/>
      </w:pPr>
      <w:r w:rsidRPr="00D95127">
        <w:t>2) Cena = CZV na reprezentativních trzích EU.</w:t>
      </w:r>
    </w:p>
    <w:p w14:paraId="2053D032" w14:textId="77777777" w:rsidR="00A16DDB" w:rsidRPr="00D95127" w:rsidRDefault="00A16DDB" w:rsidP="00DF3585">
      <w:pPr>
        <w:pStyle w:val="UZEIZdroj"/>
      </w:pPr>
      <w:r w:rsidRPr="00D95127">
        <w:t>3) Rok 2020 – předpoklad</w:t>
      </w:r>
    </w:p>
    <w:p w14:paraId="4A66C40A" w14:textId="77777777" w:rsidR="00A16DDB" w:rsidRPr="00D95127" w:rsidRDefault="00A16DDB" w:rsidP="00DF3585">
      <w:pPr>
        <w:pStyle w:val="UZEIZdroj"/>
      </w:pPr>
      <w:r w:rsidRPr="00D95127">
        <w:rPr>
          <w:rFonts w:eastAsia="Times New Roman"/>
          <w:lang w:eastAsia="cs-CZ"/>
        </w:rPr>
        <w:t>Pramen: ÚZEI – Výběrové šetření o nákladech a výnosech zemědělských výrobků za rok 2016-2020, SZIF, EUROSTAT; výpočty ÚZEI a MZe</w:t>
      </w:r>
    </w:p>
    <w:p w14:paraId="637B7E1C" w14:textId="77777777" w:rsidR="00A16DDB" w:rsidRPr="00D95127" w:rsidRDefault="00A16DDB" w:rsidP="00A16DDB">
      <w:pPr>
        <w:keepLines/>
        <w:spacing w:before="40"/>
        <w:rPr>
          <w:rFonts w:cs="Times New Roman"/>
          <w:b/>
          <w:szCs w:val="24"/>
          <w:lang w:val="cs-CZ"/>
        </w:rPr>
      </w:pPr>
    </w:p>
    <w:p w14:paraId="65144105" w14:textId="77777777" w:rsidR="00DF3585" w:rsidRDefault="00DF3585">
      <w:pPr>
        <w:spacing w:after="160" w:line="259" w:lineRule="auto"/>
        <w:jc w:val="left"/>
        <w:rPr>
          <w:rFonts w:eastAsiaTheme="majorEastAsia" w:cs="Times New Roman"/>
          <w:b/>
          <w:bCs/>
          <w:sz w:val="28"/>
          <w:szCs w:val="32"/>
          <w:lang w:val="cs-CZ"/>
        </w:rPr>
      </w:pPr>
      <w:bookmarkStart w:id="920" w:name="_Toc23401615"/>
      <w:bookmarkStart w:id="921" w:name="_Toc23473687"/>
      <w:bookmarkStart w:id="922" w:name="_Toc23475141"/>
      <w:bookmarkStart w:id="923" w:name="_Toc23509758"/>
      <w:bookmarkStart w:id="924" w:name="_Toc23509912"/>
      <w:bookmarkStart w:id="925" w:name="_Toc23401616"/>
      <w:bookmarkStart w:id="926" w:name="_Toc23473688"/>
      <w:bookmarkStart w:id="927" w:name="_Toc23475142"/>
      <w:bookmarkStart w:id="928" w:name="_Toc23509759"/>
      <w:bookmarkStart w:id="929" w:name="_Toc23509913"/>
      <w:bookmarkStart w:id="930" w:name="_Toc76137445"/>
      <w:bookmarkStart w:id="931" w:name="_Toc76637644"/>
      <w:bookmarkStart w:id="932" w:name="_Toc80953333"/>
      <w:bookmarkEnd w:id="920"/>
      <w:bookmarkEnd w:id="921"/>
      <w:bookmarkEnd w:id="922"/>
      <w:bookmarkEnd w:id="923"/>
      <w:bookmarkEnd w:id="924"/>
      <w:bookmarkEnd w:id="925"/>
      <w:bookmarkEnd w:id="926"/>
      <w:bookmarkEnd w:id="927"/>
      <w:bookmarkEnd w:id="928"/>
      <w:bookmarkEnd w:id="929"/>
      <w:r>
        <w:br w:type="page"/>
      </w:r>
    </w:p>
    <w:p w14:paraId="13A1E725" w14:textId="1E2DFB74" w:rsidR="00A16DDB" w:rsidRPr="00D95127" w:rsidRDefault="00A16DDB" w:rsidP="00DF3585">
      <w:pPr>
        <w:pStyle w:val="Nadpis1"/>
      </w:pPr>
      <w:bookmarkStart w:id="933" w:name="_Toc81739286"/>
      <w:r w:rsidRPr="00D95127">
        <w:t>Jak závažný je tento problém?</w:t>
      </w:r>
      <w:bookmarkEnd w:id="930"/>
      <w:bookmarkEnd w:id="931"/>
      <w:bookmarkEnd w:id="932"/>
      <w:bookmarkEnd w:id="933"/>
    </w:p>
    <w:p w14:paraId="70BC4D65" w14:textId="4C8A21CE" w:rsidR="00A16DDB" w:rsidRPr="00D95127" w:rsidRDefault="00A16DDB" w:rsidP="00DF3585">
      <w:pPr>
        <w:pStyle w:val="UZEINormaln"/>
      </w:pPr>
      <w:bookmarkStart w:id="934" w:name="_Toc27157092"/>
      <w:bookmarkEnd w:id="934"/>
      <w:r w:rsidRPr="00D95127">
        <w:t xml:space="preserve">Závažnost problému spočívá v tom, že v rámci výrobkové vertikály (prvovýrobce-zpracovatel) je v odvětví bilanční přebytek produkce z trhu ČR realizován vývozy převážně v živých zvířat (viz </w:t>
      </w:r>
      <w:r w:rsidR="00301EFD">
        <w:fldChar w:fldCharType="begin"/>
      </w:r>
      <w:r w:rsidR="00301EFD">
        <w:instrText xml:space="preserve"> REF _Ref81728974 \r \h </w:instrText>
      </w:r>
      <w:r w:rsidR="00301EFD">
        <w:fldChar w:fldCharType="separate"/>
      </w:r>
      <w:r w:rsidR="00301EFD">
        <w:t>Graf 48</w:t>
      </w:r>
      <w:r w:rsidR="00301EFD">
        <w:fldChar w:fldCharType="end"/>
      </w:r>
      <w:r w:rsidRPr="00D95127">
        <w:t>). To se jeví jako velké riziko právě pro prvovýrobce, neboť může v budoucnu docházet ke zpřísňování pravidel (změně legislativy) v oblasti welfare při přepravě zvířat nejen v rámci zemí EU, ale i do třetích zemí, nebo k omezování obchodu v případě neočekávaného výskytu onemocnění, změny politik importních zemí pod. To by se zcela určitě promítlo negativně do stavů chovaného skotu v ČR, neboť zpracovatelé by nedokázali bilanční přebytek v podobě hovězího masa uplatnit na zahraničních trzích. Na vnitřním trhu ČR by následně vznikl převis nabídky nad poptávkou, což by mělo významný dopad do ekonomiky chovu jatečného skotu (pokles cen). V důsledku toho by patrně došlo k úbytku stavů skotu, a tím i redukcí výroby na takovou úroveň, aby se přizpůsobila tuzemské poptávce. Nižší stavy by znamenaly další snížení intenzity skotu na plochu z. p., pokles využívání TTP i snížení potřeby pracovních sil.</w:t>
      </w:r>
    </w:p>
    <w:p w14:paraId="02F206D8" w14:textId="3495F8A2" w:rsidR="00A16DDB" w:rsidRPr="00D95127" w:rsidRDefault="00A16DDB" w:rsidP="00DF3585">
      <w:pPr>
        <w:pStyle w:val="UZEINormaln"/>
        <w:rPr>
          <w:u w:val="single"/>
        </w:rPr>
      </w:pPr>
      <w:r w:rsidRPr="00D95127">
        <w:t>Sektor chovu skotu určeného k produkci hovězího masa váže přibližně 12 900 zemědělských pracovníků, tj. 12,4 %</w:t>
      </w:r>
      <w:r w:rsidRPr="00D95127">
        <w:rPr>
          <w:u w:val="single"/>
        </w:rPr>
        <w:t>.</w:t>
      </w:r>
    </w:p>
    <w:p w14:paraId="2AA7CE52" w14:textId="77777777" w:rsidR="00301EFD" w:rsidRDefault="00301EFD">
      <w:pPr>
        <w:spacing w:after="160" w:line="259" w:lineRule="auto"/>
        <w:jc w:val="left"/>
        <w:rPr>
          <w:rFonts w:eastAsiaTheme="majorEastAsia" w:cs="Times New Roman"/>
          <w:b/>
          <w:bCs/>
          <w:sz w:val="28"/>
          <w:szCs w:val="32"/>
          <w:lang w:val="cs-CZ"/>
        </w:rPr>
      </w:pPr>
      <w:bookmarkStart w:id="935" w:name="_Toc23509916"/>
      <w:bookmarkStart w:id="936" w:name="_Toc76137446"/>
      <w:bookmarkStart w:id="937" w:name="_Toc76637645"/>
      <w:bookmarkStart w:id="938" w:name="_Toc80953334"/>
      <w:r>
        <w:br w:type="page"/>
      </w:r>
    </w:p>
    <w:p w14:paraId="19FD365B" w14:textId="6A3FBFA3" w:rsidR="00A16DDB" w:rsidRPr="00D95127" w:rsidRDefault="00A16DDB" w:rsidP="00301EFD">
      <w:pPr>
        <w:pStyle w:val="Nadpis1"/>
      </w:pPr>
      <w:bookmarkStart w:id="939" w:name="_Toc81739287"/>
      <w:r w:rsidRPr="00D95127">
        <w:t>Míra stávajícího řešení problému</w:t>
      </w:r>
      <w:bookmarkEnd w:id="935"/>
      <w:bookmarkEnd w:id="936"/>
      <w:bookmarkEnd w:id="937"/>
      <w:bookmarkEnd w:id="938"/>
      <w:bookmarkEnd w:id="939"/>
    </w:p>
    <w:p w14:paraId="023A90E2" w14:textId="0C5B43AA" w:rsidR="00A16DDB" w:rsidRPr="00301EFD" w:rsidRDefault="00A16DDB" w:rsidP="00301EFD">
      <w:pPr>
        <w:pStyle w:val="UZEINormaln"/>
        <w:rPr>
          <w:u w:val="single"/>
        </w:rPr>
      </w:pPr>
      <w:bookmarkStart w:id="940" w:name="_Hlk14547098"/>
      <w:r w:rsidRPr="00301EFD">
        <w:rPr>
          <w:u w:val="single"/>
        </w:rPr>
        <w:t>Odvětví výkrmu skotu a chovu krav BPTPM je podporováno řadou podpor směrovaných do odvětví jak v rámci SZP, tak v rámci národní politiky. Tyto subvence v souhrnu pomáhají zlepšovat ekonomiku obou odvětví</w:t>
      </w:r>
      <w:bookmarkEnd w:id="940"/>
      <w:r w:rsidRPr="00301EFD">
        <w:rPr>
          <w:u w:val="single"/>
        </w:rPr>
        <w:t>.</w:t>
      </w:r>
    </w:p>
    <w:p w14:paraId="1BD4E9AC" w14:textId="77777777" w:rsidR="00A16DDB" w:rsidRPr="00D95127" w:rsidRDefault="00A16DDB" w:rsidP="00301EFD">
      <w:pPr>
        <w:pStyle w:val="Nadpis2"/>
      </w:pPr>
      <w:bookmarkStart w:id="941" w:name="_Toc15304095"/>
      <w:bookmarkStart w:id="942" w:name="_Toc23509917"/>
      <w:bookmarkStart w:id="943" w:name="_Toc76137447"/>
      <w:bookmarkStart w:id="944" w:name="_Toc76637646"/>
      <w:bookmarkStart w:id="945" w:name="_Toc80953335"/>
      <w:bookmarkStart w:id="946" w:name="_Toc81739288"/>
      <w:r w:rsidRPr="00D95127">
        <w:t>Míra řešení ve stávající SZP (úspěšnost/neúspěšnost)</w:t>
      </w:r>
      <w:bookmarkEnd w:id="941"/>
      <w:bookmarkEnd w:id="942"/>
      <w:bookmarkEnd w:id="943"/>
      <w:bookmarkEnd w:id="944"/>
      <w:bookmarkEnd w:id="945"/>
      <w:bookmarkEnd w:id="946"/>
    </w:p>
    <w:p w14:paraId="52152E79" w14:textId="77252907" w:rsidR="00A16DDB" w:rsidRPr="00D95127" w:rsidRDefault="00A16DDB" w:rsidP="00301EFD">
      <w:pPr>
        <w:pStyle w:val="UZEINormaln"/>
      </w:pPr>
      <w:r w:rsidRPr="00D95127">
        <w:t xml:space="preserve">V rámci současné SZP byla v letech 2014-2020 do odvětví výkrmu skotu i krav BTPM směrována řada přímých a nepřímých podpor, které se podílely na zlepšení rentability produkce hovězího masa. Nákladová rentabilita výkrmu skotu se dlouhodobě pohybuje v záporných hodnotách, v rámci SZP jí pomáhají zlepšovat především nepřímé podpory (podpory vázané na krmné plodiny, LFA, AEKO aj.), které tvoří více než 99 % z celkového objemu podpor směřovaných do tohoto sektoru. Jejich výše od roku 2014 dosahovala v průměru 10 tis. Kč/ks. Z nich zaujímal nejvýznamnější podíl podpor SAPS (+greening) vázaný na krmné plodiny. Významný podíl zaujímají také LFA platby a rovněž AEKO. </w:t>
      </w:r>
    </w:p>
    <w:p w14:paraId="763191AF" w14:textId="44CFE814" w:rsidR="00A16DDB" w:rsidRPr="00D95127" w:rsidRDefault="00A16DDB" w:rsidP="00301EFD">
      <w:pPr>
        <w:pStyle w:val="UZEINormaln"/>
      </w:pPr>
      <w:r w:rsidRPr="00D95127">
        <w:t>Sektor krav bez tržní produkce mléka je v ČR od roku 2015 zařazen mezi citlivé komodity (VCS)</w:t>
      </w:r>
      <w:r w:rsidRPr="00D95127">
        <w:rPr>
          <w:rStyle w:val="Znakapoznpodarou"/>
        </w:rPr>
        <w:footnoteReference w:id="33"/>
      </w:r>
      <w:r w:rsidRPr="00D95127">
        <w:t xml:space="preserve">. Z těchto důvodů byly chovy pro stabilizaci odvětví podpořeny přímo formou podpory na masné tele. Velký význam zaujímají v rámci zlepšení rentability tohoto odvětví podpory nepřímé (SAPS + greening, LFA a AEKO na TTP) jejichž podíl tvoří 87 %. Z přímých podpor se kromě VCS uplatnily ještě v menší míře PVP na krávy BTPM. </w:t>
      </w:r>
    </w:p>
    <w:p w14:paraId="66AEDCCF" w14:textId="77777777" w:rsidR="00A16DDB" w:rsidRPr="00D95127" w:rsidRDefault="00A16DDB" w:rsidP="00301EFD">
      <w:pPr>
        <w:pStyle w:val="UZEINormaln"/>
        <w:rPr>
          <w:rFonts w:cs="Times New Roman"/>
        </w:rPr>
      </w:pPr>
      <w:r w:rsidRPr="00D95127">
        <w:rPr>
          <w:rFonts w:cs="Times New Roman"/>
        </w:rPr>
        <w:t>Investice do odvětví chovu skotu byly částečně řešeny projekty v rámci PRV 2014</w:t>
      </w:r>
      <w:r w:rsidRPr="00D95127">
        <w:rPr>
          <w:rFonts w:cs="Times New Roman"/>
        </w:rPr>
        <w:noBreakHyphen/>
        <w:t>2018. Za období 2016</w:t>
      </w:r>
      <w:r w:rsidRPr="00D95127">
        <w:rPr>
          <w:rFonts w:cs="Times New Roman"/>
        </w:rPr>
        <w:noBreakHyphen/>
        <w:t>2018 byly z operace 4.1.1 uznány žadatelům způsobilé výdaje na projekty pro ostatní skot (tj. vyjma dojnic) v celkové sumě 2,6 mld. Kč a z toho čerpány podpory za 1,4 mld. Kč. Podíl podpor za uvedené období na projekty určené pro ostatní skot z celkové sumy čerpaných podpor na projekty (3,3 mld. Kč) v rámci živočišné výroby byl nejvyšší a dosahoval 42 %. Za celé předchozí PRV 2007</w:t>
      </w:r>
      <w:r w:rsidRPr="00D95127">
        <w:rPr>
          <w:rFonts w:cs="Times New Roman"/>
        </w:rPr>
        <w:noBreakHyphen/>
        <w:t>2013 dosáhl tento podíl 37 %.</w:t>
      </w:r>
    </w:p>
    <w:p w14:paraId="5C726667" w14:textId="4794AAC2" w:rsidR="00A16DDB" w:rsidRPr="00D95127" w:rsidRDefault="00A16DDB" w:rsidP="00301EFD">
      <w:pPr>
        <w:pStyle w:val="UZEINormaln"/>
        <w:rPr>
          <w:rFonts w:cs="Times New Roman"/>
        </w:rPr>
      </w:pPr>
      <w:r w:rsidRPr="00D95127">
        <w:rPr>
          <w:rFonts w:cs="Times New Roman"/>
          <w:lang w:eastAsia="x-none"/>
        </w:rPr>
        <w:t>Nezbytnou součástí systému podpor jsou základní požadavky podmíněnosti (cross compliance). Tyto p</w:t>
      </w:r>
      <w:r w:rsidRPr="00D95127">
        <w:rPr>
          <w:rFonts w:cs="Times New Roman"/>
        </w:rPr>
        <w:t xml:space="preserve">ovinné požadavky na hospodaření zemědělského subjektu (PPH) jsou stanoveny vybranými články nařízení a směrnic EU a jsou buď přímo použitelné v rámci českého právního řádu (v případě Nařízení) nebo jsou zapracovány do platných národních právních předpisů (Směrnice). Zemědělci, kteří podají žádost o dotace v rámci podpor, jsou zavázáni k dodržování těchto požadavků. V rámci systému kontrol podmíněnosti jsou definovány 3 oblasti pravidel (Životní prostředí, změna klimatu a dobrý zemědělský a environmentální stav; Veřejné zdraví, zdraví zvířat a rostlin; dobré životní podmínky zvířat). </w:t>
      </w:r>
    </w:p>
    <w:p w14:paraId="2BCF5E4D" w14:textId="77777777" w:rsidR="00A16DDB" w:rsidRPr="00D95127" w:rsidRDefault="00A16DDB" w:rsidP="00301EFD">
      <w:pPr>
        <w:pStyle w:val="Nadpis2"/>
      </w:pPr>
      <w:bookmarkStart w:id="947" w:name="_Toc15304096"/>
      <w:bookmarkStart w:id="948" w:name="_Toc23509918"/>
      <w:bookmarkStart w:id="949" w:name="_Toc76137448"/>
      <w:bookmarkStart w:id="950" w:name="_Toc76637647"/>
      <w:bookmarkStart w:id="951" w:name="_Toc80953336"/>
      <w:bookmarkStart w:id="952" w:name="_Toc81739289"/>
      <w:r w:rsidRPr="00D95127">
        <w:t>Míra současného řešení problému jinými politikami</w:t>
      </w:r>
      <w:bookmarkEnd w:id="947"/>
      <w:bookmarkEnd w:id="948"/>
      <w:bookmarkEnd w:id="949"/>
      <w:bookmarkEnd w:id="950"/>
      <w:bookmarkEnd w:id="951"/>
      <w:bookmarkEnd w:id="952"/>
    </w:p>
    <w:p w14:paraId="4D61847E" w14:textId="77777777" w:rsidR="00A16DDB" w:rsidRPr="00D95127" w:rsidRDefault="00A16DDB" w:rsidP="00301EFD">
      <w:pPr>
        <w:pStyle w:val="UZEINormaln"/>
      </w:pPr>
      <w:r w:rsidRPr="00D95127">
        <w:t>Příjmové podpory do odvětví chovu skotu v rámci SZP jsou doplněny podporami provozního nebo investičního charakteru z národních zdrojů buď v podobně dlouhodobých programů nebo mimořádných plateb. Vzhledem k výkyvům povětrnostních podmínek (nedostatek srážek) byla v letech 2015-2018 vyplacená mimořádná podpora na zmírnění škod způsobených suchem (nepřímá kompenzace na krmiva). Mezi další pravidelně vyplácené provozní podpory, které jsou méně významné z hlediska jejich výše, patří podpora pojištění zvířat a rovněž prostřednictvím krmiv podpora pojištění RV a dále vratka zelené nafty pro RV (krmiva) i pro ŽV (na VDJ).</w:t>
      </w:r>
    </w:p>
    <w:p w14:paraId="3124AB6B" w14:textId="77777777" w:rsidR="00A16DDB" w:rsidRPr="00D95127" w:rsidRDefault="00A16DDB" w:rsidP="00A16DDB">
      <w:pPr>
        <w:pStyle w:val="Odstavecseseznamem"/>
        <w:ind w:left="0" w:firstLine="567"/>
        <w:rPr>
          <w:lang w:eastAsia="cs-CZ"/>
        </w:rPr>
      </w:pPr>
    </w:p>
    <w:p w14:paraId="66D0F2F2" w14:textId="1467E559" w:rsidR="00A16DDB" w:rsidRPr="00D95127" w:rsidRDefault="00A16DDB" w:rsidP="00301EFD">
      <w:pPr>
        <w:pStyle w:val="UZEIGraf"/>
      </w:pPr>
      <w:bookmarkStart w:id="953" w:name="_Ref81729240"/>
      <w:bookmarkStart w:id="954" w:name="_Toc81738827"/>
      <w:r w:rsidRPr="00D95127">
        <w:t>Struktura podpor v chovu krav BPM za roky 2011 -2020</w:t>
      </w:r>
      <w:bookmarkEnd w:id="953"/>
      <w:bookmarkEnd w:id="954"/>
      <w:r w:rsidRPr="00D95127">
        <w:t xml:space="preserve"> </w:t>
      </w:r>
    </w:p>
    <w:p w14:paraId="79052E43" w14:textId="77777777" w:rsidR="00A16DDB" w:rsidRPr="00D95127" w:rsidRDefault="00A16DDB" w:rsidP="00A16DDB">
      <w:pPr>
        <w:pStyle w:val="Odstavecseseznamem"/>
        <w:ind w:left="714" w:hanging="714"/>
        <w:rPr>
          <w:noProof/>
        </w:rPr>
      </w:pPr>
      <w:r w:rsidRPr="00D95127">
        <w:rPr>
          <w:noProof/>
        </w:rPr>
        <w:drawing>
          <wp:inline distT="0" distB="0" distL="0" distR="0" wp14:anchorId="2284F3C3" wp14:editId="61884812">
            <wp:extent cx="5759450" cy="4010025"/>
            <wp:effectExtent l="0" t="0" r="12700" b="9525"/>
            <wp:docPr id="72" name="Graf 72">
              <a:extLst xmlns:a="http://schemas.openxmlformats.org/drawingml/2006/main">
                <a:ext uri="{FF2B5EF4-FFF2-40B4-BE49-F238E27FC236}">
                  <a16:creationId xmlns:a16="http://schemas.microsoft.com/office/drawing/2014/main" id="{1B142CE8-66C8-4E40-A5F6-522A237373B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p>
    <w:p w14:paraId="56CCC650" w14:textId="77777777" w:rsidR="00A16DDB" w:rsidRPr="00D95127" w:rsidRDefault="00A16DDB" w:rsidP="00301EFD">
      <w:pPr>
        <w:pStyle w:val="UZEIZdroj"/>
      </w:pPr>
      <w:r w:rsidRPr="00D95127">
        <w:t xml:space="preserve">Zdroj: Výpočet ÚZEI </w:t>
      </w:r>
    </w:p>
    <w:p w14:paraId="08E0BC37" w14:textId="2EF30ACE" w:rsidR="00A16DDB" w:rsidRPr="00D95127" w:rsidRDefault="00A16DDB" w:rsidP="00301EFD">
      <w:pPr>
        <w:pStyle w:val="UZEIGraf"/>
      </w:pPr>
      <w:bookmarkStart w:id="955" w:name="_Toc81738828"/>
      <w:r w:rsidRPr="00D95127">
        <w:t>Struktura podpor výkrmu skotu za roky 2011 -2020</w:t>
      </w:r>
      <w:bookmarkEnd w:id="955"/>
      <w:r w:rsidRPr="00D95127">
        <w:t xml:space="preserve"> </w:t>
      </w:r>
    </w:p>
    <w:p w14:paraId="30A13298" w14:textId="77777777" w:rsidR="00A16DDB" w:rsidRPr="00D95127" w:rsidRDefault="00A16DDB" w:rsidP="00A16DDB">
      <w:pPr>
        <w:pStyle w:val="Odstavecseseznamem"/>
        <w:spacing w:line="240" w:lineRule="auto"/>
        <w:ind w:left="0"/>
        <w:contextualSpacing w:val="0"/>
        <w:rPr>
          <w:noProof/>
        </w:rPr>
      </w:pPr>
      <w:r w:rsidRPr="00D95127">
        <w:rPr>
          <w:noProof/>
        </w:rPr>
        <w:drawing>
          <wp:inline distT="0" distB="0" distL="0" distR="0" wp14:anchorId="4441B846" wp14:editId="19EEFE18">
            <wp:extent cx="5759450" cy="3706239"/>
            <wp:effectExtent l="0" t="0" r="6350" b="15240"/>
            <wp:docPr id="73" name="Graf 73">
              <a:extLst xmlns:a="http://schemas.openxmlformats.org/drawingml/2006/main">
                <a:ext uri="{FF2B5EF4-FFF2-40B4-BE49-F238E27FC236}">
                  <a16:creationId xmlns:a16="http://schemas.microsoft.com/office/drawing/2014/main" id="{5D14F387-83BE-4ED8-A7AE-F88BC4FD8A0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p>
    <w:p w14:paraId="3C363497" w14:textId="77777777" w:rsidR="00A16DDB" w:rsidRPr="00D95127" w:rsidRDefault="00A16DDB" w:rsidP="00301EFD">
      <w:pPr>
        <w:pStyle w:val="UZEIZdroj"/>
      </w:pPr>
      <w:r w:rsidRPr="00D95127">
        <w:t>Zdroj: Výpočet ÚZEI</w:t>
      </w:r>
    </w:p>
    <w:p w14:paraId="068C697D" w14:textId="4C7D62C5" w:rsidR="00A16DDB" w:rsidRPr="00D95127" w:rsidRDefault="00A16DDB" w:rsidP="00301EFD">
      <w:pPr>
        <w:pStyle w:val="UZEINormaln"/>
      </w:pPr>
      <w:r w:rsidRPr="00D95127">
        <w:t xml:space="preserve">Působení komplexu opatření stávající SZP a národní zemědělské politiky z hlediska relativně příznivé příjmové stability dává dobré předpoklady pro budoucí relativně stabilní vývoj i uplatnění komodity. Vysoké vývozy telat a zástavového skotu a zároveň nárůst tuzemské spotřeby hovězího masa ovlivnily míru soběstačnosti, která se od roku 2016 snižuje a vzdaluje se tak cíli Strategie 2030 (tj. 140 % v roce 2020). Naproti tomu stavy krav BTPM se do roku 2019 trvale zvyšovaly (v roce 2019 dosáhly 226 tis. ks), avšak v roce 2020 se tento trend zbrzdil, takže stavy zůstaly na 96 % cílové hodnoty roku 2020 stanovené ve Strategii 2030 (tj. 230 tis. ks). Chov krav bez tržní produkce mléka není možné realizovat bez podpor. Nákladová rentabilita vykazuje výraznou ztrátu, která v průměru let 2016-2020 představovala -53,4 %. To však platí pro toto odvětví nejen v ČR ale i pro ostatní členské země. Pro stabilitu odvětví a efektivitu výroby je nezbytné, aby i nadále do odvětví chovu krav BTPM směřovaly podpory, a to především z I. pilíře v podobě přímých plateb (SAPS) a z II. pilíře v podobě podpor LFA a AEKO. Vzhledem k tomu, že VCS za stávajících podmínek nemá v sektoru krav BTPM z hlediska rentability zásadní význam a zároveň stavy krav BTPM od roku 2014 trvale meziročně dynamicky rostou (viz </w:t>
      </w:r>
      <w:r w:rsidR="00FB6146">
        <w:fldChar w:fldCharType="begin"/>
      </w:r>
      <w:r w:rsidR="00FB6146">
        <w:instrText xml:space="preserve"> REF _Ref81729240 \r \h </w:instrText>
      </w:r>
      <w:r w:rsidR="00FB6146">
        <w:fldChar w:fldCharType="separate"/>
      </w:r>
      <w:r w:rsidR="00FB6146">
        <w:t>Graf 50</w:t>
      </w:r>
      <w:r w:rsidR="00FB6146">
        <w:fldChar w:fldCharType="end"/>
      </w:r>
      <w:r w:rsidRPr="00D95127">
        <w:t xml:space="preserve">, </w:t>
      </w:r>
      <w:r w:rsidRPr="00D95127">
        <w:fldChar w:fldCharType="begin"/>
      </w:r>
      <w:r w:rsidRPr="00D95127">
        <w:instrText xml:space="preserve"> REF _Ref14789188 \h  \* MERGEFORMAT </w:instrText>
      </w:r>
      <w:r w:rsidRPr="00D95127">
        <w:fldChar w:fldCharType="separate"/>
      </w:r>
      <w:r w:rsidR="007A768F">
        <w:fldChar w:fldCharType="begin"/>
      </w:r>
      <w:r w:rsidR="007A768F">
        <w:instrText xml:space="preserve"> REF _Ref81729143 \r \h </w:instrText>
      </w:r>
      <w:r w:rsidR="007A768F">
        <w:fldChar w:fldCharType="separate"/>
      </w:r>
      <w:r w:rsidR="007A768F">
        <w:t>Tabulka 100</w:t>
      </w:r>
      <w:r w:rsidR="007A768F">
        <w:fldChar w:fldCharType="end"/>
      </w:r>
      <w:r w:rsidRPr="00D95127">
        <w:fldChar w:fldCharType="end"/>
      </w:r>
      <w:r w:rsidRPr="00D95127">
        <w:t xml:space="preserve">), nelze již považovat tento typ podpory pro sektor krav BTPM za stabilizující. Pokud zůstanou podmínky ostatních podpor v odvětví chovu krav BTPM v připravované SZP obdobné jako současné (z hlediska druhů i výše sazeb) lze od vyplácení VCS na masné tele upustit. </w:t>
      </w:r>
    </w:p>
    <w:p w14:paraId="53B791B6" w14:textId="5E4D6EA1" w:rsidR="00A16DDB" w:rsidRPr="00D95127" w:rsidRDefault="00A16DDB" w:rsidP="00301EFD">
      <w:pPr>
        <w:pStyle w:val="UZEINormaln"/>
      </w:pPr>
      <w:r w:rsidRPr="00D95127">
        <w:t>Ve výhledu do roku 2030 (</w:t>
      </w:r>
      <w:r w:rsidR="007A768F">
        <w:fldChar w:fldCharType="begin"/>
      </w:r>
      <w:r w:rsidR="007A768F">
        <w:instrText xml:space="preserve"> REF _Ref81729143 \r \h </w:instrText>
      </w:r>
      <w:r w:rsidR="007A768F">
        <w:fldChar w:fldCharType="separate"/>
      </w:r>
      <w:r w:rsidR="007A768F">
        <w:t>Tabulka 100</w:t>
      </w:r>
      <w:r w:rsidR="007A768F">
        <w:fldChar w:fldCharType="end"/>
      </w:r>
      <w:r w:rsidRPr="00D95127">
        <w:t>) lze očekávat stabilní užitkovost (hmotnost odstaveného telete) a růst nákladů při odhadované stabilizaci cen. Za předpokladu, že budou pokračovat ostatní stávající podpory, bude chov krav BTPM se započtením projektovaných podpor rentabilní.</w:t>
      </w:r>
    </w:p>
    <w:p w14:paraId="445DE0E3" w14:textId="45BF1B5E" w:rsidR="00A16DDB" w:rsidRPr="00D95127" w:rsidRDefault="00A16DDB" w:rsidP="00020219">
      <w:pPr>
        <w:pStyle w:val="UZEITaB"/>
        <w:ind w:left="1276" w:hanging="1276"/>
      </w:pPr>
      <w:bookmarkStart w:id="956" w:name="_Ref81729143"/>
      <w:bookmarkStart w:id="957" w:name="_Toc81738528"/>
      <w:r w:rsidRPr="00D95127">
        <w:t>Ekonomika krav bez tržní produkce mléka v letech 2018 až 2020 s výhledem do roku 2030</w:t>
      </w:r>
      <w:bookmarkEnd w:id="956"/>
      <w:bookmarkEnd w:id="957"/>
      <w:r w:rsidRPr="00D95127">
        <w:t xml:space="preserve"> </w:t>
      </w:r>
    </w:p>
    <w:p w14:paraId="60894246" w14:textId="77777777" w:rsidR="00A16DDB" w:rsidRPr="00D95127" w:rsidRDefault="00A16DDB" w:rsidP="00A16DDB">
      <w:pPr>
        <w:keepNext/>
        <w:rPr>
          <w:rFonts w:cs="Times New Roman"/>
          <w:szCs w:val="24"/>
          <w:u w:val="single"/>
          <w:lang w:val="cs-CZ"/>
        </w:rPr>
      </w:pPr>
      <w:r w:rsidRPr="00D95127">
        <w:rPr>
          <w:rFonts w:cs="Times New Roman"/>
          <w:noProof/>
          <w:lang w:val="cs-CZ"/>
        </w:rPr>
        <w:drawing>
          <wp:inline distT="0" distB="0" distL="0" distR="0" wp14:anchorId="4F434C59" wp14:editId="63D4D409">
            <wp:extent cx="5759450" cy="1068705"/>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759450" cy="1068705"/>
                    </a:xfrm>
                    <a:prstGeom prst="rect">
                      <a:avLst/>
                    </a:prstGeom>
                    <a:noFill/>
                    <a:ln>
                      <a:noFill/>
                    </a:ln>
                  </pic:spPr>
                </pic:pic>
              </a:graphicData>
            </a:graphic>
          </wp:inline>
        </w:drawing>
      </w:r>
    </w:p>
    <w:p w14:paraId="0CC06128" w14:textId="7A68982B" w:rsidR="00A16DDB" w:rsidRPr="00D95127" w:rsidRDefault="00A16DDB" w:rsidP="00A16DDB">
      <w:pPr>
        <w:keepNext/>
        <w:spacing w:after="120"/>
        <w:rPr>
          <w:rFonts w:cs="Times New Roman"/>
          <w:i/>
          <w:sz w:val="18"/>
          <w:szCs w:val="18"/>
          <w:lang w:val="cs-CZ"/>
        </w:rPr>
      </w:pPr>
      <w:r w:rsidRPr="00D95127">
        <w:rPr>
          <w:rFonts w:cs="Times New Roman"/>
          <w:i/>
          <w:sz w:val="18"/>
          <w:szCs w:val="18"/>
          <w:lang w:val="cs-CZ"/>
        </w:rPr>
        <w:t>Pramen: Výběrové šetření nákladů a výnosů vybraných zemědělských komodit ÚZEI, vlastní výpočty</w:t>
      </w:r>
    </w:p>
    <w:p w14:paraId="4B5BFA52" w14:textId="0175ED7D" w:rsidR="00A16DDB" w:rsidRPr="00D95127" w:rsidRDefault="00A16DDB" w:rsidP="00A16DDB">
      <w:pPr>
        <w:ind w:firstLine="709"/>
        <w:rPr>
          <w:rFonts w:cs="Times New Roman"/>
          <w:szCs w:val="24"/>
          <w:lang w:val="cs-CZ"/>
        </w:rPr>
      </w:pPr>
      <w:r w:rsidRPr="00D95127">
        <w:rPr>
          <w:rFonts w:cs="Times New Roman"/>
          <w:szCs w:val="24"/>
          <w:lang w:val="cs-CZ"/>
        </w:rPr>
        <w:t>Výkrm skotu vykazuje dlouhodobě ztrátu, a to v případě, že užitkovost (tj. denní přírůstek skotu) až v posledních třech letech mírně převyšuje úroveň 1,0 kg ž. hm./ks. Nízkou nákladovou rentabilitu sice pomáhají zlepšovat přímé i nepřímé podpory do odvětví směrované, přesto za průměrné užitkovosti (denního přírůstku)</w:t>
      </w:r>
      <w:r w:rsidRPr="00D95127">
        <w:rPr>
          <w:rFonts w:cs="Times New Roman"/>
          <w:szCs w:val="24"/>
          <w:vertAlign w:val="superscript"/>
          <w:lang w:val="cs-CZ"/>
        </w:rPr>
        <w:footnoteReference w:id="34"/>
      </w:r>
      <w:r w:rsidRPr="00D95127">
        <w:rPr>
          <w:rFonts w:cs="Times New Roman"/>
          <w:szCs w:val="24"/>
          <w:lang w:val="cs-CZ"/>
        </w:rPr>
        <w:t xml:space="preserve"> let 2016-2020 dosahující 1,0 kg/ks/KD</w:t>
      </w:r>
      <w:r w:rsidRPr="00D95127">
        <w:rPr>
          <w:rFonts w:cs="Times New Roman"/>
          <w:szCs w:val="24"/>
          <w:vertAlign w:val="superscript"/>
          <w:lang w:val="cs-CZ"/>
        </w:rPr>
        <w:t xml:space="preserve"> </w:t>
      </w:r>
      <w:r w:rsidRPr="00D95127">
        <w:rPr>
          <w:rFonts w:cs="Times New Roman"/>
          <w:szCs w:val="24"/>
          <w:lang w:val="cs-CZ"/>
        </w:rPr>
        <w:t>je produkce hovězího masa v ČR nerentabilní. Avšak nejlepší podniky</w:t>
      </w:r>
      <w:r w:rsidRPr="00D95127">
        <w:rPr>
          <w:rStyle w:val="Znakapoznpodarou"/>
          <w:szCs w:val="24"/>
          <w:lang w:val="cs-CZ"/>
        </w:rPr>
        <w:footnoteReference w:id="35"/>
      </w:r>
      <w:r w:rsidRPr="00D95127">
        <w:rPr>
          <w:rFonts w:cs="Times New Roman"/>
          <w:szCs w:val="24"/>
          <w:lang w:val="cs-CZ"/>
        </w:rPr>
        <w:t>, které vykazovaly užitkovost skotu ve výkrmu za roky 2014-2017 nad 1,04 kg ž. hm./KD dosahovaly při započtení všech podpor rentabilitu v průměru 17,7 % (rozmezí 14,8 % až 22,26 %). V dalším období, tj. do roku 2030 (</w:t>
      </w:r>
      <w:r w:rsidRPr="00D95127">
        <w:rPr>
          <w:rFonts w:cs="Times New Roman"/>
          <w:szCs w:val="24"/>
          <w:lang w:val="cs-CZ"/>
        </w:rPr>
        <w:fldChar w:fldCharType="begin"/>
      </w:r>
      <w:r w:rsidRPr="00D95127">
        <w:rPr>
          <w:rFonts w:cs="Times New Roman"/>
          <w:szCs w:val="24"/>
          <w:lang w:val="cs-CZ"/>
        </w:rPr>
        <w:instrText xml:space="preserve"> REF _Ref14786860 \h  \* MERGEFORMAT </w:instrText>
      </w:r>
      <w:r w:rsidRPr="00D95127">
        <w:rPr>
          <w:rFonts w:cs="Times New Roman"/>
          <w:szCs w:val="24"/>
          <w:lang w:val="cs-CZ"/>
        </w:rPr>
      </w:r>
      <w:r w:rsidRPr="00D95127">
        <w:rPr>
          <w:rFonts w:cs="Times New Roman"/>
          <w:szCs w:val="24"/>
          <w:lang w:val="cs-CZ"/>
        </w:rPr>
        <w:fldChar w:fldCharType="separate"/>
      </w:r>
      <w:r w:rsidRPr="00D95127">
        <w:rPr>
          <w:rFonts w:cs="Times New Roman"/>
          <w:szCs w:val="24"/>
          <w:lang w:val="cs-CZ"/>
        </w:rPr>
        <w:t xml:space="preserve">Tabulka </w:t>
      </w:r>
      <w:r w:rsidRPr="00D95127">
        <w:rPr>
          <w:rFonts w:cs="Times New Roman"/>
          <w:noProof/>
          <w:szCs w:val="24"/>
          <w:lang w:val="cs-CZ"/>
        </w:rPr>
        <w:t>85</w:t>
      </w:r>
      <w:r w:rsidRPr="00D95127">
        <w:rPr>
          <w:rFonts w:cs="Times New Roman"/>
          <w:szCs w:val="24"/>
          <w:lang w:val="cs-CZ"/>
        </w:rPr>
        <w:fldChar w:fldCharType="end"/>
      </w:r>
      <w:r w:rsidRPr="00D95127">
        <w:rPr>
          <w:rFonts w:cs="Times New Roman"/>
          <w:szCs w:val="24"/>
          <w:lang w:val="cs-CZ"/>
        </w:rPr>
        <w:t>) se odhaduje, že ačkoli užitkovost vykrmovaného skotu mírně poroste, bude odvětví i při započtení stávající úrovně podpor opět výrazně nerentabilní. Navíc se očekává mírné snižování CZV za jatečná zvířata</w:t>
      </w:r>
      <w:r w:rsidRPr="00D95127">
        <w:rPr>
          <w:rFonts w:cs="Times New Roman"/>
          <w:szCs w:val="24"/>
          <w:vertAlign w:val="superscript"/>
          <w:lang w:val="cs-CZ"/>
        </w:rPr>
        <w:footnoteReference w:id="36"/>
      </w:r>
      <w:r w:rsidRPr="00D95127">
        <w:rPr>
          <w:rFonts w:cs="Times New Roman"/>
          <w:szCs w:val="24"/>
          <w:lang w:val="cs-CZ"/>
        </w:rPr>
        <w:t>, což signalizuje, že rentabilita se může ještě zhoršovat. Na to budou doplácet zejména podniky s nižší užitkovostí skotu ve výkrmu (denní přírůstky pod 1,04 kg. ž. hm./KD).</w:t>
      </w:r>
    </w:p>
    <w:p w14:paraId="229EFDDF" w14:textId="5DFC670B" w:rsidR="00A16DDB" w:rsidRPr="00D95127" w:rsidRDefault="00A16DDB" w:rsidP="00FB6146">
      <w:pPr>
        <w:pStyle w:val="UZEITaB"/>
      </w:pPr>
      <w:bookmarkStart w:id="958" w:name="_Toc81738529"/>
      <w:r w:rsidRPr="00D95127">
        <w:t>Ekonomika výkrmu skotu v letech 2018 až 2020 s výhledem do roku 2030</w:t>
      </w:r>
      <w:bookmarkEnd w:id="958"/>
      <w:r w:rsidRPr="00D95127">
        <w:t xml:space="preserve"> </w:t>
      </w:r>
    </w:p>
    <w:p w14:paraId="487E24EF" w14:textId="77777777" w:rsidR="00A16DDB" w:rsidRPr="00D95127" w:rsidRDefault="00A16DDB" w:rsidP="00A16DDB">
      <w:pPr>
        <w:pStyle w:val="Odstavecseseznamem"/>
        <w:spacing w:line="240" w:lineRule="auto"/>
        <w:ind w:left="0"/>
        <w:contextualSpacing w:val="0"/>
        <w:rPr>
          <w:u w:val="single"/>
        </w:rPr>
      </w:pPr>
      <w:r w:rsidRPr="00D95127">
        <w:rPr>
          <w:noProof/>
        </w:rPr>
        <w:drawing>
          <wp:inline distT="0" distB="0" distL="0" distR="0" wp14:anchorId="76D75813" wp14:editId="3E5AC5F1">
            <wp:extent cx="5759450" cy="1068705"/>
            <wp:effectExtent l="0" t="0" r="0" b="0"/>
            <wp:docPr id="151" name="Obrázek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759450" cy="1068705"/>
                    </a:xfrm>
                    <a:prstGeom prst="rect">
                      <a:avLst/>
                    </a:prstGeom>
                    <a:noFill/>
                    <a:ln>
                      <a:noFill/>
                    </a:ln>
                  </pic:spPr>
                </pic:pic>
              </a:graphicData>
            </a:graphic>
          </wp:inline>
        </w:drawing>
      </w:r>
    </w:p>
    <w:p w14:paraId="2A5BC542" w14:textId="28DF9CBE" w:rsidR="00A16DDB" w:rsidRPr="00D95127" w:rsidRDefault="00A16DDB" w:rsidP="00FB6146">
      <w:pPr>
        <w:pStyle w:val="UZEIZdroj"/>
      </w:pPr>
      <w:r w:rsidRPr="00D95127">
        <w:t>Pramen: Výběrové šetření nákladů a výnosů vybraných zemědělských komodit ÚZEI, projekce CZV vychází z projekce cen Agricultural outlook 2020-2030, vlastní výpočty.</w:t>
      </w:r>
    </w:p>
    <w:p w14:paraId="1DAB460D" w14:textId="77777777" w:rsidR="00A16DDB" w:rsidRPr="00D95127" w:rsidRDefault="00A16DDB" w:rsidP="00FB6146">
      <w:pPr>
        <w:pStyle w:val="UZEIZdroj"/>
      </w:pPr>
      <w:r w:rsidRPr="00D95127">
        <w:t xml:space="preserve">Pozn.: Ve výkrmu skotu je uvažována VCS jako podpora krmiv prostřednictvím bílkovinných plodin. </w:t>
      </w:r>
    </w:p>
    <w:p w14:paraId="2477DB80" w14:textId="77777777" w:rsidR="00FB6146" w:rsidRDefault="00FB6146">
      <w:pPr>
        <w:spacing w:after="160" w:line="259" w:lineRule="auto"/>
        <w:jc w:val="left"/>
        <w:rPr>
          <w:rFonts w:eastAsiaTheme="majorEastAsia" w:cs="Times New Roman"/>
          <w:b/>
          <w:bCs/>
          <w:sz w:val="28"/>
          <w:szCs w:val="32"/>
          <w:lang w:val="cs-CZ"/>
        </w:rPr>
      </w:pPr>
      <w:bookmarkStart w:id="959" w:name="_Toc76137449"/>
      <w:bookmarkStart w:id="960" w:name="_Toc76637648"/>
      <w:bookmarkStart w:id="961" w:name="_Toc80953337"/>
      <w:r>
        <w:br w:type="page"/>
      </w:r>
    </w:p>
    <w:p w14:paraId="4EAB28BA" w14:textId="23057C22" w:rsidR="00A16DDB" w:rsidRPr="00D95127" w:rsidRDefault="00A16DDB" w:rsidP="00FB6146">
      <w:pPr>
        <w:pStyle w:val="Nadpis1"/>
      </w:pPr>
      <w:bookmarkStart w:id="962" w:name="_Toc81739290"/>
      <w:r w:rsidRPr="00D95127">
        <w:t>Existence/neexistence možnosti efektivního řešení v rámci nástrojů SZP, které lze uvažovat v nových návrzích SZP</w:t>
      </w:r>
      <w:bookmarkEnd w:id="959"/>
      <w:bookmarkEnd w:id="960"/>
      <w:bookmarkEnd w:id="961"/>
      <w:bookmarkEnd w:id="962"/>
    </w:p>
    <w:p w14:paraId="174656C4" w14:textId="77777777" w:rsidR="00A16DDB" w:rsidRPr="00D95127" w:rsidRDefault="00A16DDB" w:rsidP="00FB6146">
      <w:pPr>
        <w:pStyle w:val="UZEINormaln"/>
      </w:pPr>
      <w:r w:rsidRPr="00D95127">
        <w:t>Řešením nízké konkurenceschopnosti prvovýrobců je zlepšení parametrů užitkovosti ve výkrmu skotu, čímž dojde jednak k částečnému snížení závislosti odvětví na podporách a zároveň ke zlepšení nákladové i souhrnné rentability. To by mohlo být doplněno intenzívnějším odborným poradenstvím pro chovatele. Ačkoli o sdružování se do odbytových organizací není dosud ze strany chovatelů skotu zájem, zapojením se zejména menších chovatelů do odbytových organizací by se podpořilo zlepšení odbytu jatečných zvířat nejen na tuzemském trhu, ale i pro export (z hlediska rovnoměrnosti a vyrovnanosti dodávek). Podporou investic by mohlo dojít v prvovýrobě k modernizaci objektů, a tím zlepšení nejen efektivity výroby, ale i dobrých životních podmínek zvířat, které se budou stále zpřísňovat. Další příležitostí pro odvětví je zavádění systémů kvality (Q</w:t>
      </w:r>
      <w:r w:rsidRPr="00D95127">
        <w:noBreakHyphen/>
        <w:t>systém) v celé výrobkové vertikále hovězího masa, zejména pak pro produkty masných plemen. To by mohlo při současné podpoře marketingu zvýšit informovanost i zájem spotřebitelů o kvalitní  produkty z tuzemské produkce hovězího masa. Současně bude nezbytné zachování stávajících podpor, které jsou do odvětví výkrmu skotu směrovány jak v rámci SZP (podpora krmiv prostřednictvím SAPS + greening, VCS bílkovinné plodiny), tak i národních podpor jako je zelená nafta pro RV (krmiva) a ŽV,i podpora pojištění apod.</w:t>
      </w:r>
    </w:p>
    <w:p w14:paraId="007B65F6" w14:textId="21523B8A" w:rsidR="00A16DDB" w:rsidRPr="00D95127" w:rsidRDefault="00A16DDB" w:rsidP="00FB6146">
      <w:pPr>
        <w:pStyle w:val="UZEINormaln"/>
      </w:pPr>
      <w:r w:rsidRPr="00D95127">
        <w:t>Návrh řešení problémů a jejich příčin v celé škále provozních a strukturálních podpor je uveden v rámci teorie změny v tabulce (</w:t>
      </w:r>
      <w:r w:rsidR="00112542">
        <w:fldChar w:fldCharType="begin"/>
      </w:r>
      <w:r w:rsidR="00112542">
        <w:instrText xml:space="preserve"> REF _Ref81729319 \r \h </w:instrText>
      </w:r>
      <w:r w:rsidR="00112542">
        <w:fldChar w:fldCharType="separate"/>
      </w:r>
      <w:r w:rsidR="00112542">
        <w:t>Tabulka 102</w:t>
      </w:r>
      <w:r w:rsidR="00112542">
        <w:fldChar w:fldCharType="end"/>
      </w:r>
      <w:r w:rsidRPr="00D95127">
        <w:t>).</w:t>
      </w:r>
    </w:p>
    <w:p w14:paraId="19035028" w14:textId="77777777" w:rsidR="00A16DDB" w:rsidRPr="00D95127" w:rsidRDefault="00A16DDB" w:rsidP="00FB6146">
      <w:pPr>
        <w:pStyle w:val="UZEINormaln"/>
        <w:rPr>
          <w:u w:val="single"/>
        </w:rPr>
      </w:pPr>
      <w:bookmarkStart w:id="963" w:name="_Ref14787974"/>
    </w:p>
    <w:p w14:paraId="2F26D471" w14:textId="77777777" w:rsidR="00A16DDB" w:rsidRPr="00D95127" w:rsidRDefault="00A16DDB" w:rsidP="00A16DDB">
      <w:pPr>
        <w:rPr>
          <w:rFonts w:cs="Times New Roman"/>
          <w:szCs w:val="24"/>
          <w:u w:val="single"/>
          <w:lang w:val="cs-CZ"/>
        </w:rPr>
        <w:sectPr w:rsidR="00A16DDB" w:rsidRPr="00D95127" w:rsidSect="00C82CBD">
          <w:pgSz w:w="11906" w:h="16838"/>
          <w:pgMar w:top="1418" w:right="1418" w:bottom="1418" w:left="1418" w:header="709" w:footer="709" w:gutter="0"/>
          <w:cols w:space="708"/>
          <w:docGrid w:linePitch="360"/>
        </w:sectPr>
      </w:pPr>
    </w:p>
    <w:p w14:paraId="7FB0C415" w14:textId="057FFA21" w:rsidR="00A16DDB" w:rsidRPr="00D95127" w:rsidRDefault="00A16DDB" w:rsidP="00FB6146">
      <w:pPr>
        <w:pStyle w:val="UZEITaB"/>
      </w:pPr>
      <w:bookmarkStart w:id="964" w:name="_Ref81729319"/>
      <w:bookmarkStart w:id="965" w:name="_Toc81738530"/>
      <w:bookmarkEnd w:id="963"/>
      <w:r w:rsidRPr="00D95127">
        <w:t>Teorie změny – hovězí maso</w:t>
      </w:r>
      <w:bookmarkEnd w:id="964"/>
      <w:bookmarkEnd w:id="965"/>
    </w:p>
    <w:p w14:paraId="3B5F57B2" w14:textId="77777777" w:rsidR="00A16DDB" w:rsidRPr="00D95127" w:rsidRDefault="00A16DDB" w:rsidP="00A16DDB">
      <w:pPr>
        <w:rPr>
          <w:rFonts w:cs="Times New Roman"/>
          <w:szCs w:val="24"/>
          <w:lang w:val="cs-CZ"/>
        </w:rPr>
      </w:pPr>
      <w:r w:rsidRPr="00D95127">
        <w:rPr>
          <w:rFonts w:cs="Times New Roman"/>
          <w:noProof/>
          <w:lang w:val="cs-CZ"/>
        </w:rPr>
        <w:drawing>
          <wp:inline distT="0" distB="0" distL="0" distR="0" wp14:anchorId="3B687DE7" wp14:editId="302A91F0">
            <wp:extent cx="9306412" cy="4620638"/>
            <wp:effectExtent l="0" t="0" r="3175" b="2540"/>
            <wp:docPr id="330" name="Obrázek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9314350" cy="4624579"/>
                    </a:xfrm>
                    <a:prstGeom prst="rect">
                      <a:avLst/>
                    </a:prstGeom>
                    <a:noFill/>
                    <a:ln>
                      <a:noFill/>
                    </a:ln>
                  </pic:spPr>
                </pic:pic>
              </a:graphicData>
            </a:graphic>
          </wp:inline>
        </w:drawing>
      </w:r>
    </w:p>
    <w:p w14:paraId="28F33E0A" w14:textId="77777777" w:rsidR="00112542" w:rsidRDefault="00A16DDB" w:rsidP="00112542">
      <w:pPr>
        <w:pStyle w:val="UZEIZdroj"/>
      </w:pPr>
      <w:r w:rsidRPr="00D95127">
        <w:t>Zdroj: Vlastní zpracování</w:t>
      </w:r>
    </w:p>
    <w:p w14:paraId="0E91F387" w14:textId="77777777" w:rsidR="00112542" w:rsidRDefault="00112542" w:rsidP="00112542">
      <w:pPr>
        <w:pStyle w:val="UZEIZdroj"/>
      </w:pPr>
    </w:p>
    <w:p w14:paraId="0DC70F1F" w14:textId="77777777" w:rsidR="00112542" w:rsidRDefault="00112542" w:rsidP="00112542">
      <w:pPr>
        <w:pStyle w:val="UZEIZdroj"/>
        <w:rPr>
          <w:b/>
          <w:bCs/>
          <w:i w:val="0"/>
          <w:iCs w:val="0"/>
        </w:rPr>
      </w:pPr>
    </w:p>
    <w:p w14:paraId="7CCF98B9" w14:textId="77777777" w:rsidR="00112542" w:rsidRDefault="00112542" w:rsidP="00112542">
      <w:pPr>
        <w:pStyle w:val="UZEIZdroj"/>
        <w:rPr>
          <w:b/>
          <w:bCs/>
          <w:i w:val="0"/>
          <w:iCs w:val="0"/>
        </w:rPr>
      </w:pPr>
    </w:p>
    <w:p w14:paraId="411CDC09" w14:textId="75B43731" w:rsidR="00A16DDB" w:rsidRPr="00112542" w:rsidRDefault="00112542" w:rsidP="00112542">
      <w:pPr>
        <w:pStyle w:val="UZEIZdroj"/>
        <w:rPr>
          <w:b/>
          <w:bCs/>
          <w:i w:val="0"/>
          <w:iCs w:val="0"/>
        </w:rPr>
      </w:pPr>
      <w:r w:rsidRPr="00112542">
        <w:rPr>
          <w:b/>
          <w:bCs/>
          <w:i w:val="0"/>
          <w:iCs w:val="0"/>
        </w:rPr>
        <w:t>Tabulka 10</w:t>
      </w:r>
      <w:r>
        <w:rPr>
          <w:b/>
          <w:bCs/>
          <w:i w:val="0"/>
          <w:iCs w:val="0"/>
        </w:rPr>
        <w:t>2</w:t>
      </w:r>
      <w:r w:rsidRPr="00112542">
        <w:rPr>
          <w:b/>
          <w:bCs/>
          <w:i w:val="0"/>
          <w:iCs w:val="0"/>
        </w:rPr>
        <w:t xml:space="preserve">: </w:t>
      </w:r>
      <w:r w:rsidR="00A16DDB" w:rsidRPr="00112542">
        <w:rPr>
          <w:b/>
          <w:bCs/>
          <w:i w:val="0"/>
          <w:iCs w:val="0"/>
        </w:rPr>
        <w:t>Teorie změny – hovězí maso – pokračování tabulky</w:t>
      </w:r>
    </w:p>
    <w:p w14:paraId="0B3215D2" w14:textId="77777777" w:rsidR="00A16DDB" w:rsidRPr="00D95127" w:rsidRDefault="00A16DDB" w:rsidP="00A16DDB">
      <w:pPr>
        <w:rPr>
          <w:rFonts w:cs="Times New Roman"/>
          <w:szCs w:val="24"/>
          <w:lang w:val="cs-CZ"/>
        </w:rPr>
      </w:pPr>
      <w:r w:rsidRPr="00D95127">
        <w:rPr>
          <w:rFonts w:cs="Times New Roman"/>
          <w:noProof/>
          <w:lang w:val="cs-CZ"/>
        </w:rPr>
        <w:drawing>
          <wp:inline distT="0" distB="0" distL="0" distR="0" wp14:anchorId="0FB38EB3" wp14:editId="7676292A">
            <wp:extent cx="8891270" cy="4673600"/>
            <wp:effectExtent l="0" t="0" r="5080" b="0"/>
            <wp:docPr id="331" name="Obrázek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8891270" cy="4673600"/>
                    </a:xfrm>
                    <a:prstGeom prst="rect">
                      <a:avLst/>
                    </a:prstGeom>
                    <a:noFill/>
                    <a:ln>
                      <a:noFill/>
                    </a:ln>
                  </pic:spPr>
                </pic:pic>
              </a:graphicData>
            </a:graphic>
          </wp:inline>
        </w:drawing>
      </w:r>
    </w:p>
    <w:p w14:paraId="1B7BD6E2" w14:textId="77777777" w:rsidR="00A16DDB" w:rsidRPr="00D95127" w:rsidRDefault="00A16DDB" w:rsidP="00112542">
      <w:pPr>
        <w:pStyle w:val="UZEIZdroj"/>
      </w:pPr>
      <w:r w:rsidRPr="00D95127">
        <w:t>Zdroj: Vlastní zpracování</w:t>
      </w:r>
    </w:p>
    <w:p w14:paraId="78EF5B6A" w14:textId="77777777" w:rsidR="00A16DDB" w:rsidRPr="00D95127" w:rsidRDefault="00A16DDB" w:rsidP="00A16DDB">
      <w:pPr>
        <w:spacing w:after="60"/>
        <w:ind w:left="709"/>
        <w:rPr>
          <w:rFonts w:cs="Times New Roman"/>
          <w:szCs w:val="24"/>
          <w:lang w:val="cs-CZ"/>
        </w:rPr>
        <w:sectPr w:rsidR="00A16DDB" w:rsidRPr="00D95127" w:rsidSect="00C82CBD">
          <w:pgSz w:w="16838" w:h="11906" w:orient="landscape"/>
          <w:pgMar w:top="1418" w:right="1418" w:bottom="1418" w:left="1418" w:header="709" w:footer="709" w:gutter="0"/>
          <w:cols w:space="708"/>
          <w:docGrid w:linePitch="360"/>
        </w:sectPr>
      </w:pPr>
    </w:p>
    <w:p w14:paraId="1192DE02" w14:textId="77777777" w:rsidR="00A16DDB" w:rsidRPr="00D95127" w:rsidRDefault="00A16DDB" w:rsidP="00112542">
      <w:pPr>
        <w:pStyle w:val="UZEINormaln"/>
      </w:pPr>
      <w:r w:rsidRPr="00D95127">
        <w:t>Odvětví hovězího masa je vlivem záporné rentability výkrmu skotu závislé na dotacích, které dopad tohoto problému zmírňují. Příčinou záporné rentability je nízká cena jatečného skotu ve srovnání se zeměmi EU 15 a také vyšší náklady, které do výkrmu skotu vstupují. Tyto náklady jsou z části dány ztíženými přírodně-klimatickými podmínkami, ale vliv má rovněž nedostatečný management chovu. Ke zmírnění prvního by pomohlo zachování podpory ANC ve faremních systémech orientovaných na ŽV, ke zlepšení managementu chovu by přispěly odvětvové intervence zaměřené na výzkum, odborné poradenství a vzdělávání, vývoj inovací a zavádění moderních technologií a spolupráci. Zlepšení managementu chovu by rovněž přispělo ke zlepšení užitkovosti zvířat, jakožto další příčiny záporné rentability. Mimo možnosti působení SZP je nedostatečná aktivita zahraničních diplomatů dojednat potřebné podmínky exportu. Naopak k lepšímu využití potenciálu pro větší odbyt hovězího masa by pomohla podpora sdružování producentů a zpracovatelů, čímž by došlo k větší vyrovnanosti dodávek z hlediska plemene podle požadavků zpracovatele.</w:t>
      </w:r>
    </w:p>
    <w:p w14:paraId="4A5BA6CD" w14:textId="77777777" w:rsidR="00A16DDB" w:rsidRPr="00D95127" w:rsidRDefault="00A16DDB" w:rsidP="00112542">
      <w:pPr>
        <w:pStyle w:val="UZEINormaln"/>
      </w:pPr>
      <w:r w:rsidRPr="00D95127">
        <w:t>Dalším problémem je nízká konkurenceschopnost zpracovatelů hovězího masa, kteří se potýkají s nedostatkem kvalifikovaných pracovníků. Tento problém je potřeba řešit podporou učňovského školství a rekvalifikací. Ve srovnání se zahraničím je v ČR nízká koncentrace porážek, což vede k nízké efektivitě a nutnosti dovážet hovězí maso ze zahraničí. V tomto směru by pomohlo podpořit poradenství a také investice do moderních technologií. Problémem zůstává také nedostatečný sortiment výrobků z hovězího masa vhodný pro export, který by mohl být řešen podporou inovací a investic do vybraných technologií.</w:t>
      </w:r>
    </w:p>
    <w:p w14:paraId="391AE987" w14:textId="77777777" w:rsidR="00A16DDB" w:rsidRPr="00D95127" w:rsidRDefault="00A16DDB" w:rsidP="00112542">
      <w:pPr>
        <w:pStyle w:val="UZEINormaln"/>
      </w:pPr>
      <w:r w:rsidRPr="00D95127">
        <w:t>Třetím okruhem je nízká domácí spotřeba hovězího masa, která je dána jednak vyšší cenou v porovnání s jinými druhy masa, tak chybějící tradicí ke spotřebě výrobků z čistě hovězího masa. Nedostatečná informovanost spotřebitele o kvalitě tuzemské produkce hovězího masa z masných plemen vede k vývozu živých zvířat do zahraničí a dovoz hovězího masa a výrobků z něj, což by pomohla zvrátit podpora marketingu a informovanosti spotřebitelů o kvalitě tuzemské produkce. Dalším problémem je absence značek kvality, jejíž zavedení by podpořilo produkci nadstandardů a vhodný marketing zase prodej kvalitního českého hovězího masa.</w:t>
      </w:r>
    </w:p>
    <w:p w14:paraId="587DBED3" w14:textId="77777777" w:rsidR="00A16DDB" w:rsidRPr="00D95127" w:rsidRDefault="00A16DDB" w:rsidP="00A16DDB">
      <w:pPr>
        <w:rPr>
          <w:rFonts w:cs="Times New Roman"/>
          <w:szCs w:val="24"/>
          <w:lang w:val="cs-CZ"/>
        </w:rPr>
        <w:sectPr w:rsidR="00A16DDB" w:rsidRPr="00D95127" w:rsidSect="00C82CBD">
          <w:pgSz w:w="11906" w:h="16838"/>
          <w:pgMar w:top="1418" w:right="1418" w:bottom="1418" w:left="1418" w:header="709" w:footer="709" w:gutter="0"/>
          <w:cols w:space="708"/>
          <w:docGrid w:linePitch="360"/>
        </w:sectPr>
      </w:pPr>
    </w:p>
    <w:p w14:paraId="6B0E9C3C" w14:textId="1E844740" w:rsidR="00A16DDB" w:rsidRPr="00112542" w:rsidRDefault="00A16DDB" w:rsidP="00112542">
      <w:pPr>
        <w:pStyle w:val="UZEINormaln"/>
      </w:pPr>
      <w:r w:rsidRPr="00D95127">
        <w:t>V následující tabulce jsou uvedeny investiční potřeby, pro které byla na základě požadavku MZe provedena dílčí kvantifikace</w:t>
      </w:r>
      <w:r w:rsidR="00112542">
        <w:t>.</w:t>
      </w:r>
    </w:p>
    <w:p w14:paraId="2A8CA61B" w14:textId="77777777" w:rsidR="00A16DDB" w:rsidRPr="00D95127" w:rsidRDefault="00A16DDB" w:rsidP="00A16DDB">
      <w:pPr>
        <w:rPr>
          <w:rFonts w:cs="Times New Roman"/>
          <w:szCs w:val="24"/>
          <w:u w:val="single"/>
          <w:lang w:val="cs-CZ"/>
        </w:rPr>
      </w:pPr>
    </w:p>
    <w:p w14:paraId="70CD1A78" w14:textId="030CB4E1" w:rsidR="00A16DDB" w:rsidRPr="00D95127" w:rsidRDefault="00A16DDB" w:rsidP="00112542">
      <w:pPr>
        <w:pStyle w:val="UZEITaB"/>
      </w:pPr>
      <w:r w:rsidRPr="00D95127">
        <w:t xml:space="preserve"> </w:t>
      </w:r>
      <w:bookmarkStart w:id="966" w:name="_Toc81738531"/>
      <w:r w:rsidRPr="00D95127">
        <w:t>Odhad investičních potřeb pro odvětví CHOVU, ODCHOVU A VÝKRMU SKOTU na období let 2021-2027</w:t>
      </w:r>
      <w:bookmarkEnd w:id="966"/>
    </w:p>
    <w:p w14:paraId="077D646F" w14:textId="77777777" w:rsidR="00A16DDB" w:rsidRPr="00D95127" w:rsidRDefault="00A16DDB" w:rsidP="00A16DDB">
      <w:pPr>
        <w:keepNext/>
        <w:rPr>
          <w:rFonts w:cs="Times New Roman"/>
          <w:i/>
          <w:color w:val="44546A"/>
          <w:szCs w:val="24"/>
          <w:lang w:val="cs-CZ"/>
        </w:rPr>
      </w:pPr>
      <w:r w:rsidRPr="00D95127">
        <w:rPr>
          <w:rFonts w:cs="Times New Roman"/>
          <w:noProof/>
          <w:szCs w:val="24"/>
          <w:lang w:val="cs-CZ"/>
        </w:rPr>
        <w:drawing>
          <wp:inline distT="0" distB="0" distL="0" distR="0" wp14:anchorId="2E161CAE" wp14:editId="215712C2">
            <wp:extent cx="9656097" cy="1971675"/>
            <wp:effectExtent l="0" t="0" r="254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9662922" cy="1973069"/>
                    </a:xfrm>
                    <a:prstGeom prst="rect">
                      <a:avLst/>
                    </a:prstGeom>
                    <a:noFill/>
                    <a:ln>
                      <a:noFill/>
                    </a:ln>
                  </pic:spPr>
                </pic:pic>
              </a:graphicData>
            </a:graphic>
          </wp:inline>
        </w:drawing>
      </w:r>
    </w:p>
    <w:p w14:paraId="7082AD18" w14:textId="77777777" w:rsidR="00A16DDB" w:rsidRPr="00D95127" w:rsidRDefault="00A16DDB" w:rsidP="00112542">
      <w:pPr>
        <w:pStyle w:val="UZEIZdroj"/>
      </w:pPr>
      <w:r w:rsidRPr="00D95127">
        <w:t>Zdroj: Expertní odhad</w:t>
      </w:r>
    </w:p>
    <w:p w14:paraId="60376974" w14:textId="77777777" w:rsidR="00A16DDB" w:rsidRPr="00D95127" w:rsidRDefault="00A16DDB" w:rsidP="00A16DDB">
      <w:pPr>
        <w:rPr>
          <w:rFonts w:cs="Times New Roman"/>
          <w:szCs w:val="24"/>
          <w:lang w:val="cs-CZ"/>
        </w:rPr>
        <w:sectPr w:rsidR="00A16DDB" w:rsidRPr="00D95127" w:rsidSect="00C82CBD">
          <w:footerReference w:type="default" r:id="rId182"/>
          <w:pgSz w:w="16838" w:h="11906" w:orient="landscape"/>
          <w:pgMar w:top="1418" w:right="1418" w:bottom="1418" w:left="1418" w:header="709" w:footer="709" w:gutter="0"/>
          <w:cols w:space="708"/>
          <w:docGrid w:linePitch="360"/>
        </w:sectPr>
      </w:pPr>
    </w:p>
    <w:p w14:paraId="48D56B2B" w14:textId="77777777" w:rsidR="00A16DDB" w:rsidRPr="00D95127" w:rsidRDefault="00A16DDB" w:rsidP="00112542">
      <w:pPr>
        <w:pStyle w:val="Nadpis1"/>
      </w:pPr>
      <w:bookmarkStart w:id="967" w:name="_Toc15304098"/>
      <w:bookmarkStart w:id="968" w:name="_Toc23509920"/>
      <w:bookmarkStart w:id="969" w:name="_Toc76137450"/>
      <w:bookmarkStart w:id="970" w:name="_Toc76637649"/>
      <w:bookmarkStart w:id="971" w:name="_Toc80953338"/>
      <w:bookmarkStart w:id="972" w:name="_Toc81739291"/>
      <w:r w:rsidRPr="00D95127">
        <w:t>SWOT analýza</w:t>
      </w:r>
      <w:bookmarkEnd w:id="967"/>
      <w:bookmarkEnd w:id="968"/>
      <w:bookmarkEnd w:id="969"/>
      <w:bookmarkEnd w:id="970"/>
      <w:bookmarkEnd w:id="971"/>
      <w:bookmarkEnd w:id="972"/>
    </w:p>
    <w:p w14:paraId="3E7D3D44" w14:textId="77777777" w:rsidR="00A16DDB" w:rsidRPr="00112542" w:rsidRDefault="00A16DDB" w:rsidP="00A16DDB">
      <w:pPr>
        <w:rPr>
          <w:rStyle w:val="Odkazintenzivn"/>
          <w:rFonts w:cs="Times New Roman"/>
          <w:caps/>
          <w:smallCaps w:val="0"/>
          <w:color w:val="auto"/>
          <w:szCs w:val="24"/>
          <w:lang w:val="cs-CZ"/>
        </w:rPr>
      </w:pPr>
      <w:bookmarkStart w:id="973" w:name="_Toc342158786"/>
      <w:bookmarkStart w:id="974" w:name="_Toc342843431"/>
      <w:bookmarkStart w:id="975" w:name="_Toc428550310"/>
      <w:bookmarkStart w:id="976" w:name="_Toc430939371"/>
      <w:bookmarkStart w:id="977" w:name="_Toc438128338"/>
      <w:r w:rsidRPr="00112542">
        <w:rPr>
          <w:rStyle w:val="Odkazintenzivn"/>
          <w:rFonts w:cs="Times New Roman"/>
          <w:caps/>
          <w:smallCaps w:val="0"/>
          <w:color w:val="auto"/>
          <w:szCs w:val="24"/>
          <w:lang w:val="cs-CZ"/>
        </w:rPr>
        <w:t>Jatečný skot a hovězí maso</w:t>
      </w:r>
      <w:bookmarkEnd w:id="973"/>
      <w:bookmarkEnd w:id="974"/>
      <w:bookmarkEnd w:id="975"/>
      <w:bookmarkEnd w:id="976"/>
      <w:bookmarkEnd w:id="977"/>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5"/>
        <w:gridCol w:w="4394"/>
      </w:tblGrid>
      <w:tr w:rsidR="00A16DDB" w:rsidRPr="00D95127" w14:paraId="1ADFE2CD" w14:textId="77777777" w:rsidTr="007A627A">
        <w:tc>
          <w:tcPr>
            <w:tcW w:w="4815" w:type="dxa"/>
            <w:shd w:val="clear" w:color="auto" w:fill="auto"/>
          </w:tcPr>
          <w:p w14:paraId="65A44214" w14:textId="77777777" w:rsidR="00A16DDB" w:rsidRPr="00D95127" w:rsidRDefault="00A16DDB" w:rsidP="007A627A">
            <w:pPr>
              <w:jc w:val="center"/>
              <w:rPr>
                <w:rFonts w:cs="Times New Roman"/>
                <w:b/>
                <w:szCs w:val="24"/>
                <w:lang w:val="cs-CZ"/>
              </w:rPr>
            </w:pPr>
            <w:r w:rsidRPr="00D95127">
              <w:rPr>
                <w:rFonts w:cs="Times New Roman"/>
                <w:b/>
                <w:szCs w:val="24"/>
                <w:lang w:val="cs-CZ"/>
              </w:rPr>
              <w:t>Silné stránky</w:t>
            </w:r>
          </w:p>
        </w:tc>
        <w:tc>
          <w:tcPr>
            <w:tcW w:w="4394" w:type="dxa"/>
            <w:shd w:val="clear" w:color="auto" w:fill="auto"/>
          </w:tcPr>
          <w:p w14:paraId="6987D414" w14:textId="77777777" w:rsidR="00A16DDB" w:rsidRPr="00D95127" w:rsidRDefault="00A16DDB" w:rsidP="007A627A">
            <w:pPr>
              <w:jc w:val="center"/>
              <w:rPr>
                <w:rFonts w:cs="Times New Roman"/>
                <w:b/>
                <w:szCs w:val="24"/>
                <w:lang w:val="cs-CZ"/>
              </w:rPr>
            </w:pPr>
            <w:r w:rsidRPr="00D95127">
              <w:rPr>
                <w:rFonts w:cs="Times New Roman"/>
                <w:b/>
                <w:szCs w:val="24"/>
                <w:lang w:val="cs-CZ"/>
              </w:rPr>
              <w:t>Slabé stránky</w:t>
            </w:r>
          </w:p>
        </w:tc>
      </w:tr>
      <w:tr w:rsidR="00A16DDB" w:rsidRPr="00D95127" w14:paraId="2BB452A5" w14:textId="77777777" w:rsidTr="007A627A">
        <w:tc>
          <w:tcPr>
            <w:tcW w:w="4815" w:type="dxa"/>
            <w:shd w:val="clear" w:color="auto" w:fill="auto"/>
          </w:tcPr>
          <w:p w14:paraId="1A0C9CA8" w14:textId="4458DAFB" w:rsidR="00A16DDB" w:rsidRPr="00D95127" w:rsidRDefault="00112542" w:rsidP="00112542">
            <w:pPr>
              <w:pStyle w:val="UZEIOdrky"/>
              <w:ind w:left="460" w:hanging="425"/>
            </w:pPr>
            <w:r>
              <w:t xml:space="preserve">S1: </w:t>
            </w:r>
            <w:r w:rsidR="00A16DDB" w:rsidRPr="00D95127">
              <w:t>Velkovýrobní systémy chovu skotu s využitím výhod z velikosti u řady podniků.</w:t>
            </w:r>
          </w:p>
          <w:p w14:paraId="70E285C3" w14:textId="4D37B644" w:rsidR="00A16DDB" w:rsidRPr="00D95127" w:rsidRDefault="00112542" w:rsidP="00112542">
            <w:pPr>
              <w:pStyle w:val="UZEIOdrky"/>
              <w:ind w:left="460" w:hanging="425"/>
            </w:pPr>
            <w:r>
              <w:t xml:space="preserve">S2: </w:t>
            </w:r>
            <w:r w:rsidR="00A16DDB" w:rsidRPr="00D95127">
              <w:t>Provázanost chovu krav BPTM s opatřeními ke zlepšování vztahu zemědělství k ŽP.</w:t>
            </w:r>
          </w:p>
          <w:p w14:paraId="3D32748A" w14:textId="30104CC5" w:rsidR="00A16DDB" w:rsidRPr="00D95127" w:rsidRDefault="00112542" w:rsidP="00112542">
            <w:pPr>
              <w:pStyle w:val="UZEIOdrky"/>
              <w:ind w:left="460" w:hanging="425"/>
            </w:pPr>
            <w:r>
              <w:t xml:space="preserve">S3: </w:t>
            </w:r>
            <w:r w:rsidR="00A16DDB" w:rsidRPr="00D95127">
              <w:t>Vysoký stupeň zatravnění v horských a příhraničních oblastech s dobrou krmivovou základnou pro chov krav BTPM.</w:t>
            </w:r>
          </w:p>
          <w:p w14:paraId="53AD9EC9" w14:textId="4A26EE41" w:rsidR="00A16DDB" w:rsidRPr="00D95127" w:rsidRDefault="00112542" w:rsidP="00112542">
            <w:pPr>
              <w:pStyle w:val="UZEIOdrky"/>
              <w:ind w:left="460" w:hanging="425"/>
            </w:pPr>
            <w:r>
              <w:t xml:space="preserve">S4: </w:t>
            </w:r>
            <w:r w:rsidR="00A16DDB" w:rsidRPr="00D95127">
              <w:t>Vynikající klimatické a geografické podmínky ČR pro pastevní chov skotu.</w:t>
            </w:r>
          </w:p>
          <w:p w14:paraId="46B157E4" w14:textId="08BDC41B" w:rsidR="00A16DDB" w:rsidRPr="00D95127" w:rsidRDefault="00112542" w:rsidP="00112542">
            <w:pPr>
              <w:pStyle w:val="UZEIOdrky"/>
              <w:ind w:left="460" w:hanging="425"/>
            </w:pPr>
            <w:r>
              <w:t xml:space="preserve">S5: </w:t>
            </w:r>
            <w:r w:rsidR="00A16DDB" w:rsidRPr="00D95127">
              <w:t>Přirozená údržba krajiny</w:t>
            </w:r>
          </w:p>
          <w:p w14:paraId="1C859BA0" w14:textId="5EC3A9D0" w:rsidR="00A16DDB" w:rsidRPr="00D95127" w:rsidRDefault="00112542" w:rsidP="00112542">
            <w:pPr>
              <w:pStyle w:val="UZEIOdrky"/>
              <w:ind w:left="460" w:hanging="425"/>
            </w:pPr>
            <w:r>
              <w:t xml:space="preserve">S6: </w:t>
            </w:r>
            <w:r w:rsidR="00A16DDB" w:rsidRPr="00D95127">
              <w:t>Kvalitní systém plemenářské práce v chovu masného skotu včetně šlechtění, Velmi dobrý zdravotní stav skotu v chovech (ozdravné programy pro skot).</w:t>
            </w:r>
          </w:p>
          <w:p w14:paraId="4CAFFBC7" w14:textId="631E5987" w:rsidR="00A16DDB" w:rsidRPr="00D95127" w:rsidRDefault="00112542" w:rsidP="00112542">
            <w:pPr>
              <w:pStyle w:val="UZEIOdrky"/>
              <w:ind w:left="460" w:hanging="425"/>
            </w:pPr>
            <w:r>
              <w:t xml:space="preserve">S7: </w:t>
            </w:r>
            <w:r w:rsidR="00A16DDB" w:rsidRPr="00D95127">
              <w:t>Agroturistika – provázání zemědělství s turistickým ruchem a výrobou lokálních produktů.</w:t>
            </w:r>
          </w:p>
        </w:tc>
        <w:tc>
          <w:tcPr>
            <w:tcW w:w="4394" w:type="dxa"/>
            <w:shd w:val="clear" w:color="auto" w:fill="auto"/>
          </w:tcPr>
          <w:p w14:paraId="165AD30B" w14:textId="2160F976" w:rsidR="00A16DDB" w:rsidRPr="00D95127" w:rsidRDefault="00112542" w:rsidP="00112542">
            <w:pPr>
              <w:pStyle w:val="UZEIOdrky"/>
              <w:ind w:left="460" w:hanging="425"/>
            </w:pPr>
            <w:r>
              <w:t xml:space="preserve">W1: </w:t>
            </w:r>
            <w:r w:rsidR="00A16DDB" w:rsidRPr="00D95127">
              <w:t xml:space="preserve">Ztrátovost výkrmu skotu v důsledku nízké intenzity výroby a nižších CZV </w:t>
            </w:r>
          </w:p>
          <w:p w14:paraId="355F06FE" w14:textId="5BA89328" w:rsidR="00A16DDB" w:rsidRPr="00D95127" w:rsidRDefault="00112542" w:rsidP="00112542">
            <w:pPr>
              <w:pStyle w:val="UZEIOdrky"/>
              <w:ind w:left="460" w:hanging="425"/>
            </w:pPr>
            <w:r>
              <w:t xml:space="preserve">W2: </w:t>
            </w:r>
            <w:r w:rsidR="00A16DDB" w:rsidRPr="00D95127">
              <w:t>Vysoká závislost ekonomiky odchovu skotu i krav BTPM na podporách, při existenci vysoce rentabilních podniků s extenzivními chovy.</w:t>
            </w:r>
          </w:p>
          <w:p w14:paraId="11FA3D5E" w14:textId="33B7748D" w:rsidR="00A16DDB" w:rsidRPr="00D95127" w:rsidRDefault="00112542" w:rsidP="00112542">
            <w:pPr>
              <w:pStyle w:val="UZEIOdrky"/>
              <w:ind w:left="460" w:hanging="425"/>
            </w:pPr>
            <w:r>
              <w:t xml:space="preserve">W3: </w:t>
            </w:r>
            <w:r w:rsidR="00A16DDB" w:rsidRPr="00D95127">
              <w:t>Nižší využití statkových hnojiv pro zlepšení kvality orné půdy vzhledem k chovu KBTPM na TTP.</w:t>
            </w:r>
          </w:p>
          <w:p w14:paraId="4811079B" w14:textId="76B3ED82" w:rsidR="00A16DDB" w:rsidRPr="00D95127" w:rsidRDefault="00112542" w:rsidP="00112542">
            <w:pPr>
              <w:pStyle w:val="UZEIOdrky"/>
              <w:ind w:left="460" w:hanging="425"/>
            </w:pPr>
            <w:r>
              <w:t xml:space="preserve">W4: </w:t>
            </w:r>
            <w:r w:rsidR="00A16DDB" w:rsidRPr="00D95127">
              <w:t>Malý podíl obchodované produkce prostřednictvím odbytových organizací a v rámci privátních systémů kvality.</w:t>
            </w:r>
          </w:p>
          <w:p w14:paraId="505D9196" w14:textId="16926D52" w:rsidR="00A16DDB" w:rsidRPr="00D95127" w:rsidRDefault="00112542" w:rsidP="00112542">
            <w:pPr>
              <w:pStyle w:val="UZEIOdrky"/>
              <w:ind w:left="460" w:hanging="425"/>
            </w:pPr>
            <w:r>
              <w:t xml:space="preserve">W5: </w:t>
            </w:r>
            <w:r w:rsidR="00A16DDB" w:rsidRPr="00D95127">
              <w:t>Nízké investice do technologií a ustájení v předchozích letech.</w:t>
            </w:r>
          </w:p>
          <w:p w14:paraId="30A6FDE3" w14:textId="080306E0" w:rsidR="00A16DDB" w:rsidRPr="00D95127" w:rsidRDefault="00112542" w:rsidP="00112542">
            <w:pPr>
              <w:pStyle w:val="UZEIOdrky"/>
              <w:ind w:left="460" w:hanging="425"/>
            </w:pPr>
            <w:r>
              <w:t xml:space="preserve">W6: </w:t>
            </w:r>
            <w:r w:rsidR="00A16DDB" w:rsidRPr="00D95127">
              <w:t>Nedostatečné využití TTP (1 mil. ha TTP vs. 200 tis. KBTPM).</w:t>
            </w:r>
          </w:p>
          <w:p w14:paraId="1166B181" w14:textId="14FFBA44" w:rsidR="00A16DDB" w:rsidRPr="00D95127" w:rsidRDefault="00112542" w:rsidP="00112542">
            <w:pPr>
              <w:pStyle w:val="UZEIOdrky"/>
              <w:ind w:left="460" w:hanging="425"/>
            </w:pPr>
            <w:r>
              <w:rPr>
                <w:lang w:eastAsia="cs-CZ"/>
              </w:rPr>
              <w:t xml:space="preserve">W7: </w:t>
            </w:r>
            <w:r w:rsidR="00A16DDB" w:rsidRPr="00D95127">
              <w:rPr>
                <w:lang w:eastAsia="cs-CZ"/>
              </w:rPr>
              <w:t>Nevyrovnané partie masa pro export – velký počet  masných plemen skotu</w:t>
            </w:r>
          </w:p>
        </w:tc>
      </w:tr>
      <w:tr w:rsidR="00A16DDB" w:rsidRPr="00D95127" w14:paraId="07589701" w14:textId="77777777" w:rsidTr="007A627A">
        <w:tc>
          <w:tcPr>
            <w:tcW w:w="4815" w:type="dxa"/>
            <w:shd w:val="clear" w:color="auto" w:fill="auto"/>
          </w:tcPr>
          <w:p w14:paraId="3FD340EF" w14:textId="77777777" w:rsidR="00A16DDB" w:rsidRPr="00D95127" w:rsidRDefault="00A16DDB" w:rsidP="007A627A">
            <w:pPr>
              <w:jc w:val="center"/>
              <w:rPr>
                <w:rFonts w:cs="Times New Roman"/>
                <w:b/>
                <w:szCs w:val="24"/>
                <w:lang w:val="cs-CZ"/>
              </w:rPr>
            </w:pPr>
            <w:r w:rsidRPr="00D95127">
              <w:rPr>
                <w:rFonts w:cs="Times New Roman"/>
                <w:b/>
                <w:szCs w:val="24"/>
                <w:lang w:val="cs-CZ"/>
              </w:rPr>
              <w:t>Příležitosti</w:t>
            </w:r>
          </w:p>
        </w:tc>
        <w:tc>
          <w:tcPr>
            <w:tcW w:w="4394" w:type="dxa"/>
            <w:shd w:val="clear" w:color="auto" w:fill="auto"/>
          </w:tcPr>
          <w:p w14:paraId="266EE51F" w14:textId="77777777" w:rsidR="00A16DDB" w:rsidRPr="00D95127" w:rsidRDefault="00A16DDB" w:rsidP="007A627A">
            <w:pPr>
              <w:jc w:val="center"/>
              <w:rPr>
                <w:rFonts w:cs="Times New Roman"/>
                <w:b/>
                <w:szCs w:val="24"/>
                <w:lang w:val="cs-CZ"/>
              </w:rPr>
            </w:pPr>
            <w:r w:rsidRPr="00D95127">
              <w:rPr>
                <w:rFonts w:cs="Times New Roman"/>
                <w:b/>
                <w:szCs w:val="24"/>
                <w:lang w:val="cs-CZ"/>
              </w:rPr>
              <w:t>Ohrožení</w:t>
            </w:r>
          </w:p>
        </w:tc>
      </w:tr>
      <w:tr w:rsidR="00A16DDB" w:rsidRPr="00D95127" w14:paraId="58573F2C" w14:textId="77777777" w:rsidTr="007A627A">
        <w:trPr>
          <w:trHeight w:val="708"/>
        </w:trPr>
        <w:tc>
          <w:tcPr>
            <w:tcW w:w="4815" w:type="dxa"/>
            <w:shd w:val="clear" w:color="auto" w:fill="auto"/>
          </w:tcPr>
          <w:p w14:paraId="6CA5B270" w14:textId="4F7082A5" w:rsidR="00A16DDB" w:rsidRPr="00D95127" w:rsidRDefault="00112542" w:rsidP="00112542">
            <w:pPr>
              <w:pStyle w:val="UZEIOdrky"/>
              <w:ind w:left="460" w:hanging="425"/>
            </w:pPr>
            <w:r>
              <w:t xml:space="preserve">O1: </w:t>
            </w:r>
            <w:r w:rsidR="00A16DDB" w:rsidRPr="00D95127">
              <w:t>Využití vázané podpory přežvýkavců.</w:t>
            </w:r>
          </w:p>
          <w:p w14:paraId="2BBB71EB" w14:textId="50B7706F" w:rsidR="00A16DDB" w:rsidRPr="00D95127" w:rsidRDefault="00112542" w:rsidP="00112542">
            <w:pPr>
              <w:pStyle w:val="UZEIOdrky"/>
              <w:ind w:left="460" w:hanging="425"/>
            </w:pPr>
            <w:r>
              <w:t xml:space="preserve">O2: </w:t>
            </w:r>
            <w:r w:rsidR="00A16DDB" w:rsidRPr="00D95127">
              <w:t>Zapojení do (privátních) systémů kvality v celé vertikále.</w:t>
            </w:r>
          </w:p>
          <w:p w14:paraId="510E0855" w14:textId="67260808" w:rsidR="00A16DDB" w:rsidRPr="00D95127" w:rsidRDefault="00112542" w:rsidP="00112542">
            <w:pPr>
              <w:pStyle w:val="UZEIOdrky"/>
              <w:ind w:left="460" w:hanging="425"/>
            </w:pPr>
            <w:r>
              <w:t xml:space="preserve">O3: </w:t>
            </w:r>
            <w:r w:rsidR="00A16DDB" w:rsidRPr="00D95127">
              <w:t xml:space="preserve">Zvýšení podílu obchodované produkce prostřednictvím organizací výrobců, zlepšení marketingu a diverzifikace trhu (faremní zpracování a prodej, bio-produkce). </w:t>
            </w:r>
          </w:p>
          <w:p w14:paraId="2262750E" w14:textId="0940C5EF" w:rsidR="00A16DDB" w:rsidRPr="00D95127" w:rsidRDefault="00112542" w:rsidP="00112542">
            <w:pPr>
              <w:pStyle w:val="UZEIOdrky"/>
              <w:ind w:left="460" w:hanging="425"/>
            </w:pPr>
            <w:r>
              <w:t xml:space="preserve">O4: </w:t>
            </w:r>
            <w:r w:rsidR="00A16DDB" w:rsidRPr="00D95127">
              <w:t>Zatraktivnění agroturistiky ve spojení s chovem skotu.</w:t>
            </w:r>
          </w:p>
          <w:p w14:paraId="36315B33" w14:textId="5DD71E32" w:rsidR="00A16DDB" w:rsidRPr="00D95127" w:rsidRDefault="00112542" w:rsidP="00112542">
            <w:pPr>
              <w:pStyle w:val="UZEIOdrky"/>
              <w:ind w:left="460" w:hanging="425"/>
            </w:pPr>
            <w:r>
              <w:t xml:space="preserve">O5: </w:t>
            </w:r>
            <w:r w:rsidR="00A16DDB" w:rsidRPr="00D95127">
              <w:t>Výraznější prostor pro zvyšování efektivnosti produkce u většiny podniků s výkrmem skotu, včetně zlepšení managementu.</w:t>
            </w:r>
          </w:p>
          <w:p w14:paraId="1E848773" w14:textId="5CAAB1FD" w:rsidR="00A16DDB" w:rsidRPr="00D95127" w:rsidRDefault="00112542" w:rsidP="00112542">
            <w:pPr>
              <w:pStyle w:val="UZEIOdrky"/>
              <w:ind w:left="460" w:hanging="425"/>
            </w:pPr>
            <w:r>
              <w:t xml:space="preserve">O6: </w:t>
            </w:r>
            <w:r w:rsidR="00A16DDB" w:rsidRPr="00D95127">
              <w:t>Pokračující specifické podpory producentům.</w:t>
            </w:r>
          </w:p>
          <w:p w14:paraId="5D4D0B09" w14:textId="0EBD323F" w:rsidR="00A16DDB" w:rsidRPr="00D95127" w:rsidRDefault="00112542" w:rsidP="00112542">
            <w:pPr>
              <w:pStyle w:val="UZEIOdrky"/>
              <w:ind w:left="460" w:hanging="425"/>
            </w:pPr>
            <w:r>
              <w:t xml:space="preserve">O7: </w:t>
            </w:r>
            <w:r w:rsidR="00A16DDB" w:rsidRPr="00D95127">
              <w:t>Vazba podpor na produkci kvalitního hovězího masa.</w:t>
            </w:r>
          </w:p>
          <w:p w14:paraId="6FAD4450" w14:textId="067FD6BE" w:rsidR="00A16DDB" w:rsidRPr="00D95127" w:rsidRDefault="00112542" w:rsidP="00112542">
            <w:pPr>
              <w:pStyle w:val="UZEIOdrky"/>
              <w:ind w:left="460" w:hanging="425"/>
            </w:pPr>
            <w:r>
              <w:t xml:space="preserve">O8: </w:t>
            </w:r>
            <w:r w:rsidR="00A16DDB" w:rsidRPr="00D95127">
              <w:t>Prostor k efektivnějšímu využití TTP k chovu paseného skotu.</w:t>
            </w:r>
          </w:p>
          <w:p w14:paraId="6522AE6A" w14:textId="73CF4C4D" w:rsidR="00A16DDB" w:rsidRPr="00D95127" w:rsidRDefault="00112542" w:rsidP="00112542">
            <w:pPr>
              <w:pStyle w:val="UZEIOdrky"/>
              <w:ind w:left="460" w:hanging="425"/>
            </w:pPr>
            <w:r>
              <w:t xml:space="preserve">O9: </w:t>
            </w:r>
            <w:r w:rsidR="00A16DDB" w:rsidRPr="00D95127">
              <w:t>Prostor ke zvýšení domácí spotřeby hovězího masa.</w:t>
            </w:r>
          </w:p>
          <w:p w14:paraId="7E8A145C" w14:textId="2FEBA6C9" w:rsidR="00A16DDB" w:rsidRPr="00D95127" w:rsidRDefault="00112542" w:rsidP="00112542">
            <w:pPr>
              <w:pStyle w:val="UZEIOdrky"/>
              <w:ind w:left="460" w:hanging="425"/>
            </w:pPr>
            <w:r>
              <w:t xml:space="preserve">O10: </w:t>
            </w:r>
            <w:r w:rsidR="00A16DDB" w:rsidRPr="00D95127">
              <w:t>Obchodní činnost jednotlivých svazů, vývozy zvířat, pozitivní vliv na cenu pro prvovýrobce.</w:t>
            </w:r>
          </w:p>
        </w:tc>
        <w:tc>
          <w:tcPr>
            <w:tcW w:w="4394" w:type="dxa"/>
            <w:shd w:val="clear" w:color="auto" w:fill="auto"/>
          </w:tcPr>
          <w:p w14:paraId="123C174B" w14:textId="4D9258DB" w:rsidR="00A16DDB" w:rsidRPr="00D95127" w:rsidRDefault="00112542" w:rsidP="00112542">
            <w:pPr>
              <w:pStyle w:val="UZEIOdrky"/>
              <w:ind w:left="460" w:hanging="425"/>
            </w:pPr>
            <w:r>
              <w:t xml:space="preserve">T1: </w:t>
            </w:r>
            <w:r w:rsidR="00A16DDB" w:rsidRPr="00D95127">
              <w:t>Změna politiky - snížení přímých i nepřímých podpor chovu skotu.</w:t>
            </w:r>
          </w:p>
          <w:p w14:paraId="2656541E" w14:textId="3F0D8335" w:rsidR="00A16DDB" w:rsidRPr="00D95127" w:rsidRDefault="00112542" w:rsidP="00112542">
            <w:pPr>
              <w:pStyle w:val="UZEIOdrky"/>
              <w:ind w:left="460" w:hanging="425"/>
            </w:pPr>
            <w:r>
              <w:t xml:space="preserve">T2: </w:t>
            </w:r>
            <w:r w:rsidR="00A16DDB" w:rsidRPr="00D95127">
              <w:t xml:space="preserve">Zpřísnění podmínek welfare, zejména v oblasti převozů živých zvířat (růst transportních nákladů, nákladů na pohodu zvířat). </w:t>
            </w:r>
          </w:p>
          <w:p w14:paraId="58E5BB65" w14:textId="4B356C85" w:rsidR="00A16DDB" w:rsidRPr="00D95127" w:rsidRDefault="00112542" w:rsidP="00112542">
            <w:pPr>
              <w:pStyle w:val="UZEIOdrky"/>
              <w:ind w:left="460" w:hanging="425"/>
            </w:pPr>
            <w:r>
              <w:t xml:space="preserve">T3: </w:t>
            </w:r>
            <w:r w:rsidR="00A16DDB" w:rsidRPr="00D95127">
              <w:t>Konkurence dovozů hovězího masa z EU a z třetích zemí (dopady dohody EU s MERCOSUR, dohody TTIP s USA).</w:t>
            </w:r>
          </w:p>
          <w:p w14:paraId="0052E9E3" w14:textId="0F3A2579" w:rsidR="00A16DDB" w:rsidRPr="00D95127" w:rsidRDefault="00112542" w:rsidP="00112542">
            <w:pPr>
              <w:pStyle w:val="UZEIOdrky"/>
              <w:ind w:left="460" w:hanging="425"/>
            </w:pPr>
            <w:r>
              <w:t xml:space="preserve">T4: </w:t>
            </w:r>
            <w:r w:rsidR="00A16DDB" w:rsidRPr="00D95127">
              <w:t>Zvýšení nákladů na práci, půdu a také krmiva (konkurence bio-energetiky).</w:t>
            </w:r>
          </w:p>
          <w:p w14:paraId="07E354ED" w14:textId="177C1CB1" w:rsidR="00A16DDB" w:rsidRPr="00D95127" w:rsidRDefault="00112542" w:rsidP="00112542">
            <w:pPr>
              <w:pStyle w:val="UZEIOdrky"/>
              <w:ind w:left="460" w:hanging="425"/>
            </w:pPr>
            <w:r>
              <w:t xml:space="preserve">T5: </w:t>
            </w:r>
            <w:r w:rsidR="00A16DDB" w:rsidRPr="00D95127">
              <w:t>Rostoucí ceny práce, půdy, energií a krmiv.</w:t>
            </w:r>
          </w:p>
          <w:p w14:paraId="373DC910" w14:textId="7C4FEE20" w:rsidR="00A16DDB" w:rsidRPr="00D95127" w:rsidRDefault="00112542" w:rsidP="00112542">
            <w:pPr>
              <w:pStyle w:val="UZEIOdrky"/>
              <w:ind w:left="460" w:hanging="425"/>
            </w:pPr>
            <w:r>
              <w:t xml:space="preserve">T6: </w:t>
            </w:r>
            <w:r w:rsidR="00A16DDB" w:rsidRPr="00D95127">
              <w:t>Zdravotní stav stád skotu v EU, resp. případný výskyt nebezpečných nákaz.</w:t>
            </w:r>
          </w:p>
        </w:tc>
      </w:tr>
    </w:tbl>
    <w:p w14:paraId="36A4691B" w14:textId="77777777" w:rsidR="00A16DDB" w:rsidRPr="00D95127" w:rsidRDefault="00A16DDB" w:rsidP="00A16DDB">
      <w:pPr>
        <w:rPr>
          <w:rFonts w:eastAsia="Times New Roman" w:cs="Times New Roman"/>
          <w:b/>
          <w:color w:val="2E74B5"/>
          <w:szCs w:val="24"/>
          <w:lang w:val="cs-CZ"/>
        </w:rPr>
      </w:pPr>
      <w:bookmarkStart w:id="978" w:name="_Toc526113887"/>
      <w:bookmarkStart w:id="979" w:name="_Toc526114043"/>
      <w:bookmarkStart w:id="980" w:name="_Toc12449698"/>
      <w:r w:rsidRPr="00D95127">
        <w:rPr>
          <w:rFonts w:cs="Times New Roman"/>
          <w:b/>
          <w:szCs w:val="24"/>
          <w:lang w:val="cs-CZ"/>
        </w:rPr>
        <w:br w:type="page"/>
      </w:r>
    </w:p>
    <w:p w14:paraId="5C60FA50" w14:textId="77777777" w:rsidR="00A16DDB" w:rsidRPr="00D95127" w:rsidRDefault="00A16DDB" w:rsidP="00112542">
      <w:pPr>
        <w:pStyle w:val="UZEINadpis1stbezsla"/>
      </w:pPr>
      <w:bookmarkStart w:id="981" w:name="_Toc15304100"/>
      <w:bookmarkStart w:id="982" w:name="_Toc23509921"/>
      <w:bookmarkStart w:id="983" w:name="_Toc76137451"/>
      <w:bookmarkStart w:id="984" w:name="_Toc76637650"/>
      <w:bookmarkStart w:id="985" w:name="_Toc80953339"/>
      <w:bookmarkStart w:id="986" w:name="_Toc81739292"/>
      <w:r w:rsidRPr="00D95127">
        <w:t>VEPŘOVÉ MASO</w:t>
      </w:r>
      <w:bookmarkEnd w:id="978"/>
      <w:bookmarkEnd w:id="979"/>
      <w:bookmarkEnd w:id="980"/>
      <w:bookmarkEnd w:id="981"/>
      <w:bookmarkEnd w:id="982"/>
      <w:bookmarkEnd w:id="983"/>
      <w:bookmarkEnd w:id="984"/>
      <w:bookmarkEnd w:id="985"/>
      <w:bookmarkEnd w:id="986"/>
    </w:p>
    <w:p w14:paraId="0F6FB02C" w14:textId="77777777" w:rsidR="00A16DDB" w:rsidRPr="00D95127" w:rsidRDefault="00A16DDB" w:rsidP="00DE7D57">
      <w:pPr>
        <w:pStyle w:val="Nadpis1"/>
        <w:numPr>
          <w:ilvl w:val="0"/>
          <w:numId w:val="28"/>
        </w:numPr>
      </w:pPr>
      <w:bookmarkStart w:id="987" w:name="_Toc15304101"/>
      <w:bookmarkStart w:id="988" w:name="_Toc23509922"/>
      <w:bookmarkStart w:id="989" w:name="_Toc76137452"/>
      <w:bookmarkStart w:id="990" w:name="_Toc76637651"/>
      <w:bookmarkStart w:id="991" w:name="_Toc80953340"/>
      <w:bookmarkStart w:id="992" w:name="_Toc81739293"/>
      <w:r w:rsidRPr="00D95127">
        <w:t>Analýza stávajících/navrhovaných právních předpisů EK/ČR a pravděpodobné nastavení směrů a cílů SZP</w:t>
      </w:r>
      <w:bookmarkEnd w:id="987"/>
      <w:bookmarkEnd w:id="988"/>
      <w:bookmarkEnd w:id="989"/>
      <w:bookmarkEnd w:id="990"/>
      <w:bookmarkEnd w:id="991"/>
      <w:bookmarkEnd w:id="992"/>
    </w:p>
    <w:p w14:paraId="4AC64B0B" w14:textId="77777777" w:rsidR="00A16DDB" w:rsidRPr="009F39BD" w:rsidRDefault="00A16DDB" w:rsidP="009F39BD">
      <w:pPr>
        <w:pStyle w:val="UZEINormaln"/>
        <w:rPr>
          <w:u w:val="single"/>
        </w:rPr>
      </w:pPr>
      <w:r w:rsidRPr="009F39BD">
        <w:rPr>
          <w:u w:val="single"/>
        </w:rPr>
        <w:t>Tato část je zpracována souhrnně v základním analytickém dokumentu za oblast konkurenceschopnost zemědělství.</w:t>
      </w:r>
    </w:p>
    <w:p w14:paraId="4FDA61F5" w14:textId="77777777" w:rsidR="009F39BD" w:rsidRDefault="009F39BD">
      <w:pPr>
        <w:spacing w:after="160" w:line="259" w:lineRule="auto"/>
        <w:jc w:val="left"/>
        <w:rPr>
          <w:rFonts w:eastAsiaTheme="majorEastAsia" w:cs="Times New Roman"/>
          <w:b/>
          <w:bCs/>
          <w:sz w:val="28"/>
          <w:szCs w:val="32"/>
          <w:lang w:val="cs-CZ"/>
        </w:rPr>
      </w:pPr>
      <w:bookmarkStart w:id="993" w:name="_Toc15304102"/>
      <w:bookmarkStart w:id="994" w:name="_Toc23509923"/>
      <w:bookmarkStart w:id="995" w:name="_Toc76137453"/>
      <w:bookmarkStart w:id="996" w:name="_Toc76637652"/>
      <w:bookmarkStart w:id="997" w:name="_Toc80953341"/>
      <w:r>
        <w:br w:type="page"/>
      </w:r>
    </w:p>
    <w:p w14:paraId="3439D4A4" w14:textId="3E54A212" w:rsidR="00A16DDB" w:rsidRPr="00D95127" w:rsidRDefault="00A16DDB" w:rsidP="009F39BD">
      <w:pPr>
        <w:pStyle w:val="Nadpis1"/>
      </w:pPr>
      <w:bookmarkStart w:id="998" w:name="_Toc81739294"/>
      <w:r w:rsidRPr="00D95127">
        <w:t>Co je skutečným problémem, na který má politika reagovat?</w:t>
      </w:r>
      <w:bookmarkEnd w:id="993"/>
      <w:bookmarkEnd w:id="994"/>
      <w:bookmarkEnd w:id="995"/>
      <w:bookmarkEnd w:id="996"/>
      <w:bookmarkEnd w:id="997"/>
      <w:bookmarkEnd w:id="998"/>
    </w:p>
    <w:p w14:paraId="299F63C8" w14:textId="1ED520B6" w:rsidR="00A16DDB" w:rsidRPr="00D95127" w:rsidRDefault="00A16DDB" w:rsidP="009F39BD">
      <w:pPr>
        <w:pStyle w:val="UZEINormaln"/>
      </w:pPr>
      <w:r w:rsidRPr="00D95127">
        <w:t xml:space="preserve">Výroba vepřového masa se v ČR dlouhodobě řadí k sektorům zemědělské produkce, které vykazuje v rámci živočišných komodit dlouhodobě </w:t>
      </w:r>
      <w:r w:rsidRPr="00D95127">
        <w:rPr>
          <w:b/>
        </w:rPr>
        <w:t>nejnižší konkurenceschopnost</w:t>
      </w:r>
      <w:r w:rsidRPr="00D95127">
        <w:t xml:space="preserve">. Také v rámci zemí EU je odvětví nekonkurenceschopné. Celková produkce dlouhodobě </w:t>
      </w:r>
      <w:r w:rsidRPr="00D95127">
        <w:rPr>
          <w:b/>
        </w:rPr>
        <w:t>nepokrývá tuzemskou spotřebu a míra soběstačnosti dlouhodobě klesá</w:t>
      </w:r>
      <w:r w:rsidRPr="00D95127">
        <w:t xml:space="preserve">, přičemž mezi roky 2010 a 2020 se snížila ze 64 % na 52 %. </w:t>
      </w:r>
      <w:r w:rsidRPr="00D95127">
        <w:rPr>
          <w:b/>
        </w:rPr>
        <w:t>Stavy prasat</w:t>
      </w:r>
      <w:r w:rsidRPr="00D95127">
        <w:t xml:space="preserve">, které až do roku 2012 dlouhodobě </w:t>
      </w:r>
      <w:r w:rsidRPr="00D95127">
        <w:rPr>
          <w:b/>
        </w:rPr>
        <w:t>klesaly</w:t>
      </w:r>
      <w:r w:rsidRPr="00D95127">
        <w:t xml:space="preserve">, zaznamenaly v posledních šesti letech spíše </w:t>
      </w:r>
      <w:r w:rsidRPr="00D95127">
        <w:rPr>
          <w:b/>
        </w:rPr>
        <w:t>stabilizaci</w:t>
      </w:r>
      <w:r w:rsidRPr="00D95127">
        <w:t xml:space="preserve">. Také v případě </w:t>
      </w:r>
      <w:r w:rsidRPr="00D95127">
        <w:rPr>
          <w:b/>
        </w:rPr>
        <w:t>celkové produkce</w:t>
      </w:r>
      <w:r w:rsidRPr="00D95127">
        <w:t xml:space="preserve"> vepřového masa došlo v posledních pěti letech (2016</w:t>
      </w:r>
      <w:r w:rsidRPr="00D95127">
        <w:noBreakHyphen/>
        <w:t>2020) již jen k </w:t>
      </w:r>
      <w:r w:rsidRPr="00D95127">
        <w:rPr>
          <w:b/>
        </w:rPr>
        <w:t>nepatrnému snižování</w:t>
      </w:r>
      <w:r w:rsidRPr="00D95127">
        <w:t>.</w:t>
      </w:r>
    </w:p>
    <w:p w14:paraId="62C3BF14" w14:textId="07A044A8" w:rsidR="00A16DDB" w:rsidRPr="00D95127" w:rsidRDefault="00A16DDB" w:rsidP="009F39BD">
      <w:pPr>
        <w:pStyle w:val="UZEITaB"/>
        <w:ind w:left="1276" w:hanging="1276"/>
      </w:pPr>
      <w:bookmarkStart w:id="999" w:name="_Toc81738532"/>
      <w:r w:rsidRPr="00D95127">
        <w:t>Bilance výroby a spotřeby vepřového masa</w:t>
      </w:r>
      <w:r w:rsidRPr="00D95127">
        <w:rPr>
          <w:vertAlign w:val="superscript"/>
        </w:rPr>
        <w:t>1)</w:t>
      </w:r>
      <w:bookmarkEnd w:id="999"/>
      <w:r w:rsidRPr="00D95127">
        <w:t xml:space="preserve"> </w:t>
      </w:r>
    </w:p>
    <w:p w14:paraId="76A8D6E5" w14:textId="77777777" w:rsidR="00A16DDB" w:rsidRPr="00D95127" w:rsidRDefault="00A16DDB" w:rsidP="00A16DDB">
      <w:pPr>
        <w:rPr>
          <w:rFonts w:cs="Times New Roman"/>
          <w:szCs w:val="24"/>
          <w:lang w:val="cs-CZ"/>
        </w:rPr>
      </w:pPr>
      <w:r w:rsidRPr="00D95127">
        <w:rPr>
          <w:rFonts w:cs="Times New Roman"/>
          <w:noProof/>
          <w:lang w:val="cs-CZ"/>
        </w:rPr>
        <w:drawing>
          <wp:inline distT="0" distB="0" distL="0" distR="0" wp14:anchorId="24776443" wp14:editId="134E1245">
            <wp:extent cx="5759450" cy="2628900"/>
            <wp:effectExtent l="0" t="0" r="0" b="0"/>
            <wp:docPr id="263" name="Obrázek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759450" cy="2628900"/>
                    </a:xfrm>
                    <a:prstGeom prst="rect">
                      <a:avLst/>
                    </a:prstGeom>
                    <a:noFill/>
                    <a:ln>
                      <a:noFill/>
                    </a:ln>
                  </pic:spPr>
                </pic:pic>
              </a:graphicData>
            </a:graphic>
          </wp:inline>
        </w:drawing>
      </w:r>
    </w:p>
    <w:p w14:paraId="4648F817" w14:textId="6DBD1D8A" w:rsidR="00A16DDB" w:rsidRPr="00D95127" w:rsidRDefault="00A16DDB" w:rsidP="009F39BD">
      <w:pPr>
        <w:pStyle w:val="UZEINormaln"/>
      </w:pPr>
      <w:r w:rsidRPr="00D95127">
        <w:t>Saldo zahraničního obchodu se živými prasaty, které bylo do roku 2013 záporné se od roku 2014 dostalo do kladných čísel a každoročně se zlepšuje (v roce 2020 dosáhlo hodnoty 1,30 mld. Kč). To znamená, že čeští chovatelé se stávají na evropském trhu konkurenceschopnějšími, což se projevilo omezením</w:t>
      </w:r>
      <w:r w:rsidRPr="00D95127" w:rsidDel="002E7677">
        <w:t xml:space="preserve"> </w:t>
      </w:r>
      <w:r w:rsidRPr="00D95127">
        <w:t xml:space="preserve">dovozu selat, a naopak zvýšením exportu jak selat, tak i jatečných prasat. Naproti tomu </w:t>
      </w:r>
      <w:r w:rsidRPr="00D95127">
        <w:rPr>
          <w:b/>
        </w:rPr>
        <w:t>bilance zahraničního obchodu s vepřovým masem se trvale zhoršovala</w:t>
      </w:r>
      <w:r w:rsidRPr="00D95127">
        <w:t xml:space="preserve">, když v roce 2010 dosáhla -7,8 mld. Kč a do roku 2020 se snížila o 52 % na 14,9 mld. Kč. Od roku 2015 dokonce převyšují dovozy svým objemem tuzemskou produkci. </w:t>
      </w:r>
    </w:p>
    <w:p w14:paraId="78626F95" w14:textId="77777777" w:rsidR="00A16DDB" w:rsidRPr="00D95127" w:rsidRDefault="00A16DDB" w:rsidP="009F39BD">
      <w:pPr>
        <w:pStyle w:val="UZEINormaln"/>
      </w:pPr>
    </w:p>
    <w:p w14:paraId="735F902D" w14:textId="77777777" w:rsidR="00A16DDB" w:rsidRPr="00D95127" w:rsidRDefault="00A16DDB" w:rsidP="00A16DDB">
      <w:pPr>
        <w:ind w:firstLine="709"/>
        <w:rPr>
          <w:rFonts w:cs="Times New Roman"/>
          <w:szCs w:val="24"/>
          <w:lang w:val="cs-CZ"/>
        </w:rPr>
      </w:pPr>
    </w:p>
    <w:p w14:paraId="342B01AA" w14:textId="77777777" w:rsidR="00A16DDB" w:rsidRPr="00D95127" w:rsidRDefault="00A16DDB" w:rsidP="00A16DDB">
      <w:pPr>
        <w:ind w:firstLine="709"/>
        <w:rPr>
          <w:rFonts w:cs="Times New Roman"/>
          <w:szCs w:val="24"/>
          <w:lang w:val="cs-CZ"/>
        </w:rPr>
      </w:pPr>
    </w:p>
    <w:p w14:paraId="20BF0153" w14:textId="77777777" w:rsidR="009F39BD" w:rsidRDefault="009F39BD">
      <w:pPr>
        <w:spacing w:after="160" w:line="259" w:lineRule="auto"/>
        <w:jc w:val="left"/>
        <w:rPr>
          <w:rFonts w:eastAsiaTheme="majorEastAsia" w:cs="Times New Roman"/>
          <w:b/>
          <w:bCs/>
          <w:sz w:val="28"/>
          <w:szCs w:val="32"/>
          <w:lang w:val="cs-CZ"/>
        </w:rPr>
      </w:pPr>
      <w:bookmarkStart w:id="1000" w:name="_Toc15304103"/>
      <w:bookmarkStart w:id="1001" w:name="_Toc23509924"/>
      <w:bookmarkStart w:id="1002" w:name="_Toc76137454"/>
      <w:bookmarkStart w:id="1003" w:name="_Toc76637653"/>
      <w:bookmarkStart w:id="1004" w:name="_Toc80953342"/>
      <w:r>
        <w:br w:type="page"/>
      </w:r>
    </w:p>
    <w:p w14:paraId="70EB9F36" w14:textId="2A768AFE" w:rsidR="00A16DDB" w:rsidRPr="00D95127" w:rsidRDefault="00A16DDB" w:rsidP="009F39BD">
      <w:pPr>
        <w:pStyle w:val="Nadpis1"/>
      </w:pPr>
      <w:bookmarkStart w:id="1005" w:name="_Toc81739295"/>
      <w:r w:rsidRPr="00D95127">
        <w:t>Jaký je mechanizmus a příčiny tohoto problému?</w:t>
      </w:r>
      <w:bookmarkEnd w:id="1000"/>
      <w:bookmarkEnd w:id="1001"/>
      <w:bookmarkEnd w:id="1002"/>
      <w:bookmarkEnd w:id="1003"/>
      <w:bookmarkEnd w:id="1004"/>
      <w:bookmarkEnd w:id="1005"/>
    </w:p>
    <w:p w14:paraId="1A47CD43" w14:textId="77777777" w:rsidR="00A16DDB" w:rsidRPr="00D95127" w:rsidRDefault="00A16DDB" w:rsidP="009F39BD">
      <w:pPr>
        <w:pStyle w:val="UZEINormaln"/>
      </w:pPr>
      <w:r w:rsidRPr="00D95127">
        <w:t>Hlavními důvody snižování rozměru domácí výroby jsou:</w:t>
      </w:r>
    </w:p>
    <w:p w14:paraId="4F9A3385" w14:textId="77777777" w:rsidR="00A16DDB" w:rsidRPr="009F39BD" w:rsidRDefault="00A16DDB" w:rsidP="009F39BD">
      <w:pPr>
        <w:pStyle w:val="UZEIOdrky"/>
        <w:rPr>
          <w:b/>
          <w:bCs/>
        </w:rPr>
      </w:pPr>
      <w:r w:rsidRPr="009F39BD">
        <w:rPr>
          <w:b/>
          <w:bCs/>
        </w:rPr>
        <w:t>Nízká rentabilita produkce.</w:t>
      </w:r>
    </w:p>
    <w:p w14:paraId="69B74749" w14:textId="77777777" w:rsidR="00A16DDB" w:rsidRPr="009F39BD" w:rsidRDefault="00A16DDB" w:rsidP="009F39BD">
      <w:pPr>
        <w:pStyle w:val="UZEIOdrky"/>
        <w:rPr>
          <w:b/>
          <w:bCs/>
        </w:rPr>
      </w:pPr>
      <w:r w:rsidRPr="009F39BD">
        <w:rPr>
          <w:b/>
          <w:bCs/>
        </w:rPr>
        <w:t xml:space="preserve">Vysoká volatilita CZV – přímá závislost tuzemských cen na cenách na </w:t>
      </w:r>
      <w:r w:rsidRPr="009F39BD">
        <w:rPr>
          <w:b/>
          <w:bCs/>
        </w:rPr>
        <w:tab/>
        <w:t>evropském trhu.</w:t>
      </w:r>
    </w:p>
    <w:p w14:paraId="3736B0C8" w14:textId="77777777" w:rsidR="00A16DDB" w:rsidRPr="009F39BD" w:rsidRDefault="00A16DDB" w:rsidP="009F39BD">
      <w:pPr>
        <w:pStyle w:val="UZEIOdrky"/>
        <w:rPr>
          <w:b/>
          <w:bCs/>
        </w:rPr>
      </w:pPr>
      <w:r w:rsidRPr="009F39BD">
        <w:rPr>
          <w:b/>
          <w:bCs/>
        </w:rPr>
        <w:t>Rezervy existují v konverzi krmiv v předvýkrmu prasat a v produktivitě práce.</w:t>
      </w:r>
    </w:p>
    <w:p w14:paraId="4828CCC3" w14:textId="77777777" w:rsidR="00A16DDB" w:rsidRPr="009F39BD" w:rsidRDefault="00A16DDB" w:rsidP="009F39BD">
      <w:pPr>
        <w:pStyle w:val="UZEIOdrky"/>
        <w:rPr>
          <w:b/>
          <w:bCs/>
        </w:rPr>
      </w:pPr>
      <w:r w:rsidRPr="009F39BD">
        <w:rPr>
          <w:b/>
          <w:bCs/>
        </w:rPr>
        <w:t>Změny na trhu faktorů, především dostupnost a kvalita pracovní síly.</w:t>
      </w:r>
    </w:p>
    <w:p w14:paraId="60442217" w14:textId="77777777" w:rsidR="00A16DDB" w:rsidRPr="009F39BD" w:rsidRDefault="00A16DDB" w:rsidP="009F39BD">
      <w:pPr>
        <w:pStyle w:val="UZEIOdrky"/>
        <w:rPr>
          <w:b/>
          <w:bCs/>
        </w:rPr>
      </w:pPr>
      <w:r w:rsidRPr="009F39BD">
        <w:rPr>
          <w:b/>
          <w:bCs/>
        </w:rPr>
        <w:t>Nízká ochota prvovýrobců sdružovat se do odbytových organizací.</w:t>
      </w:r>
    </w:p>
    <w:p w14:paraId="30DCB09C" w14:textId="77777777" w:rsidR="00A16DDB" w:rsidRPr="009F39BD" w:rsidRDefault="00A16DDB" w:rsidP="009F39BD">
      <w:pPr>
        <w:pStyle w:val="UZEIOdrky"/>
        <w:rPr>
          <w:b/>
          <w:bCs/>
        </w:rPr>
      </w:pPr>
      <w:r w:rsidRPr="009F39BD">
        <w:rPr>
          <w:b/>
          <w:bCs/>
        </w:rPr>
        <w:t>Chybějící nezávislé poradenské služby.</w:t>
      </w:r>
    </w:p>
    <w:p w14:paraId="1D702BDD" w14:textId="77777777" w:rsidR="00A16DDB" w:rsidRPr="009F39BD" w:rsidRDefault="00A16DDB" w:rsidP="009F39BD">
      <w:pPr>
        <w:pStyle w:val="UZEIOdrky"/>
        <w:rPr>
          <w:b/>
          <w:bCs/>
        </w:rPr>
      </w:pPr>
      <w:r w:rsidRPr="009F39BD">
        <w:rPr>
          <w:b/>
          <w:bCs/>
        </w:rPr>
        <w:t>Nedostatečný transfer poznatků z oblasti vědy a výzkumu</w:t>
      </w:r>
    </w:p>
    <w:p w14:paraId="734F72EE" w14:textId="77777777" w:rsidR="00A16DDB" w:rsidRPr="009F39BD" w:rsidRDefault="00A16DDB" w:rsidP="009F39BD">
      <w:pPr>
        <w:pStyle w:val="UZEIOdrky"/>
        <w:rPr>
          <w:b/>
          <w:bCs/>
        </w:rPr>
      </w:pPr>
      <w:r w:rsidRPr="009F39BD">
        <w:rPr>
          <w:b/>
          <w:bCs/>
        </w:rPr>
        <w:t>Nízká konkurenceschopnost zejména masného zpracovatelského průmyslu.</w:t>
      </w:r>
    </w:p>
    <w:p w14:paraId="49F916C3" w14:textId="77777777" w:rsidR="00A16DDB" w:rsidRPr="009F39BD" w:rsidRDefault="00A16DDB" w:rsidP="009F39BD">
      <w:pPr>
        <w:pStyle w:val="UZEIOdrky"/>
        <w:rPr>
          <w:b/>
          <w:bCs/>
        </w:rPr>
      </w:pPr>
      <w:r w:rsidRPr="009F39BD">
        <w:rPr>
          <w:b/>
          <w:bCs/>
        </w:rPr>
        <w:t>Chybí angažovanost producentů a zpracovatelů do zapojení v různých (privátních) systémech zvyšování kvality a marketingu (např. systémy Q pro maso).</w:t>
      </w:r>
    </w:p>
    <w:p w14:paraId="73EB0BE1" w14:textId="77777777" w:rsidR="00A16DDB" w:rsidRPr="00D95127" w:rsidRDefault="00A16DDB" w:rsidP="009F39BD">
      <w:pPr>
        <w:pStyle w:val="UZEINormaln"/>
      </w:pPr>
      <w:r w:rsidRPr="00D95127">
        <w:t>Pozitivní je však vývoj spotřeby vepřového masa, která v ČR je dlouhodobě stabilní. Do budoucna je ale možné očekávat změny ve spotřebitelském chování směrem spíše k vyšší spotřebě bílého masa (ryby, drůbež).</w:t>
      </w:r>
    </w:p>
    <w:p w14:paraId="1B33BD2A" w14:textId="240A96E6" w:rsidR="00A16DDB" w:rsidRPr="00D95127" w:rsidRDefault="00A16DDB" w:rsidP="009F39BD">
      <w:pPr>
        <w:pStyle w:val="UZEITaB"/>
        <w:ind w:left="1134" w:hanging="1134"/>
      </w:pPr>
      <w:bookmarkStart w:id="1006" w:name="_Ref81733451"/>
      <w:bookmarkStart w:id="1007" w:name="_Toc81738533"/>
      <w:r w:rsidRPr="00D95127">
        <w:t>Ekonomika výkrmu prasat (náklady, přírůstky a realizační ceny z Výběrového šetření ÚZEI) v letech 2011 až 2020</w:t>
      </w:r>
      <w:bookmarkEnd w:id="1006"/>
      <w:bookmarkEnd w:id="1007"/>
    </w:p>
    <w:p w14:paraId="2AECA2A4" w14:textId="77777777" w:rsidR="00A16DDB" w:rsidRPr="00D95127" w:rsidRDefault="00A16DDB" w:rsidP="00A16DDB">
      <w:pPr>
        <w:keepNext/>
        <w:rPr>
          <w:rFonts w:cs="Times New Roman"/>
          <w:i/>
          <w:color w:val="44546A"/>
          <w:szCs w:val="24"/>
          <w:lang w:val="cs-CZ"/>
        </w:rPr>
      </w:pPr>
      <w:r w:rsidRPr="00D95127">
        <w:rPr>
          <w:rFonts w:cs="Times New Roman"/>
          <w:noProof/>
          <w:lang w:val="cs-CZ"/>
        </w:rPr>
        <w:drawing>
          <wp:inline distT="0" distB="0" distL="0" distR="0" wp14:anchorId="351F8FD3" wp14:editId="16DD5251">
            <wp:extent cx="5759450" cy="3000375"/>
            <wp:effectExtent l="0" t="0" r="0" b="9525"/>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759450" cy="3000375"/>
                    </a:xfrm>
                    <a:prstGeom prst="rect">
                      <a:avLst/>
                    </a:prstGeom>
                    <a:noFill/>
                    <a:ln>
                      <a:noFill/>
                    </a:ln>
                  </pic:spPr>
                </pic:pic>
              </a:graphicData>
            </a:graphic>
          </wp:inline>
        </w:drawing>
      </w:r>
    </w:p>
    <w:p w14:paraId="532831C3" w14:textId="77777777" w:rsidR="00A16DDB" w:rsidRPr="00D95127" w:rsidRDefault="00A16DDB" w:rsidP="00A16DDB">
      <w:pPr>
        <w:keepNext/>
        <w:rPr>
          <w:rFonts w:cs="Times New Roman"/>
          <w:szCs w:val="24"/>
          <w:lang w:val="cs-CZ"/>
        </w:rPr>
      </w:pPr>
    </w:p>
    <w:p w14:paraId="4809EAEB" w14:textId="64BD2C82" w:rsidR="00A16DDB" w:rsidRPr="00D95127" w:rsidRDefault="00A16DDB" w:rsidP="009F39BD">
      <w:pPr>
        <w:pStyle w:val="UZEINormaln"/>
      </w:pPr>
      <w:r w:rsidRPr="00D95127" w:rsidDel="002939D4">
        <w:t xml:space="preserve"> </w:t>
      </w:r>
      <w:r w:rsidRPr="00D95127">
        <w:t xml:space="preserve">EU patří k jedněm z hlavních světových producentů a je největším exportérem vepřového masa. EU je poměrně významně ovlivňována globálním trhem s touto komoditou, neboť se na tomto trhu střetává s dalšími konkurenty (USA, Brazílie, Kanada). Současně se jakékoliv změny odehrávající v odvětví vepřového masa na společném trhu Unie zpětně promítají do trhu s vepřovým masem v ČR. </w:t>
      </w:r>
      <w:r w:rsidRPr="00D95127">
        <w:rPr>
          <w:b/>
        </w:rPr>
        <w:t>Převis nabídky nad poptávkou vepřového masa</w:t>
      </w:r>
      <w:r w:rsidRPr="00D95127">
        <w:t xml:space="preserve"> v EU, který se odrazil v poklesu cen, </w:t>
      </w:r>
      <w:r w:rsidRPr="00D95127">
        <w:rPr>
          <w:b/>
        </w:rPr>
        <w:t>negativně ovlivňoval</w:t>
      </w:r>
      <w:r w:rsidRPr="00D95127">
        <w:t xml:space="preserve"> od konce roku 2014 až do 1. poloviny roku 2016 </w:t>
      </w:r>
      <w:r w:rsidRPr="00D95127">
        <w:rPr>
          <w:b/>
        </w:rPr>
        <w:t>ekonomiku chovu prasat</w:t>
      </w:r>
      <w:r w:rsidRPr="00D95127">
        <w:t xml:space="preserve"> ve všech členských zemích, tedy i v ČR. To se následně projevilo redukcí stavů prasat i prasnic, mírným růstem celkové výroby, poklesem porážek a pokračujícím růstem dovozů masa.</w:t>
      </w:r>
    </w:p>
    <w:p w14:paraId="3F86147C" w14:textId="77777777" w:rsidR="00A16DDB" w:rsidRPr="00D95127" w:rsidRDefault="00A16DDB" w:rsidP="009F39BD">
      <w:pPr>
        <w:pStyle w:val="UZEINormaln"/>
        <w:rPr>
          <w:color w:val="7B7B7B"/>
        </w:rPr>
      </w:pPr>
      <w:r w:rsidRPr="00D95127">
        <w:rPr>
          <w:color w:val="7B7B7B"/>
        </w:rPr>
        <w:t xml:space="preserve">- </w:t>
      </w:r>
      <w:r w:rsidRPr="00D95127">
        <w:rPr>
          <w:color w:val="000000"/>
        </w:rPr>
        <w:t>Na základě dlouhodobě nepříznivého ekonomického vývoje v odvětví rozhodla Evropská komise pro roky 2015 i 2016 vyhlásit v rámci SOT podporu soukromého skladování masa. Tato záchranná síť se však nejevila jako dostatečně účinná, proto EK rozhodla finančně pomoci odvětví chovu prasat v podobě mimořádných podpor (tzv. I. a II. balíčku). Každá členská země mohla navíc ke stanovené sumě ze zdrojů EU přidat stejný objem financí z národních zdrojů. Tyto a další podpory z národních zdrojů včetně zelené nafty a welfarových opatření pozitivně ovlivnily ekonomiku chovu prasat v ČR, která se díky jim stala v průměru ČR zisková.</w:t>
      </w:r>
    </w:p>
    <w:p w14:paraId="15CCAE18" w14:textId="559436F0" w:rsidR="00A16DDB" w:rsidRPr="00D95127" w:rsidRDefault="00A16DDB" w:rsidP="009F39BD">
      <w:pPr>
        <w:pStyle w:val="UZEIOdrky"/>
      </w:pPr>
      <w:r w:rsidRPr="00D95127">
        <w:t>Při porovnání s ostatními chovatelsky vyspělými zeměmi EU</w:t>
      </w:r>
      <w:r w:rsidRPr="00D95127">
        <w:rPr>
          <w:vertAlign w:val="superscript"/>
        </w:rPr>
        <w:footnoteReference w:id="37"/>
      </w:r>
      <w:r w:rsidRPr="00D95127">
        <w:t xml:space="preserve"> došlo v ČR v chovu prasat k výraznému zlepšení jak reprodukčních ukazatelů, konverze krmiva i celkových nákladů. Přesto jsou v českých chovech v porovnání se západními konkurenty </w:t>
      </w:r>
      <w:r w:rsidRPr="00D95127">
        <w:rPr>
          <w:b/>
        </w:rPr>
        <w:t>stále rezervy v produktivitě práce a konverzi krmiva</w:t>
      </w:r>
      <w:r w:rsidRPr="00D95127">
        <w:t xml:space="preserve"> a</w:t>
      </w:r>
      <w:r w:rsidRPr="00D95127">
        <w:rPr>
          <w:b/>
        </w:rPr>
        <w:t xml:space="preserve"> i užitkovosti (</w:t>
      </w:r>
      <w:r w:rsidRPr="00D95127">
        <w:t>např. přírůstek v předvýkrmu prasat</w:t>
      </w:r>
      <w:r w:rsidRPr="00D95127">
        <w:rPr>
          <w:b/>
        </w:rPr>
        <w:t>)</w:t>
      </w:r>
      <w:r w:rsidRPr="00D95127">
        <w:t xml:space="preserve">. </w:t>
      </w:r>
    </w:p>
    <w:p w14:paraId="683F8869" w14:textId="233CE382" w:rsidR="00A16DDB" w:rsidRPr="00D95127" w:rsidRDefault="00A16DDB" w:rsidP="009F39BD">
      <w:pPr>
        <w:pStyle w:val="UZEIOdrky"/>
      </w:pPr>
      <w:r w:rsidRPr="00D95127">
        <w:t xml:space="preserve">Ke zlepšení užitkovosti a zdravotního stavu prasnic a prasat ve výkrmu přispěla v ČR bezpochyby také podpora zaměřená na ozdravení chovů prasat, která je českým chovatelům v rámci národní podpory vyplácena od roku 2011. Zároveň se díky lepšímu zdravotnímu stavu snížila také spotřeba antibiotik v kompletních krmných směsích. </w:t>
      </w:r>
    </w:p>
    <w:p w14:paraId="68611F1A" w14:textId="08CEAC3D" w:rsidR="00A16DDB" w:rsidRPr="00D95127" w:rsidRDefault="009F39BD" w:rsidP="009F39BD">
      <w:pPr>
        <w:pStyle w:val="UZEIOdrky"/>
      </w:pPr>
      <w:r>
        <w:t>V</w:t>
      </w:r>
      <w:r w:rsidR="00A16DDB" w:rsidRPr="00D95127">
        <w:t> České republice byly v porovnání s nejlepšími producenty EU zjištěny mírně vyšší náklady na krmiva, vyšší veterinární, a především ostatní a režijní náklady. Vysoké ostatní a režijní náklady významně zhoršují pozici ČR.</w:t>
      </w:r>
    </w:p>
    <w:p w14:paraId="70F3050E" w14:textId="0378E34E" w:rsidR="00A16DDB" w:rsidRPr="00D95127" w:rsidRDefault="00A16DDB" w:rsidP="009F39BD">
      <w:pPr>
        <w:pStyle w:val="UZEIOdrky"/>
      </w:pPr>
      <w:r w:rsidRPr="00D95127">
        <w:t>Konverze krmiva se od roku 2010 do 2016 významně zlepšila, v průměru bylo na 1 kg ž. hm. potřeba o 0,6 kg krmiva méně. Celková spotřeba krmné směsi na vykrmené jatečné prase poklesla o 50 kg. Přesto se konverze krmiva pohybuje stále mírně pod průměrem zemí EU, rezervy jsou spatřovány především v období od odstavu do konce předvýkrmu prasat. Horší konverze krmiva se projevuje vyšší citlivostí českých výkrmců na růst cen krmných směsí, než u producentů s lepší konverzí krmiva, ačkoli se ČR řadí k zemím s nižšími cenami krmných směsí.</w:t>
      </w:r>
    </w:p>
    <w:p w14:paraId="3615D768" w14:textId="7666469E" w:rsidR="00A16DDB" w:rsidRPr="00D95127" w:rsidRDefault="00A16DDB" w:rsidP="009F39BD">
      <w:pPr>
        <w:pStyle w:val="UZEIGraf"/>
      </w:pPr>
      <w:bookmarkStart w:id="1008" w:name="_Toc81738829"/>
      <w:r w:rsidRPr="00D95127">
        <w:t>Vývoj spotřeby krmiva a konverze krmiva v roce 2016 vůči roku 2010</w:t>
      </w:r>
      <w:bookmarkEnd w:id="1008"/>
    </w:p>
    <w:p w14:paraId="7EF58B37" w14:textId="77777777" w:rsidR="00A16DDB" w:rsidRPr="00D95127" w:rsidRDefault="00A16DDB" w:rsidP="00A16DDB">
      <w:pPr>
        <w:pStyle w:val="Odstavecseseznamem"/>
        <w:ind w:left="142" w:hanging="142"/>
      </w:pPr>
    </w:p>
    <w:p w14:paraId="2CEAC667" w14:textId="77777777" w:rsidR="00A16DDB" w:rsidRPr="00D95127" w:rsidRDefault="00A16DDB" w:rsidP="00A16DDB">
      <w:pPr>
        <w:pStyle w:val="Odstavecseseznamem"/>
        <w:ind w:left="142" w:hanging="142"/>
      </w:pPr>
      <w:r w:rsidRPr="00D95127">
        <w:rPr>
          <w:noProof/>
          <w:lang w:eastAsia="cs-CZ"/>
        </w:rPr>
        <w:drawing>
          <wp:inline distT="0" distB="0" distL="0" distR="0" wp14:anchorId="43ABBDE6" wp14:editId="2EA0FD8B">
            <wp:extent cx="5137785" cy="1680845"/>
            <wp:effectExtent l="0" t="0" r="5715" b="14605"/>
            <wp:docPr id="214" name="obrázek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p w14:paraId="45CA15FD" w14:textId="77777777" w:rsidR="00A16DDB" w:rsidRPr="00D95127" w:rsidRDefault="00A16DDB" w:rsidP="009F39BD">
      <w:pPr>
        <w:pStyle w:val="UZEIZdroj"/>
      </w:pPr>
      <w:r w:rsidRPr="00D95127">
        <w:t>Pramen: InterPig</w:t>
      </w:r>
    </w:p>
    <w:p w14:paraId="74BA6A11" w14:textId="6FB53205" w:rsidR="00A16DDB" w:rsidRPr="009F39BD" w:rsidRDefault="00A16DDB" w:rsidP="00A16DDB">
      <w:pPr>
        <w:pStyle w:val="Odstavecseseznamem"/>
        <w:ind w:left="0" w:firstLine="709"/>
        <w:contextualSpacing w:val="0"/>
        <w:rPr>
          <w:rStyle w:val="UZEIOdrkyChar"/>
          <w:rFonts w:eastAsia="Calibri"/>
        </w:rPr>
      </w:pPr>
      <w:r w:rsidRPr="00D95127">
        <w:t xml:space="preserve">- </w:t>
      </w:r>
      <w:r w:rsidRPr="009F39BD">
        <w:rPr>
          <w:rStyle w:val="UZEIOdrkyChar"/>
          <w:rFonts w:eastAsia="Calibri"/>
        </w:rPr>
        <w:t xml:space="preserve">Česká republika dosáhla v porovnání s ostatními vybranými zeměmi EU podle údajů InterPig nejvýznamnějšího nárůstu užitkovosti prasnic z 19,97 odchovaných selat v roce 2009 na 29,02 v roce 2017 </w:t>
      </w:r>
      <w:r w:rsidR="009E5D07">
        <w:rPr>
          <w:rStyle w:val="UZEIOdrkyChar"/>
          <w:rFonts w:eastAsia="Calibri"/>
        </w:rPr>
        <w:fldChar w:fldCharType="begin"/>
      </w:r>
      <w:r w:rsidR="009E5D07">
        <w:rPr>
          <w:rStyle w:val="UZEIOdrkyChar"/>
          <w:rFonts w:eastAsia="Calibri"/>
        </w:rPr>
        <w:instrText xml:space="preserve"> REF _Ref81733451 \r \h </w:instrText>
      </w:r>
      <w:r w:rsidR="009E5D07">
        <w:rPr>
          <w:rStyle w:val="UZEIOdrkyChar"/>
          <w:rFonts w:eastAsia="Calibri"/>
        </w:rPr>
      </w:r>
      <w:r w:rsidR="009E5D07">
        <w:rPr>
          <w:rStyle w:val="UZEIOdrkyChar"/>
          <w:rFonts w:eastAsia="Calibri"/>
        </w:rPr>
        <w:fldChar w:fldCharType="separate"/>
      </w:r>
      <w:r w:rsidR="009E5D07">
        <w:rPr>
          <w:rStyle w:val="UZEIOdrkyChar"/>
          <w:rFonts w:eastAsia="Calibri"/>
        </w:rPr>
        <w:t>Tabulka 105</w:t>
      </w:r>
      <w:r w:rsidR="009E5D07">
        <w:rPr>
          <w:rStyle w:val="UZEIOdrkyChar"/>
          <w:rFonts w:eastAsia="Calibri"/>
        </w:rPr>
        <w:fldChar w:fldCharType="end"/>
      </w:r>
      <w:r w:rsidRPr="009F39BD">
        <w:rPr>
          <w:rStyle w:val="UZEIOdrkyChar"/>
          <w:rFonts w:eastAsia="Calibri"/>
        </w:rPr>
        <w:t>), což je dáno kvalitní plemenářskou a chovatelskou prací, ale také úbytkem méně efektivních chovů. Užitkovost prasnic dosahuje průměru zemí EU, počet odstavených selat na prasnici je srovnatelný s Německem a Belgií a vyšší než ve Francii, Rakousku a Španělsku, ale dosud nižší než v Dánsku a Nizozemku.</w:t>
      </w:r>
    </w:p>
    <w:p w14:paraId="2E84023E" w14:textId="52AB199B" w:rsidR="00A16DDB" w:rsidRPr="00D95127" w:rsidRDefault="00A16DDB" w:rsidP="009E5D07">
      <w:pPr>
        <w:pStyle w:val="UZEIGraf"/>
      </w:pPr>
      <w:bookmarkStart w:id="1009" w:name="_Toc81738830"/>
      <w:r w:rsidRPr="00D95127">
        <w:t>Počet odstavených selat na prasnici v letech 2016 a 2010</w:t>
      </w:r>
      <w:bookmarkEnd w:id="1009"/>
    </w:p>
    <w:p w14:paraId="1956C5F0" w14:textId="77777777" w:rsidR="00A16DDB" w:rsidRPr="00D95127" w:rsidRDefault="00A16DDB" w:rsidP="00A16DDB">
      <w:pPr>
        <w:pStyle w:val="Odstavecseseznamem"/>
        <w:ind w:left="142" w:hanging="142"/>
      </w:pPr>
      <w:r w:rsidRPr="00D95127">
        <w:rPr>
          <w:noProof/>
          <w:lang w:eastAsia="cs-CZ"/>
        </w:rPr>
        <w:drawing>
          <wp:inline distT="0" distB="0" distL="0" distR="0" wp14:anchorId="712B80EE" wp14:editId="2CFE1695">
            <wp:extent cx="5668645" cy="2277110"/>
            <wp:effectExtent l="0" t="0" r="8255" b="8890"/>
            <wp:docPr id="215" name="obrázek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p w14:paraId="30F4519E" w14:textId="77777777" w:rsidR="00A16DDB" w:rsidRPr="00D95127" w:rsidRDefault="00A16DDB" w:rsidP="009E5D07">
      <w:pPr>
        <w:pStyle w:val="UZEINormaln"/>
      </w:pPr>
      <w:r w:rsidRPr="00D95127">
        <w:t>Pramen: InterPig</w:t>
      </w:r>
    </w:p>
    <w:p w14:paraId="27EBF48A" w14:textId="36B17D48" w:rsidR="00A16DDB" w:rsidRPr="00D95127" w:rsidRDefault="00A16DDB" w:rsidP="009E5D07">
      <w:pPr>
        <w:pStyle w:val="UZEIOdrky"/>
      </w:pPr>
      <w:r w:rsidRPr="00D95127">
        <w:t xml:space="preserve">Od roku 2010 významně vzrostla produktivita práce, kdy v roce 2016 za 1 hodinu živé práce bylo vyrobeno o 16 % více masa. Přestože pracovní náklady v ČR jsou v rámci zemí EU podprůměrné, což je zapříčiněno přibližně třetinovou cenou práce, </w:t>
      </w:r>
      <w:r w:rsidRPr="00D95127">
        <w:rPr>
          <w:b/>
        </w:rPr>
        <w:t>produktivita práce stále významně zaostává za všemi západními konkurenty, na produkci 1 t masa je potřeba přibližně 2-3 násobné množství práce</w:t>
      </w:r>
      <w:r w:rsidRPr="00D95127">
        <w:t xml:space="preserve">. </w:t>
      </w:r>
    </w:p>
    <w:p w14:paraId="22111951" w14:textId="33405D11" w:rsidR="00A16DDB" w:rsidRPr="00D95127" w:rsidRDefault="00A16DDB" w:rsidP="009E5D07">
      <w:pPr>
        <w:pStyle w:val="UZEIOdrky"/>
        <w:rPr>
          <w:rFonts w:cs="Times New Roman"/>
        </w:rPr>
      </w:pPr>
      <w:r w:rsidRPr="00D95127">
        <w:rPr>
          <w:rFonts w:cs="Times New Roman"/>
        </w:rPr>
        <w:t>Úspěšní chovatelé prasat v ČR, kteří dosahují srovnatelných špičkových výsledků, využívají výkonnou genetiku a moderních technologií vyhovujících potřebám zvířat a přinášejících úsporu lidské práce.</w:t>
      </w:r>
    </w:p>
    <w:p w14:paraId="05050156" w14:textId="5DD33FEF" w:rsidR="00A16DDB" w:rsidRPr="00D95127" w:rsidRDefault="00A16DDB" w:rsidP="009E5D07">
      <w:pPr>
        <w:pStyle w:val="UZEIOdrky"/>
      </w:pPr>
      <w:r w:rsidRPr="00D95127">
        <w:t xml:space="preserve">Obecná </w:t>
      </w:r>
      <w:r w:rsidRPr="00D95127">
        <w:rPr>
          <w:b/>
        </w:rPr>
        <w:t>úroveň stavu technologií je na relativně dobré úrovni</w:t>
      </w:r>
      <w:r w:rsidRPr="00D95127">
        <w:t xml:space="preserve">. Podle šetření VÚZT 193 v průzkumu sledovaných stájí pro chov prasat jich je 86,5 % v dobrém technickém stavu nebo vyžaduje jen menší opravy (8,29 %). Je v nich chováno 94,3 % prasat (v přepočtu na DJ). 3,1 % stájí vyžaduje nákladné opravy a 2 % musí být opuštěna a nahrazena. </w:t>
      </w:r>
    </w:p>
    <w:p w14:paraId="2C10E99B" w14:textId="7E59611B" w:rsidR="00A16DDB" w:rsidRPr="00D95127" w:rsidRDefault="00A16DDB" w:rsidP="009E5D07">
      <w:pPr>
        <w:pStyle w:val="UZEITaB"/>
        <w:ind w:left="1134" w:hanging="1134"/>
      </w:pPr>
      <w:bookmarkStart w:id="1010" w:name="_Toc81738534"/>
      <w:r w:rsidRPr="00D95127">
        <w:t>Technický stav hodnocených stájí pro chov prasat podle kategorií (2017)</w:t>
      </w:r>
      <w:bookmarkEnd w:id="1010"/>
    </w:p>
    <w:tbl>
      <w:tblPr>
        <w:tblW w:w="5000" w:type="pct"/>
        <w:tblCellMar>
          <w:left w:w="70" w:type="dxa"/>
          <w:right w:w="70" w:type="dxa"/>
        </w:tblCellMar>
        <w:tblLook w:val="04A0" w:firstRow="1" w:lastRow="0" w:firstColumn="1" w:lastColumn="0" w:noHBand="0" w:noVBand="1"/>
      </w:tblPr>
      <w:tblGrid>
        <w:gridCol w:w="2025"/>
        <w:gridCol w:w="983"/>
        <w:gridCol w:w="983"/>
        <w:gridCol w:w="983"/>
        <w:gridCol w:w="984"/>
        <w:gridCol w:w="1040"/>
        <w:gridCol w:w="1080"/>
        <w:gridCol w:w="982"/>
      </w:tblGrid>
      <w:tr w:rsidR="00A16DDB" w:rsidRPr="00D95127" w14:paraId="49E92C59" w14:textId="77777777" w:rsidTr="007A627A">
        <w:trPr>
          <w:trHeight w:val="1050"/>
        </w:trPr>
        <w:tc>
          <w:tcPr>
            <w:tcW w:w="1003" w:type="pct"/>
            <w:tcBorders>
              <w:top w:val="single" w:sz="4" w:space="0" w:color="auto"/>
              <w:left w:val="single" w:sz="4" w:space="0" w:color="auto"/>
              <w:bottom w:val="single" w:sz="4" w:space="0" w:color="auto"/>
              <w:right w:val="single" w:sz="4" w:space="0" w:color="auto"/>
            </w:tcBorders>
            <w:shd w:val="clear" w:color="000000" w:fill="FFFF99"/>
            <w:vAlign w:val="center"/>
            <w:hideMark/>
          </w:tcPr>
          <w:p w14:paraId="1FDE9CFA" w14:textId="77777777" w:rsidR="00A16DDB" w:rsidRPr="00D95127" w:rsidRDefault="00A16DDB" w:rsidP="007A627A">
            <w:pPr>
              <w:jc w:val="center"/>
              <w:rPr>
                <w:rFonts w:eastAsia="Times New Roman" w:cs="Times New Roman"/>
                <w:sz w:val="18"/>
                <w:szCs w:val="18"/>
                <w:lang w:val="cs-CZ" w:eastAsia="cs-CZ"/>
              </w:rPr>
            </w:pPr>
            <w:r w:rsidRPr="00D95127">
              <w:rPr>
                <w:rFonts w:eastAsia="Times New Roman" w:cs="Times New Roman"/>
                <w:sz w:val="18"/>
                <w:szCs w:val="18"/>
                <w:lang w:val="cs-CZ" w:eastAsia="cs-CZ"/>
              </w:rPr>
              <w:t>Technický stav stáje</w:t>
            </w:r>
          </w:p>
        </w:tc>
        <w:tc>
          <w:tcPr>
            <w:tcW w:w="571" w:type="pct"/>
            <w:tcBorders>
              <w:top w:val="single" w:sz="4" w:space="0" w:color="auto"/>
              <w:left w:val="nil"/>
              <w:bottom w:val="single" w:sz="4" w:space="0" w:color="auto"/>
              <w:right w:val="single" w:sz="4" w:space="0" w:color="auto"/>
            </w:tcBorders>
            <w:shd w:val="clear" w:color="000000" w:fill="FFFF99"/>
            <w:vAlign w:val="center"/>
            <w:hideMark/>
          </w:tcPr>
          <w:p w14:paraId="3A38E91B" w14:textId="77777777" w:rsidR="00A16DDB" w:rsidRPr="00D95127" w:rsidRDefault="00A16DDB" w:rsidP="007A627A">
            <w:pPr>
              <w:jc w:val="center"/>
              <w:rPr>
                <w:rFonts w:eastAsia="Times New Roman" w:cs="Times New Roman"/>
                <w:sz w:val="18"/>
                <w:szCs w:val="18"/>
                <w:lang w:val="cs-CZ" w:eastAsia="cs-CZ"/>
              </w:rPr>
            </w:pPr>
            <w:r w:rsidRPr="00D95127">
              <w:rPr>
                <w:rFonts w:eastAsia="Times New Roman" w:cs="Times New Roman"/>
                <w:sz w:val="18"/>
                <w:szCs w:val="18"/>
                <w:lang w:val="cs-CZ" w:eastAsia="cs-CZ"/>
              </w:rPr>
              <w:t>velmi dobrý</w:t>
            </w:r>
          </w:p>
        </w:tc>
        <w:tc>
          <w:tcPr>
            <w:tcW w:w="571" w:type="pct"/>
            <w:tcBorders>
              <w:top w:val="single" w:sz="4" w:space="0" w:color="auto"/>
              <w:left w:val="nil"/>
              <w:bottom w:val="single" w:sz="4" w:space="0" w:color="auto"/>
              <w:right w:val="single" w:sz="4" w:space="0" w:color="auto"/>
            </w:tcBorders>
            <w:shd w:val="clear" w:color="000000" w:fill="FFFF99"/>
            <w:vAlign w:val="center"/>
            <w:hideMark/>
          </w:tcPr>
          <w:p w14:paraId="345372D2" w14:textId="77777777" w:rsidR="00A16DDB" w:rsidRPr="00D95127" w:rsidRDefault="00A16DDB" w:rsidP="007A627A">
            <w:pPr>
              <w:jc w:val="center"/>
              <w:rPr>
                <w:rFonts w:eastAsia="Times New Roman" w:cs="Times New Roman"/>
                <w:sz w:val="18"/>
                <w:szCs w:val="18"/>
                <w:lang w:val="cs-CZ" w:eastAsia="cs-CZ"/>
              </w:rPr>
            </w:pPr>
            <w:r w:rsidRPr="00D95127">
              <w:rPr>
                <w:rFonts w:eastAsia="Times New Roman" w:cs="Times New Roman"/>
                <w:sz w:val="18"/>
                <w:szCs w:val="18"/>
                <w:lang w:val="cs-CZ" w:eastAsia="cs-CZ"/>
              </w:rPr>
              <w:t>dobrý, nevyžaduje opravy a úpravy</w:t>
            </w:r>
          </w:p>
        </w:tc>
        <w:tc>
          <w:tcPr>
            <w:tcW w:w="571" w:type="pct"/>
            <w:tcBorders>
              <w:top w:val="single" w:sz="4" w:space="0" w:color="auto"/>
              <w:left w:val="nil"/>
              <w:bottom w:val="single" w:sz="4" w:space="0" w:color="auto"/>
              <w:right w:val="single" w:sz="4" w:space="0" w:color="auto"/>
            </w:tcBorders>
            <w:shd w:val="clear" w:color="000000" w:fill="FFFF99"/>
            <w:vAlign w:val="center"/>
            <w:hideMark/>
          </w:tcPr>
          <w:p w14:paraId="0068BD1B" w14:textId="77777777" w:rsidR="00A16DDB" w:rsidRPr="00D95127" w:rsidRDefault="00A16DDB" w:rsidP="007A627A">
            <w:pPr>
              <w:jc w:val="center"/>
              <w:rPr>
                <w:rFonts w:eastAsia="Times New Roman" w:cs="Times New Roman"/>
                <w:sz w:val="18"/>
                <w:szCs w:val="18"/>
                <w:lang w:val="cs-CZ" w:eastAsia="cs-CZ"/>
              </w:rPr>
            </w:pPr>
            <w:r w:rsidRPr="00D95127">
              <w:rPr>
                <w:rFonts w:eastAsia="Times New Roman" w:cs="Times New Roman"/>
                <w:sz w:val="18"/>
                <w:szCs w:val="18"/>
                <w:lang w:val="cs-CZ" w:eastAsia="cs-CZ"/>
              </w:rPr>
              <w:t>vyžaduje menší opravy</w:t>
            </w:r>
          </w:p>
        </w:tc>
        <w:tc>
          <w:tcPr>
            <w:tcW w:w="571" w:type="pct"/>
            <w:tcBorders>
              <w:top w:val="single" w:sz="4" w:space="0" w:color="auto"/>
              <w:left w:val="nil"/>
              <w:bottom w:val="single" w:sz="4" w:space="0" w:color="auto"/>
              <w:right w:val="single" w:sz="4" w:space="0" w:color="auto"/>
            </w:tcBorders>
            <w:shd w:val="clear" w:color="000000" w:fill="FFFF99"/>
            <w:vAlign w:val="center"/>
            <w:hideMark/>
          </w:tcPr>
          <w:p w14:paraId="4D2B6DFA" w14:textId="77777777" w:rsidR="00A16DDB" w:rsidRPr="00D95127" w:rsidRDefault="00A16DDB" w:rsidP="007A627A">
            <w:pPr>
              <w:jc w:val="center"/>
              <w:rPr>
                <w:rFonts w:eastAsia="Times New Roman" w:cs="Times New Roman"/>
                <w:sz w:val="18"/>
                <w:szCs w:val="18"/>
                <w:lang w:val="cs-CZ" w:eastAsia="cs-CZ"/>
              </w:rPr>
            </w:pPr>
            <w:r w:rsidRPr="00D95127">
              <w:rPr>
                <w:rFonts w:eastAsia="Times New Roman" w:cs="Times New Roman"/>
                <w:sz w:val="18"/>
                <w:szCs w:val="18"/>
                <w:lang w:val="cs-CZ" w:eastAsia="cs-CZ"/>
              </w:rPr>
              <w:t>vyžaduje nákladné úpravy</w:t>
            </w:r>
          </w:p>
        </w:tc>
        <w:tc>
          <w:tcPr>
            <w:tcW w:w="571" w:type="pct"/>
            <w:tcBorders>
              <w:top w:val="single" w:sz="4" w:space="0" w:color="auto"/>
              <w:left w:val="nil"/>
              <w:bottom w:val="single" w:sz="4" w:space="0" w:color="auto"/>
              <w:right w:val="single" w:sz="4" w:space="0" w:color="auto"/>
            </w:tcBorders>
            <w:shd w:val="clear" w:color="000000" w:fill="FFFF99"/>
            <w:vAlign w:val="center"/>
            <w:hideMark/>
          </w:tcPr>
          <w:p w14:paraId="1627005E" w14:textId="77777777" w:rsidR="00A16DDB" w:rsidRPr="00D95127" w:rsidRDefault="00A16DDB" w:rsidP="007A627A">
            <w:pPr>
              <w:jc w:val="center"/>
              <w:rPr>
                <w:rFonts w:eastAsia="Times New Roman" w:cs="Times New Roman"/>
                <w:sz w:val="18"/>
                <w:szCs w:val="18"/>
                <w:lang w:val="cs-CZ" w:eastAsia="cs-CZ"/>
              </w:rPr>
            </w:pPr>
            <w:r w:rsidRPr="00D95127">
              <w:rPr>
                <w:rFonts w:eastAsia="Times New Roman" w:cs="Times New Roman"/>
                <w:sz w:val="18"/>
                <w:szCs w:val="18"/>
                <w:lang w:val="cs-CZ" w:eastAsia="cs-CZ"/>
              </w:rPr>
              <w:t>vyžaduje rekonstrukci a příp.změnu systému</w:t>
            </w:r>
          </w:p>
        </w:tc>
        <w:tc>
          <w:tcPr>
            <w:tcW w:w="571" w:type="pct"/>
            <w:tcBorders>
              <w:top w:val="single" w:sz="4" w:space="0" w:color="auto"/>
              <w:left w:val="nil"/>
              <w:bottom w:val="single" w:sz="4" w:space="0" w:color="auto"/>
              <w:right w:val="single" w:sz="4" w:space="0" w:color="auto"/>
            </w:tcBorders>
            <w:shd w:val="clear" w:color="000000" w:fill="FFFF99"/>
            <w:vAlign w:val="center"/>
            <w:hideMark/>
          </w:tcPr>
          <w:p w14:paraId="7145D144" w14:textId="77777777" w:rsidR="00A16DDB" w:rsidRPr="00D95127" w:rsidRDefault="00A16DDB" w:rsidP="007A627A">
            <w:pPr>
              <w:jc w:val="center"/>
              <w:rPr>
                <w:rFonts w:eastAsia="Times New Roman" w:cs="Times New Roman"/>
                <w:sz w:val="18"/>
                <w:szCs w:val="18"/>
                <w:lang w:val="cs-CZ" w:eastAsia="cs-CZ"/>
              </w:rPr>
            </w:pPr>
            <w:r w:rsidRPr="00D95127">
              <w:rPr>
                <w:rFonts w:eastAsia="Times New Roman" w:cs="Times New Roman"/>
                <w:sz w:val="18"/>
                <w:szCs w:val="18"/>
                <w:lang w:val="cs-CZ" w:eastAsia="cs-CZ"/>
              </w:rPr>
              <w:t>nevyhovující a oprava nebo rekonstrukce není účelná</w:t>
            </w:r>
          </w:p>
        </w:tc>
        <w:tc>
          <w:tcPr>
            <w:tcW w:w="570" w:type="pct"/>
            <w:tcBorders>
              <w:top w:val="single" w:sz="4" w:space="0" w:color="auto"/>
              <w:left w:val="nil"/>
              <w:bottom w:val="single" w:sz="4" w:space="0" w:color="auto"/>
              <w:right w:val="single" w:sz="4" w:space="0" w:color="auto"/>
            </w:tcBorders>
            <w:shd w:val="clear" w:color="000000" w:fill="FFFF99"/>
            <w:vAlign w:val="center"/>
            <w:hideMark/>
          </w:tcPr>
          <w:p w14:paraId="1E7A039C" w14:textId="77777777" w:rsidR="00A16DDB" w:rsidRPr="00D95127" w:rsidRDefault="00A16DDB" w:rsidP="007A627A">
            <w:pPr>
              <w:jc w:val="center"/>
              <w:rPr>
                <w:rFonts w:eastAsia="Times New Roman" w:cs="Times New Roman"/>
                <w:sz w:val="18"/>
                <w:szCs w:val="18"/>
                <w:lang w:val="cs-CZ" w:eastAsia="cs-CZ"/>
              </w:rPr>
            </w:pPr>
            <w:r w:rsidRPr="00D95127">
              <w:rPr>
                <w:rFonts w:eastAsia="Times New Roman" w:cs="Times New Roman"/>
                <w:sz w:val="18"/>
                <w:szCs w:val="18"/>
                <w:lang w:val="cs-CZ" w:eastAsia="cs-CZ"/>
              </w:rPr>
              <w:t>Celkem</w:t>
            </w:r>
          </w:p>
        </w:tc>
      </w:tr>
      <w:tr w:rsidR="00A16DDB" w:rsidRPr="00D95127" w14:paraId="28169535" w14:textId="77777777" w:rsidTr="007A627A">
        <w:trPr>
          <w:trHeight w:val="255"/>
        </w:trPr>
        <w:tc>
          <w:tcPr>
            <w:tcW w:w="1003" w:type="pct"/>
            <w:tcBorders>
              <w:top w:val="nil"/>
              <w:left w:val="single" w:sz="4" w:space="0" w:color="auto"/>
              <w:bottom w:val="single" w:sz="4" w:space="0" w:color="auto"/>
              <w:right w:val="single" w:sz="4" w:space="0" w:color="auto"/>
            </w:tcBorders>
            <w:shd w:val="clear" w:color="auto" w:fill="auto"/>
            <w:noWrap/>
            <w:vAlign w:val="bottom"/>
            <w:hideMark/>
          </w:tcPr>
          <w:p w14:paraId="11572069" w14:textId="77777777" w:rsidR="00A16DDB" w:rsidRPr="00D95127" w:rsidRDefault="00A16DDB" w:rsidP="007A627A">
            <w:pPr>
              <w:rPr>
                <w:rFonts w:eastAsia="Times New Roman" w:cs="Times New Roman"/>
                <w:sz w:val="18"/>
                <w:szCs w:val="18"/>
                <w:lang w:val="cs-CZ" w:eastAsia="cs-CZ"/>
              </w:rPr>
            </w:pPr>
            <w:r w:rsidRPr="00D95127">
              <w:rPr>
                <w:rFonts w:eastAsia="Times New Roman" w:cs="Times New Roman"/>
                <w:sz w:val="18"/>
                <w:szCs w:val="18"/>
                <w:lang w:val="cs-CZ" w:eastAsia="cs-CZ"/>
              </w:rPr>
              <w:t>Počet stájí</w:t>
            </w:r>
          </w:p>
        </w:tc>
        <w:tc>
          <w:tcPr>
            <w:tcW w:w="571" w:type="pct"/>
            <w:tcBorders>
              <w:top w:val="nil"/>
              <w:left w:val="nil"/>
              <w:bottom w:val="single" w:sz="4" w:space="0" w:color="auto"/>
              <w:right w:val="single" w:sz="4" w:space="0" w:color="auto"/>
            </w:tcBorders>
            <w:shd w:val="clear" w:color="auto" w:fill="auto"/>
            <w:noWrap/>
            <w:vAlign w:val="bottom"/>
            <w:hideMark/>
          </w:tcPr>
          <w:p w14:paraId="568319F6"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20</w:t>
            </w:r>
          </w:p>
        </w:tc>
        <w:tc>
          <w:tcPr>
            <w:tcW w:w="571" w:type="pct"/>
            <w:tcBorders>
              <w:top w:val="nil"/>
              <w:left w:val="nil"/>
              <w:bottom w:val="single" w:sz="4" w:space="0" w:color="auto"/>
              <w:right w:val="single" w:sz="4" w:space="0" w:color="auto"/>
            </w:tcBorders>
            <w:shd w:val="clear" w:color="auto" w:fill="auto"/>
            <w:noWrap/>
            <w:vAlign w:val="bottom"/>
            <w:hideMark/>
          </w:tcPr>
          <w:p w14:paraId="7E87C695"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147</w:t>
            </w:r>
          </w:p>
        </w:tc>
        <w:tc>
          <w:tcPr>
            <w:tcW w:w="571" w:type="pct"/>
            <w:tcBorders>
              <w:top w:val="nil"/>
              <w:left w:val="nil"/>
              <w:bottom w:val="single" w:sz="4" w:space="0" w:color="auto"/>
              <w:right w:val="single" w:sz="4" w:space="0" w:color="auto"/>
            </w:tcBorders>
            <w:shd w:val="clear" w:color="auto" w:fill="auto"/>
            <w:noWrap/>
            <w:vAlign w:val="bottom"/>
            <w:hideMark/>
          </w:tcPr>
          <w:p w14:paraId="39DA48A0"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16</w:t>
            </w:r>
          </w:p>
        </w:tc>
        <w:tc>
          <w:tcPr>
            <w:tcW w:w="571" w:type="pct"/>
            <w:tcBorders>
              <w:top w:val="nil"/>
              <w:left w:val="nil"/>
              <w:bottom w:val="single" w:sz="4" w:space="0" w:color="auto"/>
              <w:right w:val="single" w:sz="4" w:space="0" w:color="auto"/>
            </w:tcBorders>
            <w:shd w:val="clear" w:color="auto" w:fill="auto"/>
            <w:noWrap/>
            <w:vAlign w:val="bottom"/>
            <w:hideMark/>
          </w:tcPr>
          <w:p w14:paraId="0620FDC4"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2</w:t>
            </w:r>
          </w:p>
        </w:tc>
        <w:tc>
          <w:tcPr>
            <w:tcW w:w="571" w:type="pct"/>
            <w:tcBorders>
              <w:top w:val="nil"/>
              <w:left w:val="nil"/>
              <w:bottom w:val="single" w:sz="4" w:space="0" w:color="auto"/>
              <w:right w:val="single" w:sz="4" w:space="0" w:color="auto"/>
            </w:tcBorders>
            <w:shd w:val="clear" w:color="auto" w:fill="auto"/>
            <w:noWrap/>
            <w:vAlign w:val="bottom"/>
            <w:hideMark/>
          </w:tcPr>
          <w:p w14:paraId="3AB4014D"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4</w:t>
            </w:r>
          </w:p>
        </w:tc>
        <w:tc>
          <w:tcPr>
            <w:tcW w:w="571" w:type="pct"/>
            <w:tcBorders>
              <w:top w:val="nil"/>
              <w:left w:val="nil"/>
              <w:bottom w:val="single" w:sz="4" w:space="0" w:color="auto"/>
              <w:right w:val="single" w:sz="4" w:space="0" w:color="auto"/>
            </w:tcBorders>
            <w:shd w:val="clear" w:color="auto" w:fill="auto"/>
            <w:noWrap/>
            <w:vAlign w:val="bottom"/>
            <w:hideMark/>
          </w:tcPr>
          <w:p w14:paraId="26A2AA2F"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4</w:t>
            </w:r>
          </w:p>
        </w:tc>
        <w:tc>
          <w:tcPr>
            <w:tcW w:w="570" w:type="pct"/>
            <w:tcBorders>
              <w:top w:val="nil"/>
              <w:left w:val="nil"/>
              <w:bottom w:val="single" w:sz="4" w:space="0" w:color="auto"/>
              <w:right w:val="single" w:sz="4" w:space="0" w:color="auto"/>
            </w:tcBorders>
            <w:shd w:val="clear" w:color="auto" w:fill="auto"/>
            <w:noWrap/>
            <w:vAlign w:val="bottom"/>
            <w:hideMark/>
          </w:tcPr>
          <w:p w14:paraId="4967A44A"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193</w:t>
            </w:r>
          </w:p>
        </w:tc>
      </w:tr>
      <w:tr w:rsidR="00A16DDB" w:rsidRPr="00D95127" w14:paraId="6081B399" w14:textId="77777777" w:rsidTr="007A627A">
        <w:trPr>
          <w:trHeight w:val="255"/>
        </w:trPr>
        <w:tc>
          <w:tcPr>
            <w:tcW w:w="1003" w:type="pct"/>
            <w:tcBorders>
              <w:top w:val="nil"/>
              <w:left w:val="single" w:sz="4" w:space="0" w:color="auto"/>
              <w:bottom w:val="single" w:sz="4" w:space="0" w:color="auto"/>
              <w:right w:val="single" w:sz="4" w:space="0" w:color="auto"/>
            </w:tcBorders>
            <w:shd w:val="clear" w:color="auto" w:fill="auto"/>
            <w:noWrap/>
            <w:vAlign w:val="bottom"/>
            <w:hideMark/>
          </w:tcPr>
          <w:p w14:paraId="0566E26E" w14:textId="77777777" w:rsidR="00A16DDB" w:rsidRPr="00D95127" w:rsidRDefault="00A16DDB" w:rsidP="007A627A">
            <w:pPr>
              <w:rPr>
                <w:rFonts w:eastAsia="Times New Roman" w:cs="Times New Roman"/>
                <w:sz w:val="18"/>
                <w:szCs w:val="18"/>
                <w:lang w:val="cs-CZ" w:eastAsia="cs-CZ"/>
              </w:rPr>
            </w:pPr>
            <w:r w:rsidRPr="00D95127">
              <w:rPr>
                <w:rFonts w:eastAsia="Times New Roman" w:cs="Times New Roman"/>
                <w:sz w:val="18"/>
                <w:szCs w:val="18"/>
                <w:lang w:val="cs-CZ" w:eastAsia="cs-CZ"/>
              </w:rPr>
              <w:t>Zastoupení stájí, %</w:t>
            </w:r>
          </w:p>
        </w:tc>
        <w:tc>
          <w:tcPr>
            <w:tcW w:w="571" w:type="pct"/>
            <w:tcBorders>
              <w:top w:val="nil"/>
              <w:left w:val="nil"/>
              <w:bottom w:val="single" w:sz="4" w:space="0" w:color="auto"/>
              <w:right w:val="single" w:sz="4" w:space="0" w:color="auto"/>
            </w:tcBorders>
            <w:shd w:val="clear" w:color="auto" w:fill="auto"/>
            <w:noWrap/>
            <w:vAlign w:val="bottom"/>
            <w:hideMark/>
          </w:tcPr>
          <w:p w14:paraId="57095713"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10,36</w:t>
            </w:r>
          </w:p>
        </w:tc>
        <w:tc>
          <w:tcPr>
            <w:tcW w:w="571" w:type="pct"/>
            <w:tcBorders>
              <w:top w:val="nil"/>
              <w:left w:val="nil"/>
              <w:bottom w:val="single" w:sz="4" w:space="0" w:color="auto"/>
              <w:right w:val="single" w:sz="4" w:space="0" w:color="auto"/>
            </w:tcBorders>
            <w:shd w:val="clear" w:color="auto" w:fill="auto"/>
            <w:noWrap/>
            <w:vAlign w:val="bottom"/>
            <w:hideMark/>
          </w:tcPr>
          <w:p w14:paraId="1C5E47D3"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76,17</w:t>
            </w:r>
          </w:p>
        </w:tc>
        <w:tc>
          <w:tcPr>
            <w:tcW w:w="571" w:type="pct"/>
            <w:tcBorders>
              <w:top w:val="nil"/>
              <w:left w:val="nil"/>
              <w:bottom w:val="single" w:sz="4" w:space="0" w:color="auto"/>
              <w:right w:val="single" w:sz="4" w:space="0" w:color="auto"/>
            </w:tcBorders>
            <w:shd w:val="clear" w:color="auto" w:fill="auto"/>
            <w:noWrap/>
            <w:vAlign w:val="bottom"/>
            <w:hideMark/>
          </w:tcPr>
          <w:p w14:paraId="67F62DE9"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8,29</w:t>
            </w:r>
          </w:p>
        </w:tc>
        <w:tc>
          <w:tcPr>
            <w:tcW w:w="571" w:type="pct"/>
            <w:tcBorders>
              <w:top w:val="nil"/>
              <w:left w:val="nil"/>
              <w:bottom w:val="single" w:sz="4" w:space="0" w:color="auto"/>
              <w:right w:val="single" w:sz="4" w:space="0" w:color="auto"/>
            </w:tcBorders>
            <w:shd w:val="clear" w:color="auto" w:fill="auto"/>
            <w:noWrap/>
            <w:vAlign w:val="bottom"/>
            <w:hideMark/>
          </w:tcPr>
          <w:p w14:paraId="6A4C2FB0"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1,04</w:t>
            </w:r>
          </w:p>
        </w:tc>
        <w:tc>
          <w:tcPr>
            <w:tcW w:w="571" w:type="pct"/>
            <w:tcBorders>
              <w:top w:val="nil"/>
              <w:left w:val="nil"/>
              <w:bottom w:val="single" w:sz="4" w:space="0" w:color="auto"/>
              <w:right w:val="single" w:sz="4" w:space="0" w:color="auto"/>
            </w:tcBorders>
            <w:shd w:val="clear" w:color="auto" w:fill="auto"/>
            <w:noWrap/>
            <w:vAlign w:val="bottom"/>
            <w:hideMark/>
          </w:tcPr>
          <w:p w14:paraId="07CE704C"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2,07</w:t>
            </w:r>
          </w:p>
        </w:tc>
        <w:tc>
          <w:tcPr>
            <w:tcW w:w="571" w:type="pct"/>
            <w:tcBorders>
              <w:top w:val="nil"/>
              <w:left w:val="nil"/>
              <w:bottom w:val="single" w:sz="4" w:space="0" w:color="auto"/>
              <w:right w:val="single" w:sz="4" w:space="0" w:color="auto"/>
            </w:tcBorders>
            <w:shd w:val="clear" w:color="auto" w:fill="auto"/>
            <w:noWrap/>
            <w:vAlign w:val="bottom"/>
            <w:hideMark/>
          </w:tcPr>
          <w:p w14:paraId="15B6C2AB"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2,07</w:t>
            </w:r>
          </w:p>
        </w:tc>
        <w:tc>
          <w:tcPr>
            <w:tcW w:w="570" w:type="pct"/>
            <w:tcBorders>
              <w:top w:val="nil"/>
              <w:left w:val="nil"/>
              <w:bottom w:val="single" w:sz="4" w:space="0" w:color="auto"/>
              <w:right w:val="single" w:sz="4" w:space="0" w:color="auto"/>
            </w:tcBorders>
            <w:shd w:val="clear" w:color="auto" w:fill="auto"/>
            <w:noWrap/>
            <w:vAlign w:val="bottom"/>
            <w:hideMark/>
          </w:tcPr>
          <w:p w14:paraId="1F56D04C"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100,00</w:t>
            </w:r>
          </w:p>
        </w:tc>
      </w:tr>
      <w:tr w:rsidR="00A16DDB" w:rsidRPr="00D95127" w14:paraId="11765DD1" w14:textId="77777777" w:rsidTr="007A627A">
        <w:trPr>
          <w:trHeight w:val="255"/>
        </w:trPr>
        <w:tc>
          <w:tcPr>
            <w:tcW w:w="1003" w:type="pct"/>
            <w:tcBorders>
              <w:top w:val="nil"/>
              <w:left w:val="single" w:sz="4" w:space="0" w:color="auto"/>
              <w:bottom w:val="single" w:sz="4" w:space="0" w:color="auto"/>
              <w:right w:val="single" w:sz="4" w:space="0" w:color="auto"/>
            </w:tcBorders>
            <w:shd w:val="clear" w:color="auto" w:fill="auto"/>
            <w:noWrap/>
            <w:vAlign w:val="bottom"/>
            <w:hideMark/>
          </w:tcPr>
          <w:p w14:paraId="6AD3D310" w14:textId="77777777" w:rsidR="00A16DDB" w:rsidRPr="00D95127" w:rsidRDefault="00A16DDB" w:rsidP="007A627A">
            <w:pPr>
              <w:rPr>
                <w:rFonts w:eastAsia="Times New Roman" w:cs="Times New Roman"/>
                <w:sz w:val="18"/>
                <w:szCs w:val="18"/>
                <w:lang w:val="cs-CZ" w:eastAsia="cs-CZ"/>
              </w:rPr>
            </w:pPr>
            <w:r w:rsidRPr="00D95127">
              <w:rPr>
                <w:rFonts w:eastAsia="Times New Roman" w:cs="Times New Roman"/>
                <w:sz w:val="18"/>
                <w:szCs w:val="18"/>
                <w:lang w:val="cs-CZ" w:eastAsia="cs-CZ"/>
              </w:rPr>
              <w:t>Prasnice, ks</w:t>
            </w:r>
          </w:p>
        </w:tc>
        <w:tc>
          <w:tcPr>
            <w:tcW w:w="571" w:type="pct"/>
            <w:tcBorders>
              <w:top w:val="nil"/>
              <w:left w:val="nil"/>
              <w:bottom w:val="single" w:sz="4" w:space="0" w:color="auto"/>
              <w:right w:val="single" w:sz="4" w:space="0" w:color="auto"/>
            </w:tcBorders>
            <w:shd w:val="clear" w:color="auto" w:fill="auto"/>
            <w:noWrap/>
            <w:vAlign w:val="bottom"/>
            <w:hideMark/>
          </w:tcPr>
          <w:p w14:paraId="5B550EE3"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1378</w:t>
            </w:r>
          </w:p>
        </w:tc>
        <w:tc>
          <w:tcPr>
            <w:tcW w:w="571" w:type="pct"/>
            <w:tcBorders>
              <w:top w:val="nil"/>
              <w:left w:val="nil"/>
              <w:bottom w:val="single" w:sz="4" w:space="0" w:color="auto"/>
              <w:right w:val="single" w:sz="4" w:space="0" w:color="auto"/>
            </w:tcBorders>
            <w:shd w:val="clear" w:color="auto" w:fill="auto"/>
            <w:noWrap/>
            <w:vAlign w:val="bottom"/>
            <w:hideMark/>
          </w:tcPr>
          <w:p w14:paraId="692900E4"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9104</w:t>
            </w:r>
          </w:p>
        </w:tc>
        <w:tc>
          <w:tcPr>
            <w:tcW w:w="571" w:type="pct"/>
            <w:tcBorders>
              <w:top w:val="nil"/>
              <w:left w:val="nil"/>
              <w:bottom w:val="single" w:sz="4" w:space="0" w:color="auto"/>
              <w:right w:val="single" w:sz="4" w:space="0" w:color="auto"/>
            </w:tcBorders>
            <w:shd w:val="clear" w:color="auto" w:fill="auto"/>
            <w:noWrap/>
            <w:vAlign w:val="bottom"/>
            <w:hideMark/>
          </w:tcPr>
          <w:p w14:paraId="65141047"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1274</w:t>
            </w:r>
          </w:p>
        </w:tc>
        <w:tc>
          <w:tcPr>
            <w:tcW w:w="571" w:type="pct"/>
            <w:tcBorders>
              <w:top w:val="nil"/>
              <w:left w:val="nil"/>
              <w:bottom w:val="single" w:sz="4" w:space="0" w:color="auto"/>
              <w:right w:val="single" w:sz="4" w:space="0" w:color="auto"/>
            </w:tcBorders>
            <w:shd w:val="clear" w:color="auto" w:fill="auto"/>
            <w:noWrap/>
            <w:vAlign w:val="bottom"/>
            <w:hideMark/>
          </w:tcPr>
          <w:p w14:paraId="4DC171BF"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276</w:t>
            </w:r>
          </w:p>
        </w:tc>
        <w:tc>
          <w:tcPr>
            <w:tcW w:w="571" w:type="pct"/>
            <w:tcBorders>
              <w:top w:val="nil"/>
              <w:left w:val="nil"/>
              <w:bottom w:val="single" w:sz="4" w:space="0" w:color="auto"/>
              <w:right w:val="single" w:sz="4" w:space="0" w:color="auto"/>
            </w:tcBorders>
            <w:shd w:val="clear" w:color="auto" w:fill="auto"/>
            <w:noWrap/>
            <w:vAlign w:val="bottom"/>
            <w:hideMark/>
          </w:tcPr>
          <w:p w14:paraId="11359331"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442</w:t>
            </w:r>
          </w:p>
        </w:tc>
        <w:tc>
          <w:tcPr>
            <w:tcW w:w="571" w:type="pct"/>
            <w:tcBorders>
              <w:top w:val="nil"/>
              <w:left w:val="nil"/>
              <w:bottom w:val="single" w:sz="4" w:space="0" w:color="auto"/>
              <w:right w:val="single" w:sz="4" w:space="0" w:color="auto"/>
            </w:tcBorders>
            <w:shd w:val="clear" w:color="auto" w:fill="auto"/>
            <w:noWrap/>
            <w:vAlign w:val="bottom"/>
            <w:hideMark/>
          </w:tcPr>
          <w:p w14:paraId="4F5C7A5E"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321</w:t>
            </w:r>
          </w:p>
        </w:tc>
        <w:tc>
          <w:tcPr>
            <w:tcW w:w="570" w:type="pct"/>
            <w:tcBorders>
              <w:top w:val="nil"/>
              <w:left w:val="nil"/>
              <w:bottom w:val="single" w:sz="4" w:space="0" w:color="auto"/>
              <w:right w:val="single" w:sz="4" w:space="0" w:color="auto"/>
            </w:tcBorders>
            <w:shd w:val="clear" w:color="auto" w:fill="auto"/>
            <w:noWrap/>
            <w:vAlign w:val="bottom"/>
            <w:hideMark/>
          </w:tcPr>
          <w:p w14:paraId="29CF5180"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12795</w:t>
            </w:r>
          </w:p>
        </w:tc>
      </w:tr>
      <w:tr w:rsidR="00A16DDB" w:rsidRPr="00D95127" w14:paraId="1172D810" w14:textId="77777777" w:rsidTr="007A627A">
        <w:trPr>
          <w:trHeight w:val="255"/>
        </w:trPr>
        <w:tc>
          <w:tcPr>
            <w:tcW w:w="1003" w:type="pct"/>
            <w:tcBorders>
              <w:top w:val="nil"/>
              <w:left w:val="single" w:sz="4" w:space="0" w:color="auto"/>
              <w:bottom w:val="single" w:sz="4" w:space="0" w:color="auto"/>
              <w:right w:val="single" w:sz="4" w:space="0" w:color="auto"/>
            </w:tcBorders>
            <w:shd w:val="clear" w:color="auto" w:fill="auto"/>
            <w:noWrap/>
            <w:vAlign w:val="bottom"/>
            <w:hideMark/>
          </w:tcPr>
          <w:p w14:paraId="04F9C4E4" w14:textId="77777777" w:rsidR="00A16DDB" w:rsidRPr="00D95127" w:rsidRDefault="00A16DDB" w:rsidP="007A627A">
            <w:pPr>
              <w:rPr>
                <w:rFonts w:eastAsia="Times New Roman" w:cs="Times New Roman"/>
                <w:sz w:val="18"/>
                <w:szCs w:val="18"/>
                <w:lang w:val="cs-CZ" w:eastAsia="cs-CZ"/>
              </w:rPr>
            </w:pPr>
            <w:r w:rsidRPr="00D95127">
              <w:rPr>
                <w:rFonts w:eastAsia="Times New Roman" w:cs="Times New Roman"/>
                <w:sz w:val="18"/>
                <w:szCs w:val="18"/>
                <w:lang w:val="cs-CZ" w:eastAsia="cs-CZ"/>
              </w:rPr>
              <w:t>Prasnice, zastoupení, %</w:t>
            </w:r>
          </w:p>
        </w:tc>
        <w:tc>
          <w:tcPr>
            <w:tcW w:w="571" w:type="pct"/>
            <w:tcBorders>
              <w:top w:val="nil"/>
              <w:left w:val="nil"/>
              <w:bottom w:val="single" w:sz="4" w:space="0" w:color="auto"/>
              <w:right w:val="single" w:sz="4" w:space="0" w:color="auto"/>
            </w:tcBorders>
            <w:shd w:val="clear" w:color="auto" w:fill="auto"/>
            <w:noWrap/>
            <w:vAlign w:val="bottom"/>
            <w:hideMark/>
          </w:tcPr>
          <w:p w14:paraId="7D030783"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10,77</w:t>
            </w:r>
          </w:p>
        </w:tc>
        <w:tc>
          <w:tcPr>
            <w:tcW w:w="571" w:type="pct"/>
            <w:tcBorders>
              <w:top w:val="nil"/>
              <w:left w:val="nil"/>
              <w:bottom w:val="single" w:sz="4" w:space="0" w:color="auto"/>
              <w:right w:val="single" w:sz="4" w:space="0" w:color="auto"/>
            </w:tcBorders>
            <w:shd w:val="clear" w:color="auto" w:fill="auto"/>
            <w:noWrap/>
            <w:vAlign w:val="bottom"/>
            <w:hideMark/>
          </w:tcPr>
          <w:p w14:paraId="78441EA1"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71,15</w:t>
            </w:r>
          </w:p>
        </w:tc>
        <w:tc>
          <w:tcPr>
            <w:tcW w:w="571" w:type="pct"/>
            <w:tcBorders>
              <w:top w:val="nil"/>
              <w:left w:val="nil"/>
              <w:bottom w:val="single" w:sz="4" w:space="0" w:color="auto"/>
              <w:right w:val="single" w:sz="4" w:space="0" w:color="auto"/>
            </w:tcBorders>
            <w:shd w:val="clear" w:color="auto" w:fill="auto"/>
            <w:noWrap/>
            <w:vAlign w:val="bottom"/>
            <w:hideMark/>
          </w:tcPr>
          <w:p w14:paraId="6857F202"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9,96</w:t>
            </w:r>
          </w:p>
        </w:tc>
        <w:tc>
          <w:tcPr>
            <w:tcW w:w="571" w:type="pct"/>
            <w:tcBorders>
              <w:top w:val="nil"/>
              <w:left w:val="nil"/>
              <w:bottom w:val="single" w:sz="4" w:space="0" w:color="auto"/>
              <w:right w:val="single" w:sz="4" w:space="0" w:color="auto"/>
            </w:tcBorders>
            <w:shd w:val="clear" w:color="auto" w:fill="auto"/>
            <w:noWrap/>
            <w:vAlign w:val="bottom"/>
            <w:hideMark/>
          </w:tcPr>
          <w:p w14:paraId="10EC29BF"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2,16</w:t>
            </w:r>
          </w:p>
        </w:tc>
        <w:tc>
          <w:tcPr>
            <w:tcW w:w="571" w:type="pct"/>
            <w:tcBorders>
              <w:top w:val="nil"/>
              <w:left w:val="nil"/>
              <w:bottom w:val="single" w:sz="4" w:space="0" w:color="auto"/>
              <w:right w:val="single" w:sz="4" w:space="0" w:color="auto"/>
            </w:tcBorders>
            <w:shd w:val="clear" w:color="auto" w:fill="auto"/>
            <w:noWrap/>
            <w:vAlign w:val="bottom"/>
            <w:hideMark/>
          </w:tcPr>
          <w:p w14:paraId="4F0A30E5"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3,45</w:t>
            </w:r>
          </w:p>
        </w:tc>
        <w:tc>
          <w:tcPr>
            <w:tcW w:w="571" w:type="pct"/>
            <w:tcBorders>
              <w:top w:val="nil"/>
              <w:left w:val="nil"/>
              <w:bottom w:val="single" w:sz="4" w:space="0" w:color="auto"/>
              <w:right w:val="single" w:sz="4" w:space="0" w:color="auto"/>
            </w:tcBorders>
            <w:shd w:val="clear" w:color="auto" w:fill="auto"/>
            <w:noWrap/>
            <w:vAlign w:val="bottom"/>
            <w:hideMark/>
          </w:tcPr>
          <w:p w14:paraId="550296FC"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2,51</w:t>
            </w:r>
          </w:p>
        </w:tc>
        <w:tc>
          <w:tcPr>
            <w:tcW w:w="570" w:type="pct"/>
            <w:tcBorders>
              <w:top w:val="nil"/>
              <w:left w:val="nil"/>
              <w:bottom w:val="single" w:sz="4" w:space="0" w:color="auto"/>
              <w:right w:val="single" w:sz="4" w:space="0" w:color="auto"/>
            </w:tcBorders>
            <w:shd w:val="clear" w:color="auto" w:fill="auto"/>
            <w:noWrap/>
            <w:vAlign w:val="bottom"/>
            <w:hideMark/>
          </w:tcPr>
          <w:p w14:paraId="5F671A8F"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100,00</w:t>
            </w:r>
          </w:p>
        </w:tc>
      </w:tr>
      <w:tr w:rsidR="00A16DDB" w:rsidRPr="00D95127" w14:paraId="30946C88" w14:textId="77777777" w:rsidTr="007A627A">
        <w:trPr>
          <w:trHeight w:val="255"/>
        </w:trPr>
        <w:tc>
          <w:tcPr>
            <w:tcW w:w="1003" w:type="pct"/>
            <w:tcBorders>
              <w:top w:val="nil"/>
              <w:left w:val="single" w:sz="4" w:space="0" w:color="auto"/>
              <w:bottom w:val="single" w:sz="4" w:space="0" w:color="auto"/>
              <w:right w:val="single" w:sz="4" w:space="0" w:color="auto"/>
            </w:tcBorders>
            <w:shd w:val="clear" w:color="auto" w:fill="auto"/>
            <w:noWrap/>
            <w:vAlign w:val="bottom"/>
            <w:hideMark/>
          </w:tcPr>
          <w:p w14:paraId="7DD797CE" w14:textId="77777777" w:rsidR="00A16DDB" w:rsidRPr="00D95127" w:rsidRDefault="00A16DDB" w:rsidP="007A627A">
            <w:pPr>
              <w:rPr>
                <w:rFonts w:eastAsia="Times New Roman" w:cs="Times New Roman"/>
                <w:sz w:val="18"/>
                <w:szCs w:val="18"/>
                <w:lang w:val="cs-CZ" w:eastAsia="cs-CZ"/>
              </w:rPr>
            </w:pPr>
            <w:r w:rsidRPr="00D95127">
              <w:rPr>
                <w:rFonts w:eastAsia="Times New Roman" w:cs="Times New Roman"/>
                <w:sz w:val="18"/>
                <w:szCs w:val="18"/>
                <w:lang w:val="cs-CZ" w:eastAsia="cs-CZ"/>
              </w:rPr>
              <w:t>Kanci od 50 kg ž.hm., ks</w:t>
            </w:r>
          </w:p>
        </w:tc>
        <w:tc>
          <w:tcPr>
            <w:tcW w:w="571" w:type="pct"/>
            <w:tcBorders>
              <w:top w:val="nil"/>
              <w:left w:val="nil"/>
              <w:bottom w:val="single" w:sz="4" w:space="0" w:color="auto"/>
              <w:right w:val="single" w:sz="4" w:space="0" w:color="auto"/>
            </w:tcBorders>
            <w:shd w:val="clear" w:color="auto" w:fill="auto"/>
            <w:noWrap/>
            <w:vAlign w:val="bottom"/>
            <w:hideMark/>
          </w:tcPr>
          <w:p w14:paraId="52E7AA4D"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10</w:t>
            </w:r>
          </w:p>
        </w:tc>
        <w:tc>
          <w:tcPr>
            <w:tcW w:w="571" w:type="pct"/>
            <w:tcBorders>
              <w:top w:val="nil"/>
              <w:left w:val="nil"/>
              <w:bottom w:val="single" w:sz="4" w:space="0" w:color="auto"/>
              <w:right w:val="single" w:sz="4" w:space="0" w:color="auto"/>
            </w:tcBorders>
            <w:shd w:val="clear" w:color="auto" w:fill="auto"/>
            <w:noWrap/>
            <w:vAlign w:val="bottom"/>
            <w:hideMark/>
          </w:tcPr>
          <w:p w14:paraId="1C7D3E8A"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89</w:t>
            </w:r>
          </w:p>
        </w:tc>
        <w:tc>
          <w:tcPr>
            <w:tcW w:w="571" w:type="pct"/>
            <w:tcBorders>
              <w:top w:val="nil"/>
              <w:left w:val="nil"/>
              <w:bottom w:val="single" w:sz="4" w:space="0" w:color="auto"/>
              <w:right w:val="single" w:sz="4" w:space="0" w:color="auto"/>
            </w:tcBorders>
            <w:shd w:val="clear" w:color="auto" w:fill="auto"/>
            <w:noWrap/>
            <w:vAlign w:val="bottom"/>
            <w:hideMark/>
          </w:tcPr>
          <w:p w14:paraId="0BD5038F"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6</w:t>
            </w:r>
          </w:p>
        </w:tc>
        <w:tc>
          <w:tcPr>
            <w:tcW w:w="571" w:type="pct"/>
            <w:tcBorders>
              <w:top w:val="nil"/>
              <w:left w:val="nil"/>
              <w:bottom w:val="single" w:sz="4" w:space="0" w:color="auto"/>
              <w:right w:val="single" w:sz="4" w:space="0" w:color="auto"/>
            </w:tcBorders>
            <w:shd w:val="clear" w:color="auto" w:fill="auto"/>
            <w:noWrap/>
            <w:vAlign w:val="bottom"/>
            <w:hideMark/>
          </w:tcPr>
          <w:p w14:paraId="05F64D1C"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0</w:t>
            </w:r>
          </w:p>
        </w:tc>
        <w:tc>
          <w:tcPr>
            <w:tcW w:w="571" w:type="pct"/>
            <w:tcBorders>
              <w:top w:val="nil"/>
              <w:left w:val="nil"/>
              <w:bottom w:val="single" w:sz="4" w:space="0" w:color="auto"/>
              <w:right w:val="single" w:sz="4" w:space="0" w:color="auto"/>
            </w:tcBorders>
            <w:shd w:val="clear" w:color="auto" w:fill="auto"/>
            <w:noWrap/>
            <w:vAlign w:val="bottom"/>
            <w:hideMark/>
          </w:tcPr>
          <w:p w14:paraId="54F8DB93"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7</w:t>
            </w:r>
          </w:p>
        </w:tc>
        <w:tc>
          <w:tcPr>
            <w:tcW w:w="571" w:type="pct"/>
            <w:tcBorders>
              <w:top w:val="nil"/>
              <w:left w:val="nil"/>
              <w:bottom w:val="single" w:sz="4" w:space="0" w:color="auto"/>
              <w:right w:val="single" w:sz="4" w:space="0" w:color="auto"/>
            </w:tcBorders>
            <w:shd w:val="clear" w:color="auto" w:fill="auto"/>
            <w:noWrap/>
            <w:vAlign w:val="bottom"/>
            <w:hideMark/>
          </w:tcPr>
          <w:p w14:paraId="6A0C7D47"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5</w:t>
            </w:r>
          </w:p>
        </w:tc>
        <w:tc>
          <w:tcPr>
            <w:tcW w:w="570" w:type="pct"/>
            <w:tcBorders>
              <w:top w:val="nil"/>
              <w:left w:val="nil"/>
              <w:bottom w:val="single" w:sz="4" w:space="0" w:color="auto"/>
              <w:right w:val="single" w:sz="4" w:space="0" w:color="auto"/>
            </w:tcBorders>
            <w:shd w:val="clear" w:color="auto" w:fill="auto"/>
            <w:noWrap/>
            <w:vAlign w:val="bottom"/>
            <w:hideMark/>
          </w:tcPr>
          <w:p w14:paraId="7C2EF5B0"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117</w:t>
            </w:r>
          </w:p>
        </w:tc>
      </w:tr>
      <w:tr w:rsidR="00A16DDB" w:rsidRPr="00D95127" w14:paraId="4B3924F8" w14:textId="77777777" w:rsidTr="007A627A">
        <w:trPr>
          <w:trHeight w:val="255"/>
        </w:trPr>
        <w:tc>
          <w:tcPr>
            <w:tcW w:w="1003" w:type="pct"/>
            <w:tcBorders>
              <w:top w:val="nil"/>
              <w:left w:val="single" w:sz="4" w:space="0" w:color="auto"/>
              <w:bottom w:val="single" w:sz="4" w:space="0" w:color="auto"/>
              <w:right w:val="single" w:sz="4" w:space="0" w:color="auto"/>
            </w:tcBorders>
            <w:shd w:val="clear" w:color="auto" w:fill="auto"/>
            <w:noWrap/>
            <w:vAlign w:val="bottom"/>
            <w:hideMark/>
          </w:tcPr>
          <w:p w14:paraId="4914602B" w14:textId="77777777" w:rsidR="00A16DDB" w:rsidRPr="00D95127" w:rsidRDefault="00A16DDB" w:rsidP="007A627A">
            <w:pPr>
              <w:rPr>
                <w:rFonts w:eastAsia="Times New Roman" w:cs="Times New Roman"/>
                <w:sz w:val="18"/>
                <w:szCs w:val="18"/>
                <w:lang w:val="cs-CZ" w:eastAsia="cs-CZ"/>
              </w:rPr>
            </w:pPr>
            <w:r w:rsidRPr="00D95127">
              <w:rPr>
                <w:rFonts w:eastAsia="Times New Roman" w:cs="Times New Roman"/>
                <w:sz w:val="18"/>
                <w:szCs w:val="18"/>
                <w:lang w:val="cs-CZ" w:eastAsia="cs-CZ"/>
              </w:rPr>
              <w:t>Selata, ks</w:t>
            </w:r>
          </w:p>
        </w:tc>
        <w:tc>
          <w:tcPr>
            <w:tcW w:w="571" w:type="pct"/>
            <w:tcBorders>
              <w:top w:val="nil"/>
              <w:left w:val="nil"/>
              <w:bottom w:val="single" w:sz="4" w:space="0" w:color="auto"/>
              <w:right w:val="single" w:sz="4" w:space="0" w:color="auto"/>
            </w:tcBorders>
            <w:shd w:val="clear" w:color="auto" w:fill="auto"/>
            <w:noWrap/>
            <w:vAlign w:val="bottom"/>
            <w:hideMark/>
          </w:tcPr>
          <w:p w14:paraId="2DBA2564"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3582</w:t>
            </w:r>
          </w:p>
        </w:tc>
        <w:tc>
          <w:tcPr>
            <w:tcW w:w="571" w:type="pct"/>
            <w:tcBorders>
              <w:top w:val="nil"/>
              <w:left w:val="nil"/>
              <w:bottom w:val="single" w:sz="4" w:space="0" w:color="auto"/>
              <w:right w:val="single" w:sz="4" w:space="0" w:color="auto"/>
            </w:tcBorders>
            <w:shd w:val="clear" w:color="auto" w:fill="auto"/>
            <w:noWrap/>
            <w:vAlign w:val="bottom"/>
            <w:hideMark/>
          </w:tcPr>
          <w:p w14:paraId="59394A03"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23928</w:t>
            </w:r>
          </w:p>
        </w:tc>
        <w:tc>
          <w:tcPr>
            <w:tcW w:w="571" w:type="pct"/>
            <w:tcBorders>
              <w:top w:val="nil"/>
              <w:left w:val="nil"/>
              <w:bottom w:val="single" w:sz="4" w:space="0" w:color="auto"/>
              <w:right w:val="single" w:sz="4" w:space="0" w:color="auto"/>
            </w:tcBorders>
            <w:shd w:val="clear" w:color="auto" w:fill="auto"/>
            <w:noWrap/>
            <w:vAlign w:val="bottom"/>
            <w:hideMark/>
          </w:tcPr>
          <w:p w14:paraId="05D94962"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4523</w:t>
            </w:r>
          </w:p>
        </w:tc>
        <w:tc>
          <w:tcPr>
            <w:tcW w:w="571" w:type="pct"/>
            <w:tcBorders>
              <w:top w:val="nil"/>
              <w:left w:val="nil"/>
              <w:bottom w:val="single" w:sz="4" w:space="0" w:color="auto"/>
              <w:right w:val="single" w:sz="4" w:space="0" w:color="auto"/>
            </w:tcBorders>
            <w:shd w:val="clear" w:color="auto" w:fill="auto"/>
            <w:noWrap/>
            <w:vAlign w:val="bottom"/>
            <w:hideMark/>
          </w:tcPr>
          <w:p w14:paraId="7BE0E47A"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0</w:t>
            </w:r>
          </w:p>
        </w:tc>
        <w:tc>
          <w:tcPr>
            <w:tcW w:w="571" w:type="pct"/>
            <w:tcBorders>
              <w:top w:val="nil"/>
              <w:left w:val="nil"/>
              <w:bottom w:val="single" w:sz="4" w:space="0" w:color="auto"/>
              <w:right w:val="single" w:sz="4" w:space="0" w:color="auto"/>
            </w:tcBorders>
            <w:shd w:val="clear" w:color="auto" w:fill="auto"/>
            <w:noWrap/>
            <w:vAlign w:val="bottom"/>
            <w:hideMark/>
          </w:tcPr>
          <w:p w14:paraId="7DAA1F24"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568</w:t>
            </w:r>
          </w:p>
        </w:tc>
        <w:tc>
          <w:tcPr>
            <w:tcW w:w="571" w:type="pct"/>
            <w:tcBorders>
              <w:top w:val="nil"/>
              <w:left w:val="nil"/>
              <w:bottom w:val="single" w:sz="4" w:space="0" w:color="auto"/>
              <w:right w:val="single" w:sz="4" w:space="0" w:color="auto"/>
            </w:tcBorders>
            <w:shd w:val="clear" w:color="auto" w:fill="auto"/>
            <w:noWrap/>
            <w:vAlign w:val="bottom"/>
            <w:hideMark/>
          </w:tcPr>
          <w:p w14:paraId="0279ADFB"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1143</w:t>
            </w:r>
          </w:p>
        </w:tc>
        <w:tc>
          <w:tcPr>
            <w:tcW w:w="570" w:type="pct"/>
            <w:tcBorders>
              <w:top w:val="nil"/>
              <w:left w:val="nil"/>
              <w:bottom w:val="single" w:sz="4" w:space="0" w:color="auto"/>
              <w:right w:val="single" w:sz="4" w:space="0" w:color="auto"/>
            </w:tcBorders>
            <w:shd w:val="clear" w:color="auto" w:fill="auto"/>
            <w:noWrap/>
            <w:vAlign w:val="bottom"/>
            <w:hideMark/>
          </w:tcPr>
          <w:p w14:paraId="11141A14"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33744</w:t>
            </w:r>
          </w:p>
        </w:tc>
      </w:tr>
      <w:tr w:rsidR="00A16DDB" w:rsidRPr="00D95127" w14:paraId="711BE62D" w14:textId="77777777" w:rsidTr="007A627A">
        <w:trPr>
          <w:trHeight w:val="255"/>
        </w:trPr>
        <w:tc>
          <w:tcPr>
            <w:tcW w:w="1003" w:type="pct"/>
            <w:tcBorders>
              <w:top w:val="nil"/>
              <w:left w:val="single" w:sz="4" w:space="0" w:color="auto"/>
              <w:bottom w:val="single" w:sz="4" w:space="0" w:color="auto"/>
              <w:right w:val="single" w:sz="4" w:space="0" w:color="auto"/>
            </w:tcBorders>
            <w:shd w:val="clear" w:color="auto" w:fill="auto"/>
            <w:noWrap/>
            <w:vAlign w:val="bottom"/>
            <w:hideMark/>
          </w:tcPr>
          <w:p w14:paraId="6A4C154F" w14:textId="77777777" w:rsidR="00A16DDB" w:rsidRPr="00D95127" w:rsidRDefault="00A16DDB" w:rsidP="007A627A">
            <w:pPr>
              <w:rPr>
                <w:rFonts w:eastAsia="Times New Roman" w:cs="Times New Roman"/>
                <w:sz w:val="18"/>
                <w:szCs w:val="18"/>
                <w:lang w:val="cs-CZ" w:eastAsia="cs-CZ"/>
              </w:rPr>
            </w:pPr>
            <w:r w:rsidRPr="00D95127">
              <w:rPr>
                <w:rFonts w:eastAsia="Times New Roman" w:cs="Times New Roman"/>
                <w:sz w:val="18"/>
                <w:szCs w:val="18"/>
                <w:lang w:val="cs-CZ" w:eastAsia="cs-CZ"/>
              </w:rPr>
              <w:t>Selata, zastoupení, %</w:t>
            </w:r>
          </w:p>
        </w:tc>
        <w:tc>
          <w:tcPr>
            <w:tcW w:w="571" w:type="pct"/>
            <w:tcBorders>
              <w:top w:val="nil"/>
              <w:left w:val="nil"/>
              <w:bottom w:val="single" w:sz="4" w:space="0" w:color="auto"/>
              <w:right w:val="single" w:sz="4" w:space="0" w:color="auto"/>
            </w:tcBorders>
            <w:shd w:val="clear" w:color="auto" w:fill="auto"/>
            <w:noWrap/>
            <w:vAlign w:val="bottom"/>
            <w:hideMark/>
          </w:tcPr>
          <w:p w14:paraId="03DA6207"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10,62</w:t>
            </w:r>
          </w:p>
        </w:tc>
        <w:tc>
          <w:tcPr>
            <w:tcW w:w="571" w:type="pct"/>
            <w:tcBorders>
              <w:top w:val="nil"/>
              <w:left w:val="nil"/>
              <w:bottom w:val="single" w:sz="4" w:space="0" w:color="auto"/>
              <w:right w:val="single" w:sz="4" w:space="0" w:color="auto"/>
            </w:tcBorders>
            <w:shd w:val="clear" w:color="auto" w:fill="auto"/>
            <w:noWrap/>
            <w:vAlign w:val="bottom"/>
            <w:hideMark/>
          </w:tcPr>
          <w:p w14:paraId="6BEF505A"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70,91</w:t>
            </w:r>
          </w:p>
        </w:tc>
        <w:tc>
          <w:tcPr>
            <w:tcW w:w="571" w:type="pct"/>
            <w:tcBorders>
              <w:top w:val="nil"/>
              <w:left w:val="nil"/>
              <w:bottom w:val="single" w:sz="4" w:space="0" w:color="auto"/>
              <w:right w:val="single" w:sz="4" w:space="0" w:color="auto"/>
            </w:tcBorders>
            <w:shd w:val="clear" w:color="auto" w:fill="auto"/>
            <w:noWrap/>
            <w:vAlign w:val="bottom"/>
            <w:hideMark/>
          </w:tcPr>
          <w:p w14:paraId="56EA742C"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13,40</w:t>
            </w:r>
          </w:p>
        </w:tc>
        <w:tc>
          <w:tcPr>
            <w:tcW w:w="571" w:type="pct"/>
            <w:tcBorders>
              <w:top w:val="nil"/>
              <w:left w:val="nil"/>
              <w:bottom w:val="single" w:sz="4" w:space="0" w:color="auto"/>
              <w:right w:val="single" w:sz="4" w:space="0" w:color="auto"/>
            </w:tcBorders>
            <w:shd w:val="clear" w:color="auto" w:fill="auto"/>
            <w:noWrap/>
            <w:vAlign w:val="bottom"/>
            <w:hideMark/>
          </w:tcPr>
          <w:p w14:paraId="7B778FFA"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0,00</w:t>
            </w:r>
          </w:p>
        </w:tc>
        <w:tc>
          <w:tcPr>
            <w:tcW w:w="571" w:type="pct"/>
            <w:tcBorders>
              <w:top w:val="nil"/>
              <w:left w:val="nil"/>
              <w:bottom w:val="single" w:sz="4" w:space="0" w:color="auto"/>
              <w:right w:val="single" w:sz="4" w:space="0" w:color="auto"/>
            </w:tcBorders>
            <w:shd w:val="clear" w:color="auto" w:fill="auto"/>
            <w:noWrap/>
            <w:vAlign w:val="bottom"/>
            <w:hideMark/>
          </w:tcPr>
          <w:p w14:paraId="34DB5B6A"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1,68</w:t>
            </w:r>
          </w:p>
        </w:tc>
        <w:tc>
          <w:tcPr>
            <w:tcW w:w="571" w:type="pct"/>
            <w:tcBorders>
              <w:top w:val="nil"/>
              <w:left w:val="nil"/>
              <w:bottom w:val="single" w:sz="4" w:space="0" w:color="auto"/>
              <w:right w:val="single" w:sz="4" w:space="0" w:color="auto"/>
            </w:tcBorders>
            <w:shd w:val="clear" w:color="auto" w:fill="auto"/>
            <w:noWrap/>
            <w:vAlign w:val="bottom"/>
            <w:hideMark/>
          </w:tcPr>
          <w:p w14:paraId="5E4EB312"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3,39</w:t>
            </w:r>
          </w:p>
        </w:tc>
        <w:tc>
          <w:tcPr>
            <w:tcW w:w="570" w:type="pct"/>
            <w:tcBorders>
              <w:top w:val="nil"/>
              <w:left w:val="nil"/>
              <w:bottom w:val="single" w:sz="4" w:space="0" w:color="auto"/>
              <w:right w:val="single" w:sz="4" w:space="0" w:color="auto"/>
            </w:tcBorders>
            <w:shd w:val="clear" w:color="auto" w:fill="auto"/>
            <w:noWrap/>
            <w:vAlign w:val="bottom"/>
            <w:hideMark/>
          </w:tcPr>
          <w:p w14:paraId="0C3890E9"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100,00</w:t>
            </w:r>
          </w:p>
        </w:tc>
      </w:tr>
      <w:tr w:rsidR="00A16DDB" w:rsidRPr="00D95127" w14:paraId="5EB6576B" w14:textId="77777777" w:rsidTr="007A627A">
        <w:trPr>
          <w:trHeight w:val="255"/>
        </w:trPr>
        <w:tc>
          <w:tcPr>
            <w:tcW w:w="1003" w:type="pct"/>
            <w:tcBorders>
              <w:top w:val="nil"/>
              <w:left w:val="single" w:sz="4" w:space="0" w:color="auto"/>
              <w:bottom w:val="single" w:sz="4" w:space="0" w:color="auto"/>
              <w:right w:val="single" w:sz="4" w:space="0" w:color="auto"/>
            </w:tcBorders>
            <w:shd w:val="clear" w:color="auto" w:fill="auto"/>
            <w:noWrap/>
            <w:vAlign w:val="bottom"/>
            <w:hideMark/>
          </w:tcPr>
          <w:p w14:paraId="565A3AA4" w14:textId="77777777" w:rsidR="00A16DDB" w:rsidRPr="00D95127" w:rsidRDefault="00A16DDB" w:rsidP="007A627A">
            <w:pPr>
              <w:rPr>
                <w:rFonts w:eastAsia="Times New Roman" w:cs="Times New Roman"/>
                <w:sz w:val="18"/>
                <w:szCs w:val="18"/>
                <w:lang w:val="cs-CZ" w:eastAsia="cs-CZ"/>
              </w:rPr>
            </w:pPr>
            <w:r w:rsidRPr="00D95127">
              <w:rPr>
                <w:rFonts w:eastAsia="Times New Roman" w:cs="Times New Roman"/>
                <w:sz w:val="18"/>
                <w:szCs w:val="18"/>
                <w:lang w:val="cs-CZ" w:eastAsia="cs-CZ"/>
              </w:rPr>
              <w:t>Výkrm prasat a ostatní, ks</w:t>
            </w:r>
          </w:p>
        </w:tc>
        <w:tc>
          <w:tcPr>
            <w:tcW w:w="571" w:type="pct"/>
            <w:tcBorders>
              <w:top w:val="nil"/>
              <w:left w:val="nil"/>
              <w:bottom w:val="single" w:sz="4" w:space="0" w:color="auto"/>
              <w:right w:val="single" w:sz="4" w:space="0" w:color="auto"/>
            </w:tcBorders>
            <w:shd w:val="clear" w:color="auto" w:fill="auto"/>
            <w:noWrap/>
            <w:vAlign w:val="bottom"/>
            <w:hideMark/>
          </w:tcPr>
          <w:p w14:paraId="5E888DCD"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13209</w:t>
            </w:r>
          </w:p>
        </w:tc>
        <w:tc>
          <w:tcPr>
            <w:tcW w:w="571" w:type="pct"/>
            <w:tcBorders>
              <w:top w:val="nil"/>
              <w:left w:val="nil"/>
              <w:bottom w:val="single" w:sz="4" w:space="0" w:color="auto"/>
              <w:right w:val="single" w:sz="4" w:space="0" w:color="auto"/>
            </w:tcBorders>
            <w:shd w:val="clear" w:color="auto" w:fill="auto"/>
            <w:noWrap/>
            <w:vAlign w:val="bottom"/>
            <w:hideMark/>
          </w:tcPr>
          <w:p w14:paraId="37B4E4B7"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49095</w:t>
            </w:r>
          </w:p>
        </w:tc>
        <w:tc>
          <w:tcPr>
            <w:tcW w:w="571" w:type="pct"/>
            <w:tcBorders>
              <w:top w:val="nil"/>
              <w:left w:val="nil"/>
              <w:bottom w:val="single" w:sz="4" w:space="0" w:color="auto"/>
              <w:right w:val="single" w:sz="4" w:space="0" w:color="auto"/>
            </w:tcBorders>
            <w:shd w:val="clear" w:color="auto" w:fill="auto"/>
            <w:noWrap/>
            <w:vAlign w:val="bottom"/>
            <w:hideMark/>
          </w:tcPr>
          <w:p w14:paraId="31B701E5"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6600</w:t>
            </w:r>
          </w:p>
        </w:tc>
        <w:tc>
          <w:tcPr>
            <w:tcW w:w="571" w:type="pct"/>
            <w:tcBorders>
              <w:top w:val="nil"/>
              <w:left w:val="nil"/>
              <w:bottom w:val="single" w:sz="4" w:space="0" w:color="auto"/>
              <w:right w:val="single" w:sz="4" w:space="0" w:color="auto"/>
            </w:tcBorders>
            <w:shd w:val="clear" w:color="auto" w:fill="auto"/>
            <w:noWrap/>
            <w:vAlign w:val="bottom"/>
            <w:hideMark/>
          </w:tcPr>
          <w:p w14:paraId="54D0779F"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1347</w:t>
            </w:r>
          </w:p>
        </w:tc>
        <w:tc>
          <w:tcPr>
            <w:tcW w:w="571" w:type="pct"/>
            <w:tcBorders>
              <w:top w:val="nil"/>
              <w:left w:val="nil"/>
              <w:bottom w:val="single" w:sz="4" w:space="0" w:color="auto"/>
              <w:right w:val="single" w:sz="4" w:space="0" w:color="auto"/>
            </w:tcBorders>
            <w:shd w:val="clear" w:color="auto" w:fill="auto"/>
            <w:noWrap/>
            <w:vAlign w:val="bottom"/>
            <w:hideMark/>
          </w:tcPr>
          <w:p w14:paraId="5C89E8E6"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278</w:t>
            </w:r>
          </w:p>
        </w:tc>
        <w:tc>
          <w:tcPr>
            <w:tcW w:w="571" w:type="pct"/>
            <w:tcBorders>
              <w:top w:val="nil"/>
              <w:left w:val="nil"/>
              <w:bottom w:val="single" w:sz="4" w:space="0" w:color="auto"/>
              <w:right w:val="single" w:sz="4" w:space="0" w:color="auto"/>
            </w:tcBorders>
            <w:shd w:val="clear" w:color="auto" w:fill="auto"/>
            <w:noWrap/>
            <w:vAlign w:val="bottom"/>
            <w:hideMark/>
          </w:tcPr>
          <w:p w14:paraId="31B8AD1A"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1170</w:t>
            </w:r>
          </w:p>
        </w:tc>
        <w:tc>
          <w:tcPr>
            <w:tcW w:w="570" w:type="pct"/>
            <w:tcBorders>
              <w:top w:val="nil"/>
              <w:left w:val="nil"/>
              <w:bottom w:val="single" w:sz="4" w:space="0" w:color="auto"/>
              <w:right w:val="single" w:sz="4" w:space="0" w:color="auto"/>
            </w:tcBorders>
            <w:shd w:val="clear" w:color="auto" w:fill="auto"/>
            <w:noWrap/>
            <w:vAlign w:val="bottom"/>
            <w:hideMark/>
          </w:tcPr>
          <w:p w14:paraId="14D5875A"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71699</w:t>
            </w:r>
          </w:p>
        </w:tc>
      </w:tr>
      <w:tr w:rsidR="00A16DDB" w:rsidRPr="00D95127" w14:paraId="26CF7864" w14:textId="77777777" w:rsidTr="007A627A">
        <w:trPr>
          <w:trHeight w:val="255"/>
        </w:trPr>
        <w:tc>
          <w:tcPr>
            <w:tcW w:w="1003" w:type="pct"/>
            <w:tcBorders>
              <w:top w:val="nil"/>
              <w:left w:val="single" w:sz="4" w:space="0" w:color="auto"/>
              <w:bottom w:val="single" w:sz="4" w:space="0" w:color="auto"/>
              <w:right w:val="single" w:sz="4" w:space="0" w:color="auto"/>
            </w:tcBorders>
            <w:shd w:val="clear" w:color="auto" w:fill="auto"/>
            <w:noWrap/>
            <w:vAlign w:val="bottom"/>
            <w:hideMark/>
          </w:tcPr>
          <w:p w14:paraId="144487E7" w14:textId="77777777" w:rsidR="00A16DDB" w:rsidRPr="00D95127" w:rsidRDefault="00A16DDB" w:rsidP="007A627A">
            <w:pPr>
              <w:rPr>
                <w:rFonts w:eastAsia="Times New Roman" w:cs="Times New Roman"/>
                <w:sz w:val="18"/>
                <w:szCs w:val="18"/>
                <w:lang w:val="cs-CZ" w:eastAsia="cs-CZ"/>
              </w:rPr>
            </w:pPr>
            <w:r w:rsidRPr="00D95127">
              <w:rPr>
                <w:rFonts w:eastAsia="Times New Roman" w:cs="Times New Roman"/>
                <w:sz w:val="18"/>
                <w:szCs w:val="18"/>
                <w:lang w:val="cs-CZ" w:eastAsia="cs-CZ"/>
              </w:rPr>
              <w:t>Výkrm, zastoupení, %</w:t>
            </w:r>
          </w:p>
        </w:tc>
        <w:tc>
          <w:tcPr>
            <w:tcW w:w="571" w:type="pct"/>
            <w:tcBorders>
              <w:top w:val="nil"/>
              <w:left w:val="nil"/>
              <w:bottom w:val="single" w:sz="4" w:space="0" w:color="auto"/>
              <w:right w:val="single" w:sz="4" w:space="0" w:color="auto"/>
            </w:tcBorders>
            <w:shd w:val="clear" w:color="auto" w:fill="auto"/>
            <w:noWrap/>
            <w:vAlign w:val="bottom"/>
            <w:hideMark/>
          </w:tcPr>
          <w:p w14:paraId="241E6F34"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18,42</w:t>
            </w:r>
          </w:p>
        </w:tc>
        <w:tc>
          <w:tcPr>
            <w:tcW w:w="571" w:type="pct"/>
            <w:tcBorders>
              <w:top w:val="nil"/>
              <w:left w:val="nil"/>
              <w:bottom w:val="single" w:sz="4" w:space="0" w:color="auto"/>
              <w:right w:val="single" w:sz="4" w:space="0" w:color="auto"/>
            </w:tcBorders>
            <w:shd w:val="clear" w:color="auto" w:fill="auto"/>
            <w:noWrap/>
            <w:vAlign w:val="bottom"/>
            <w:hideMark/>
          </w:tcPr>
          <w:p w14:paraId="3E9CDFE7"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68,47</w:t>
            </w:r>
          </w:p>
        </w:tc>
        <w:tc>
          <w:tcPr>
            <w:tcW w:w="571" w:type="pct"/>
            <w:tcBorders>
              <w:top w:val="nil"/>
              <w:left w:val="nil"/>
              <w:bottom w:val="single" w:sz="4" w:space="0" w:color="auto"/>
              <w:right w:val="single" w:sz="4" w:space="0" w:color="auto"/>
            </w:tcBorders>
            <w:shd w:val="clear" w:color="auto" w:fill="auto"/>
            <w:noWrap/>
            <w:vAlign w:val="bottom"/>
            <w:hideMark/>
          </w:tcPr>
          <w:p w14:paraId="23467BBC"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9,21</w:t>
            </w:r>
          </w:p>
        </w:tc>
        <w:tc>
          <w:tcPr>
            <w:tcW w:w="571" w:type="pct"/>
            <w:tcBorders>
              <w:top w:val="nil"/>
              <w:left w:val="nil"/>
              <w:bottom w:val="single" w:sz="4" w:space="0" w:color="auto"/>
              <w:right w:val="single" w:sz="4" w:space="0" w:color="auto"/>
            </w:tcBorders>
            <w:shd w:val="clear" w:color="auto" w:fill="auto"/>
            <w:noWrap/>
            <w:vAlign w:val="bottom"/>
            <w:hideMark/>
          </w:tcPr>
          <w:p w14:paraId="62059477"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1,88</w:t>
            </w:r>
          </w:p>
        </w:tc>
        <w:tc>
          <w:tcPr>
            <w:tcW w:w="571" w:type="pct"/>
            <w:tcBorders>
              <w:top w:val="nil"/>
              <w:left w:val="nil"/>
              <w:bottom w:val="single" w:sz="4" w:space="0" w:color="auto"/>
              <w:right w:val="single" w:sz="4" w:space="0" w:color="auto"/>
            </w:tcBorders>
            <w:shd w:val="clear" w:color="auto" w:fill="auto"/>
            <w:noWrap/>
            <w:vAlign w:val="bottom"/>
            <w:hideMark/>
          </w:tcPr>
          <w:p w14:paraId="0B1D89C7"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0,39</w:t>
            </w:r>
          </w:p>
        </w:tc>
        <w:tc>
          <w:tcPr>
            <w:tcW w:w="571" w:type="pct"/>
            <w:tcBorders>
              <w:top w:val="nil"/>
              <w:left w:val="nil"/>
              <w:bottom w:val="single" w:sz="4" w:space="0" w:color="auto"/>
              <w:right w:val="single" w:sz="4" w:space="0" w:color="auto"/>
            </w:tcBorders>
            <w:shd w:val="clear" w:color="auto" w:fill="auto"/>
            <w:noWrap/>
            <w:vAlign w:val="bottom"/>
            <w:hideMark/>
          </w:tcPr>
          <w:p w14:paraId="073B4407"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1,63</w:t>
            </w:r>
          </w:p>
        </w:tc>
        <w:tc>
          <w:tcPr>
            <w:tcW w:w="570" w:type="pct"/>
            <w:tcBorders>
              <w:top w:val="nil"/>
              <w:left w:val="nil"/>
              <w:bottom w:val="single" w:sz="4" w:space="0" w:color="auto"/>
              <w:right w:val="single" w:sz="4" w:space="0" w:color="auto"/>
            </w:tcBorders>
            <w:shd w:val="clear" w:color="auto" w:fill="auto"/>
            <w:noWrap/>
            <w:vAlign w:val="bottom"/>
            <w:hideMark/>
          </w:tcPr>
          <w:p w14:paraId="07AD84E2"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100,00</w:t>
            </w:r>
          </w:p>
        </w:tc>
      </w:tr>
      <w:tr w:rsidR="00A16DDB" w:rsidRPr="00D95127" w14:paraId="6557BF8B" w14:textId="77777777" w:rsidTr="007A627A">
        <w:trPr>
          <w:trHeight w:val="255"/>
        </w:trPr>
        <w:tc>
          <w:tcPr>
            <w:tcW w:w="1003" w:type="pct"/>
            <w:tcBorders>
              <w:top w:val="nil"/>
              <w:left w:val="single" w:sz="4" w:space="0" w:color="auto"/>
              <w:bottom w:val="single" w:sz="4" w:space="0" w:color="auto"/>
              <w:right w:val="single" w:sz="4" w:space="0" w:color="auto"/>
            </w:tcBorders>
            <w:shd w:val="clear" w:color="auto" w:fill="auto"/>
            <w:noWrap/>
            <w:vAlign w:val="bottom"/>
            <w:hideMark/>
          </w:tcPr>
          <w:p w14:paraId="004A6734" w14:textId="77777777" w:rsidR="00A16DDB" w:rsidRPr="00D95127" w:rsidRDefault="00A16DDB" w:rsidP="007A627A">
            <w:pPr>
              <w:rPr>
                <w:rFonts w:eastAsia="Times New Roman" w:cs="Times New Roman"/>
                <w:sz w:val="18"/>
                <w:szCs w:val="18"/>
                <w:lang w:val="cs-CZ" w:eastAsia="cs-CZ"/>
              </w:rPr>
            </w:pPr>
            <w:r w:rsidRPr="00D95127">
              <w:rPr>
                <w:rFonts w:eastAsia="Times New Roman" w:cs="Times New Roman"/>
                <w:sz w:val="18"/>
                <w:szCs w:val="18"/>
                <w:lang w:val="cs-CZ" w:eastAsia="cs-CZ"/>
              </w:rPr>
              <w:t>Celkový počet DJ (ČSN)</w:t>
            </w:r>
          </w:p>
        </w:tc>
        <w:tc>
          <w:tcPr>
            <w:tcW w:w="571" w:type="pct"/>
            <w:tcBorders>
              <w:top w:val="nil"/>
              <w:left w:val="nil"/>
              <w:bottom w:val="single" w:sz="4" w:space="0" w:color="auto"/>
              <w:right w:val="single" w:sz="4" w:space="0" w:color="auto"/>
            </w:tcBorders>
            <w:shd w:val="clear" w:color="auto" w:fill="auto"/>
            <w:noWrap/>
            <w:vAlign w:val="bottom"/>
            <w:hideMark/>
          </w:tcPr>
          <w:p w14:paraId="4165E552"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1 977,57</w:t>
            </w:r>
          </w:p>
        </w:tc>
        <w:tc>
          <w:tcPr>
            <w:tcW w:w="571" w:type="pct"/>
            <w:tcBorders>
              <w:top w:val="nil"/>
              <w:left w:val="nil"/>
              <w:bottom w:val="single" w:sz="4" w:space="0" w:color="auto"/>
              <w:right w:val="single" w:sz="4" w:space="0" w:color="auto"/>
            </w:tcBorders>
            <w:shd w:val="clear" w:color="auto" w:fill="auto"/>
            <w:noWrap/>
            <w:vAlign w:val="bottom"/>
            <w:hideMark/>
          </w:tcPr>
          <w:p w14:paraId="7D1B53CD"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9 542,96</w:t>
            </w:r>
          </w:p>
        </w:tc>
        <w:tc>
          <w:tcPr>
            <w:tcW w:w="571" w:type="pct"/>
            <w:tcBorders>
              <w:top w:val="nil"/>
              <w:left w:val="nil"/>
              <w:bottom w:val="single" w:sz="4" w:space="0" w:color="auto"/>
              <w:right w:val="single" w:sz="4" w:space="0" w:color="auto"/>
            </w:tcBorders>
            <w:shd w:val="clear" w:color="auto" w:fill="auto"/>
            <w:noWrap/>
            <w:vAlign w:val="bottom"/>
            <w:hideMark/>
          </w:tcPr>
          <w:p w14:paraId="1C6AE5F9"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1 370,38</w:t>
            </w:r>
          </w:p>
        </w:tc>
        <w:tc>
          <w:tcPr>
            <w:tcW w:w="571" w:type="pct"/>
            <w:tcBorders>
              <w:top w:val="nil"/>
              <w:left w:val="nil"/>
              <w:bottom w:val="single" w:sz="4" w:space="0" w:color="auto"/>
              <w:right w:val="single" w:sz="4" w:space="0" w:color="auto"/>
            </w:tcBorders>
            <w:shd w:val="clear" w:color="auto" w:fill="auto"/>
            <w:noWrap/>
            <w:vAlign w:val="bottom"/>
            <w:hideMark/>
          </w:tcPr>
          <w:p w14:paraId="4C0536BB"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222,66</w:t>
            </w:r>
          </w:p>
        </w:tc>
        <w:tc>
          <w:tcPr>
            <w:tcW w:w="571" w:type="pct"/>
            <w:tcBorders>
              <w:top w:val="nil"/>
              <w:left w:val="nil"/>
              <w:bottom w:val="single" w:sz="4" w:space="0" w:color="auto"/>
              <w:right w:val="single" w:sz="4" w:space="0" w:color="auto"/>
            </w:tcBorders>
            <w:shd w:val="clear" w:color="auto" w:fill="auto"/>
            <w:noWrap/>
            <w:vAlign w:val="bottom"/>
            <w:hideMark/>
          </w:tcPr>
          <w:p w14:paraId="7F118364"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241,64</w:t>
            </w:r>
          </w:p>
        </w:tc>
        <w:tc>
          <w:tcPr>
            <w:tcW w:w="571" w:type="pct"/>
            <w:tcBorders>
              <w:top w:val="nil"/>
              <w:left w:val="nil"/>
              <w:bottom w:val="single" w:sz="4" w:space="0" w:color="auto"/>
              <w:right w:val="single" w:sz="4" w:space="0" w:color="auto"/>
            </w:tcBorders>
            <w:shd w:val="clear" w:color="auto" w:fill="auto"/>
            <w:noWrap/>
            <w:vAlign w:val="bottom"/>
            <w:hideMark/>
          </w:tcPr>
          <w:p w14:paraId="5DEA7CE7"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318,28</w:t>
            </w:r>
          </w:p>
        </w:tc>
        <w:tc>
          <w:tcPr>
            <w:tcW w:w="570" w:type="pct"/>
            <w:tcBorders>
              <w:top w:val="nil"/>
              <w:left w:val="nil"/>
              <w:bottom w:val="single" w:sz="4" w:space="0" w:color="auto"/>
              <w:right w:val="single" w:sz="4" w:space="0" w:color="auto"/>
            </w:tcBorders>
            <w:shd w:val="clear" w:color="auto" w:fill="auto"/>
            <w:noWrap/>
            <w:vAlign w:val="bottom"/>
            <w:hideMark/>
          </w:tcPr>
          <w:p w14:paraId="07C68137"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13 673,48</w:t>
            </w:r>
          </w:p>
        </w:tc>
      </w:tr>
      <w:tr w:rsidR="00A16DDB" w:rsidRPr="00D95127" w14:paraId="26205EDB" w14:textId="77777777" w:rsidTr="007A627A">
        <w:trPr>
          <w:trHeight w:val="255"/>
        </w:trPr>
        <w:tc>
          <w:tcPr>
            <w:tcW w:w="1003" w:type="pct"/>
            <w:tcBorders>
              <w:top w:val="nil"/>
              <w:left w:val="single" w:sz="4" w:space="0" w:color="auto"/>
              <w:bottom w:val="single" w:sz="4" w:space="0" w:color="auto"/>
              <w:right w:val="single" w:sz="4" w:space="0" w:color="auto"/>
            </w:tcBorders>
            <w:shd w:val="clear" w:color="auto" w:fill="auto"/>
            <w:noWrap/>
            <w:vAlign w:val="bottom"/>
            <w:hideMark/>
          </w:tcPr>
          <w:p w14:paraId="725C29E9" w14:textId="77777777" w:rsidR="00A16DDB" w:rsidRPr="00D95127" w:rsidRDefault="00A16DDB" w:rsidP="007A627A">
            <w:pPr>
              <w:rPr>
                <w:rFonts w:eastAsia="Times New Roman" w:cs="Times New Roman"/>
                <w:sz w:val="18"/>
                <w:szCs w:val="18"/>
                <w:lang w:val="cs-CZ" w:eastAsia="cs-CZ"/>
              </w:rPr>
            </w:pPr>
            <w:r w:rsidRPr="00D95127">
              <w:rPr>
                <w:rFonts w:eastAsia="Times New Roman" w:cs="Times New Roman"/>
                <w:sz w:val="18"/>
                <w:szCs w:val="18"/>
                <w:lang w:val="cs-CZ" w:eastAsia="cs-CZ"/>
              </w:rPr>
              <w:t>Zastoupení DJ (ČSN), %</w:t>
            </w:r>
          </w:p>
        </w:tc>
        <w:tc>
          <w:tcPr>
            <w:tcW w:w="571" w:type="pct"/>
            <w:tcBorders>
              <w:top w:val="nil"/>
              <w:left w:val="nil"/>
              <w:bottom w:val="single" w:sz="4" w:space="0" w:color="auto"/>
              <w:right w:val="single" w:sz="4" w:space="0" w:color="auto"/>
            </w:tcBorders>
            <w:shd w:val="clear" w:color="auto" w:fill="auto"/>
            <w:noWrap/>
            <w:vAlign w:val="bottom"/>
            <w:hideMark/>
          </w:tcPr>
          <w:p w14:paraId="54C0B77F"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14,46</w:t>
            </w:r>
          </w:p>
        </w:tc>
        <w:tc>
          <w:tcPr>
            <w:tcW w:w="571" w:type="pct"/>
            <w:tcBorders>
              <w:top w:val="nil"/>
              <w:left w:val="nil"/>
              <w:bottom w:val="single" w:sz="4" w:space="0" w:color="auto"/>
              <w:right w:val="single" w:sz="4" w:space="0" w:color="auto"/>
            </w:tcBorders>
            <w:shd w:val="clear" w:color="auto" w:fill="auto"/>
            <w:noWrap/>
            <w:vAlign w:val="bottom"/>
            <w:hideMark/>
          </w:tcPr>
          <w:p w14:paraId="004C53B0"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69,79</w:t>
            </w:r>
          </w:p>
        </w:tc>
        <w:tc>
          <w:tcPr>
            <w:tcW w:w="571" w:type="pct"/>
            <w:tcBorders>
              <w:top w:val="nil"/>
              <w:left w:val="nil"/>
              <w:bottom w:val="single" w:sz="4" w:space="0" w:color="auto"/>
              <w:right w:val="single" w:sz="4" w:space="0" w:color="auto"/>
            </w:tcBorders>
            <w:shd w:val="clear" w:color="auto" w:fill="auto"/>
            <w:noWrap/>
            <w:vAlign w:val="bottom"/>
            <w:hideMark/>
          </w:tcPr>
          <w:p w14:paraId="0B334488"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10,02</w:t>
            </w:r>
          </w:p>
        </w:tc>
        <w:tc>
          <w:tcPr>
            <w:tcW w:w="571" w:type="pct"/>
            <w:tcBorders>
              <w:top w:val="nil"/>
              <w:left w:val="nil"/>
              <w:bottom w:val="single" w:sz="4" w:space="0" w:color="auto"/>
              <w:right w:val="single" w:sz="4" w:space="0" w:color="auto"/>
            </w:tcBorders>
            <w:shd w:val="clear" w:color="auto" w:fill="auto"/>
            <w:noWrap/>
            <w:vAlign w:val="bottom"/>
            <w:hideMark/>
          </w:tcPr>
          <w:p w14:paraId="48D8D4B9"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1,63</w:t>
            </w:r>
          </w:p>
        </w:tc>
        <w:tc>
          <w:tcPr>
            <w:tcW w:w="571" w:type="pct"/>
            <w:tcBorders>
              <w:top w:val="nil"/>
              <w:left w:val="nil"/>
              <w:bottom w:val="single" w:sz="4" w:space="0" w:color="auto"/>
              <w:right w:val="single" w:sz="4" w:space="0" w:color="auto"/>
            </w:tcBorders>
            <w:shd w:val="clear" w:color="auto" w:fill="auto"/>
            <w:noWrap/>
            <w:vAlign w:val="bottom"/>
            <w:hideMark/>
          </w:tcPr>
          <w:p w14:paraId="416591B8"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1,77</w:t>
            </w:r>
          </w:p>
        </w:tc>
        <w:tc>
          <w:tcPr>
            <w:tcW w:w="571" w:type="pct"/>
            <w:tcBorders>
              <w:top w:val="nil"/>
              <w:left w:val="nil"/>
              <w:bottom w:val="single" w:sz="4" w:space="0" w:color="auto"/>
              <w:right w:val="single" w:sz="4" w:space="0" w:color="auto"/>
            </w:tcBorders>
            <w:shd w:val="clear" w:color="auto" w:fill="auto"/>
            <w:noWrap/>
            <w:vAlign w:val="bottom"/>
            <w:hideMark/>
          </w:tcPr>
          <w:p w14:paraId="70940633"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2,33</w:t>
            </w:r>
          </w:p>
        </w:tc>
        <w:tc>
          <w:tcPr>
            <w:tcW w:w="570" w:type="pct"/>
            <w:tcBorders>
              <w:top w:val="nil"/>
              <w:left w:val="nil"/>
              <w:bottom w:val="single" w:sz="4" w:space="0" w:color="auto"/>
              <w:right w:val="single" w:sz="4" w:space="0" w:color="auto"/>
            </w:tcBorders>
            <w:shd w:val="clear" w:color="auto" w:fill="auto"/>
            <w:noWrap/>
            <w:vAlign w:val="bottom"/>
            <w:hideMark/>
          </w:tcPr>
          <w:p w14:paraId="79BEC1DE"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100,00</w:t>
            </w:r>
          </w:p>
        </w:tc>
      </w:tr>
      <w:tr w:rsidR="00A16DDB" w:rsidRPr="00D95127" w14:paraId="25EA7EE8" w14:textId="77777777" w:rsidTr="007A627A">
        <w:trPr>
          <w:trHeight w:val="255"/>
        </w:trPr>
        <w:tc>
          <w:tcPr>
            <w:tcW w:w="1003" w:type="pct"/>
            <w:tcBorders>
              <w:top w:val="nil"/>
              <w:left w:val="single" w:sz="4" w:space="0" w:color="auto"/>
              <w:bottom w:val="single" w:sz="4" w:space="0" w:color="auto"/>
              <w:right w:val="single" w:sz="4" w:space="0" w:color="auto"/>
            </w:tcBorders>
            <w:shd w:val="clear" w:color="auto" w:fill="auto"/>
            <w:noWrap/>
            <w:vAlign w:val="bottom"/>
            <w:hideMark/>
          </w:tcPr>
          <w:p w14:paraId="42E3BF1E" w14:textId="77777777" w:rsidR="00A16DDB" w:rsidRPr="00D95127" w:rsidRDefault="00A16DDB" w:rsidP="007A627A">
            <w:pPr>
              <w:rPr>
                <w:rFonts w:eastAsia="Times New Roman" w:cs="Times New Roman"/>
                <w:sz w:val="18"/>
                <w:szCs w:val="18"/>
                <w:lang w:val="cs-CZ" w:eastAsia="cs-CZ"/>
              </w:rPr>
            </w:pPr>
            <w:r w:rsidRPr="00D95127">
              <w:rPr>
                <w:rFonts w:eastAsia="Times New Roman" w:cs="Times New Roman"/>
                <w:sz w:val="18"/>
                <w:szCs w:val="18"/>
                <w:lang w:val="cs-CZ" w:eastAsia="cs-CZ"/>
              </w:rPr>
              <w:t>Celkový počet DJ (EU)</w:t>
            </w:r>
          </w:p>
        </w:tc>
        <w:tc>
          <w:tcPr>
            <w:tcW w:w="571" w:type="pct"/>
            <w:tcBorders>
              <w:top w:val="nil"/>
              <w:left w:val="nil"/>
              <w:bottom w:val="single" w:sz="4" w:space="0" w:color="auto"/>
              <w:right w:val="single" w:sz="4" w:space="0" w:color="auto"/>
            </w:tcBorders>
            <w:shd w:val="clear" w:color="auto" w:fill="auto"/>
            <w:noWrap/>
            <w:vAlign w:val="bottom"/>
            <w:hideMark/>
          </w:tcPr>
          <w:p w14:paraId="3627A748"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1 977,57</w:t>
            </w:r>
          </w:p>
        </w:tc>
        <w:tc>
          <w:tcPr>
            <w:tcW w:w="571" w:type="pct"/>
            <w:tcBorders>
              <w:top w:val="nil"/>
              <w:left w:val="nil"/>
              <w:bottom w:val="single" w:sz="4" w:space="0" w:color="auto"/>
              <w:right w:val="single" w:sz="4" w:space="0" w:color="auto"/>
            </w:tcBorders>
            <w:shd w:val="clear" w:color="auto" w:fill="auto"/>
            <w:noWrap/>
            <w:vAlign w:val="bottom"/>
            <w:hideMark/>
          </w:tcPr>
          <w:p w14:paraId="2A4956A4"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9 542,96</w:t>
            </w:r>
          </w:p>
        </w:tc>
        <w:tc>
          <w:tcPr>
            <w:tcW w:w="571" w:type="pct"/>
            <w:tcBorders>
              <w:top w:val="nil"/>
              <w:left w:val="nil"/>
              <w:bottom w:val="single" w:sz="4" w:space="0" w:color="auto"/>
              <w:right w:val="single" w:sz="4" w:space="0" w:color="auto"/>
            </w:tcBorders>
            <w:shd w:val="clear" w:color="auto" w:fill="auto"/>
            <w:noWrap/>
            <w:vAlign w:val="bottom"/>
            <w:hideMark/>
          </w:tcPr>
          <w:p w14:paraId="5A8D911E"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1 370,38</w:t>
            </w:r>
          </w:p>
        </w:tc>
        <w:tc>
          <w:tcPr>
            <w:tcW w:w="571" w:type="pct"/>
            <w:tcBorders>
              <w:top w:val="nil"/>
              <w:left w:val="nil"/>
              <w:bottom w:val="single" w:sz="4" w:space="0" w:color="auto"/>
              <w:right w:val="single" w:sz="4" w:space="0" w:color="auto"/>
            </w:tcBorders>
            <w:shd w:val="clear" w:color="auto" w:fill="auto"/>
            <w:noWrap/>
            <w:vAlign w:val="bottom"/>
            <w:hideMark/>
          </w:tcPr>
          <w:p w14:paraId="040506F1"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222,66</w:t>
            </w:r>
          </w:p>
        </w:tc>
        <w:tc>
          <w:tcPr>
            <w:tcW w:w="571" w:type="pct"/>
            <w:tcBorders>
              <w:top w:val="nil"/>
              <w:left w:val="nil"/>
              <w:bottom w:val="single" w:sz="4" w:space="0" w:color="auto"/>
              <w:right w:val="single" w:sz="4" w:space="0" w:color="auto"/>
            </w:tcBorders>
            <w:shd w:val="clear" w:color="auto" w:fill="auto"/>
            <w:noWrap/>
            <w:vAlign w:val="bottom"/>
            <w:hideMark/>
          </w:tcPr>
          <w:p w14:paraId="4FE7F343"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241,64</w:t>
            </w:r>
          </w:p>
        </w:tc>
        <w:tc>
          <w:tcPr>
            <w:tcW w:w="571" w:type="pct"/>
            <w:tcBorders>
              <w:top w:val="nil"/>
              <w:left w:val="nil"/>
              <w:bottom w:val="single" w:sz="4" w:space="0" w:color="auto"/>
              <w:right w:val="single" w:sz="4" w:space="0" w:color="auto"/>
            </w:tcBorders>
            <w:shd w:val="clear" w:color="auto" w:fill="auto"/>
            <w:noWrap/>
            <w:vAlign w:val="bottom"/>
            <w:hideMark/>
          </w:tcPr>
          <w:p w14:paraId="106C3586"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318,28</w:t>
            </w:r>
          </w:p>
        </w:tc>
        <w:tc>
          <w:tcPr>
            <w:tcW w:w="570" w:type="pct"/>
            <w:tcBorders>
              <w:top w:val="nil"/>
              <w:left w:val="nil"/>
              <w:bottom w:val="single" w:sz="4" w:space="0" w:color="auto"/>
              <w:right w:val="single" w:sz="4" w:space="0" w:color="auto"/>
            </w:tcBorders>
            <w:shd w:val="clear" w:color="auto" w:fill="auto"/>
            <w:noWrap/>
            <w:vAlign w:val="bottom"/>
            <w:hideMark/>
          </w:tcPr>
          <w:p w14:paraId="224E038A" w14:textId="77777777" w:rsidR="00A16DDB" w:rsidRPr="00D95127" w:rsidRDefault="00A16DDB" w:rsidP="007A627A">
            <w:pPr>
              <w:jc w:val="right"/>
              <w:rPr>
                <w:rFonts w:eastAsia="Times New Roman" w:cs="Times New Roman"/>
                <w:sz w:val="18"/>
                <w:szCs w:val="18"/>
                <w:lang w:val="cs-CZ" w:eastAsia="cs-CZ"/>
              </w:rPr>
            </w:pPr>
            <w:r w:rsidRPr="00D95127">
              <w:rPr>
                <w:rFonts w:eastAsia="Times New Roman" w:cs="Times New Roman"/>
                <w:sz w:val="18"/>
                <w:szCs w:val="18"/>
                <w:lang w:val="cs-CZ" w:eastAsia="cs-CZ"/>
              </w:rPr>
              <w:t>13 673,48</w:t>
            </w:r>
          </w:p>
        </w:tc>
      </w:tr>
    </w:tbl>
    <w:p w14:paraId="30133F7B" w14:textId="77777777" w:rsidR="00A16DDB" w:rsidRPr="00D95127" w:rsidRDefault="00A16DDB" w:rsidP="009E5D07">
      <w:pPr>
        <w:pStyle w:val="UZEIZdroj"/>
      </w:pPr>
      <w:r w:rsidRPr="00D95127">
        <w:t>Pramen: VÚZT 2018 - Posouzení aktuálního technického stavu stájí a stájových technologií pro chov hospodářských zvířat</w:t>
      </w:r>
    </w:p>
    <w:p w14:paraId="6D772A2C" w14:textId="09E491D7" w:rsidR="00A16DDB" w:rsidRPr="00D95127" w:rsidRDefault="00A16DDB" w:rsidP="009E5D07">
      <w:pPr>
        <w:pStyle w:val="UZEIOdrky"/>
      </w:pPr>
      <w:r w:rsidRPr="00D95127">
        <w:t xml:space="preserve">Celkem je asi 20 % stavů prasat, které jsou ustájeny úplně v nových stájích; zbývající část je umístěna ve stájích ze 70. let, kde je však opraveno opláštění, zateplení, vzduchotechnika a nové vnitřní vybavení technologií v různém stupni obnovy vzhledem k době rekonstrukce. Hlavní problém spočívá v technologických omezeních, vzhledem ke konstrukčním charakteristikám hal. Chov prasat je investičně náročný. Investice do stájí jsou potřeba, vždy je nutná obnova po cca 10 letech (minimálně vnitřní technologie); s tím jsou spojeny i nové požadavky na welfare. </w:t>
      </w:r>
    </w:p>
    <w:p w14:paraId="0F99C7AF" w14:textId="5882F62B" w:rsidR="00A16DDB" w:rsidRPr="00D95127" w:rsidRDefault="00A16DDB" w:rsidP="009E5D07">
      <w:pPr>
        <w:pStyle w:val="UZEIOdrky"/>
      </w:pPr>
      <w:bookmarkStart w:id="1011" w:name="_Hlk526104066"/>
      <w:r w:rsidRPr="00D95127">
        <w:t xml:space="preserve">Budoucí trendy v investicích budou zaměřeny na zmenšování potřeby pracovní síly v ještě větší míře než nyní, kvůli </w:t>
      </w:r>
      <w:bookmarkEnd w:id="1011"/>
      <w:r w:rsidRPr="00D95127">
        <w:t>nedostatku pracovníků  v odvětví - automatizace provozu např. mycí roboty k dezinfekci hal, automatický krmný box; dávkování krmiv; tenzometrické vážení hmotnosti; automatické vyřazení prasat v porážkové hmotnosti a chov prasat na podestýlce. Další návazné oblasti, které bude potřeba řešit, jsou doprava zvířat, chlazení prasat při čekání prasat na porážkách) apod.</w:t>
      </w:r>
    </w:p>
    <w:p w14:paraId="7F962190" w14:textId="4F934170" w:rsidR="00A16DDB" w:rsidRPr="00D95127" w:rsidRDefault="00A16DDB" w:rsidP="009E5D07">
      <w:pPr>
        <w:pStyle w:val="UZEIOdrky"/>
      </w:pPr>
      <w:r w:rsidRPr="00D95127">
        <w:t>Česká republika byla na úrovni prvovýroby v produkci prasat konkurenceschopná (což mj. také potvrzují výsledky kladné bilance AZO v průměrné výši 1,0 mld. Kč u živých prasat v letech 2018-2020), výsledky byly srovnatelné s Nizozemskem a Německem, průměrné náklady dosahovaly 1,60-1,56 EUR/kg JUT. Nejlepší 1/3 podniků v ČR se přibližuje ekonomickými výsledky (1,48-1,57 EUR/kg JUT) Rakousku a Belgii. Za průměrnými výsledky zemí zastoupených v InterPIG zaostávala ČR v nákladech v období 2014-2016 o 0,07-0,11 €/kg JUT, je tedy mírně podprůměrná. Dobré pozici v mezinárodní konkurenci pomáhala České republice slabá koruna vůči euru</w:t>
      </w:r>
      <w:r w:rsidRPr="00D95127">
        <w:rPr>
          <w:rStyle w:val="Znakapoznpodarou"/>
        </w:rPr>
        <w:footnoteReference w:id="38"/>
      </w:r>
      <w:r w:rsidRPr="00D95127">
        <w:t xml:space="preserve"> v hodnoceném období, která dosahovala úrovně 27,5 Kč/€. Pokud by například průměrný kurz v letech 2014</w:t>
      </w:r>
      <w:r w:rsidRPr="00D95127">
        <w:noBreakHyphen/>
        <w:t>2016 byl na úrovni 25-26 Kč/€, dosahovala by ČR nejhoršího výsledku ze všech sledovaných zemí. Je tedy nutno přihlédnout při hodnocení nákladů mezi jednotlivými zeměmi k poměrně významnému vlivu kurzu národní měny k euru.</w:t>
      </w:r>
    </w:p>
    <w:p w14:paraId="3D929C74" w14:textId="2952554A" w:rsidR="00A16DDB" w:rsidRPr="009E5D07" w:rsidRDefault="00A16DDB" w:rsidP="009E5D07">
      <w:pPr>
        <w:pStyle w:val="UZEIGraf"/>
      </w:pPr>
      <w:bookmarkStart w:id="1012" w:name="_Toc81738831"/>
      <w:r w:rsidRPr="009E5D07">
        <w:t>Mezinárodní srovnání nákladů výkrmu prasat v letech 2010 a 2016</w:t>
      </w:r>
      <w:bookmarkEnd w:id="1012"/>
    </w:p>
    <w:p w14:paraId="3C88F3D2" w14:textId="77777777" w:rsidR="00A16DDB" w:rsidRPr="00D95127" w:rsidRDefault="00A16DDB" w:rsidP="00A16DDB">
      <w:pPr>
        <w:pStyle w:val="Odstavecseseznamem"/>
        <w:ind w:left="142" w:hanging="142"/>
      </w:pPr>
      <w:r w:rsidRPr="00D95127">
        <w:rPr>
          <w:noProof/>
          <w:lang w:eastAsia="cs-CZ"/>
        </w:rPr>
        <w:drawing>
          <wp:inline distT="0" distB="0" distL="0" distR="0" wp14:anchorId="2AB5302A" wp14:editId="04059387">
            <wp:extent cx="5344160" cy="2656840"/>
            <wp:effectExtent l="0" t="0" r="8890" b="10160"/>
            <wp:docPr id="258" name="obrázek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7"/>
              </a:graphicData>
            </a:graphic>
          </wp:inline>
        </w:drawing>
      </w:r>
    </w:p>
    <w:p w14:paraId="6CFE856B" w14:textId="0B93CE94" w:rsidR="00A16DDB" w:rsidRDefault="00A16DDB" w:rsidP="009E5D07">
      <w:pPr>
        <w:pStyle w:val="UZEIZdroj"/>
      </w:pPr>
      <w:r w:rsidRPr="00D95127">
        <w:t>Pramen: InterPig</w:t>
      </w:r>
    </w:p>
    <w:p w14:paraId="4068AC3A" w14:textId="77777777" w:rsidR="009E5D07" w:rsidRPr="00D95127" w:rsidRDefault="009E5D07" w:rsidP="009E5D07">
      <w:pPr>
        <w:pStyle w:val="UZEIZdroj"/>
      </w:pPr>
    </w:p>
    <w:p w14:paraId="7B515AAB" w14:textId="0770C074" w:rsidR="00A16DDB" w:rsidRPr="00D95127" w:rsidRDefault="00A16DDB" w:rsidP="009E5D07">
      <w:pPr>
        <w:pStyle w:val="UZEIGraf"/>
      </w:pPr>
      <w:bookmarkStart w:id="1013" w:name="_Toc81738832"/>
      <w:r w:rsidRPr="00D95127">
        <w:t>Ekonomika výkrmu prasat v mezinárodním v letech 2016 a 2010 (zisk, ztráta)</w:t>
      </w:r>
      <w:bookmarkEnd w:id="1013"/>
    </w:p>
    <w:p w14:paraId="7B105B9C" w14:textId="77777777" w:rsidR="00A16DDB" w:rsidRPr="00D95127" w:rsidRDefault="00A16DDB" w:rsidP="00A16DDB">
      <w:pPr>
        <w:pStyle w:val="Odstavecseseznamem"/>
        <w:ind w:left="142" w:hanging="142"/>
      </w:pPr>
      <w:r w:rsidRPr="00D95127">
        <w:rPr>
          <w:noProof/>
          <w:lang w:eastAsia="cs-CZ"/>
        </w:rPr>
        <w:drawing>
          <wp:inline distT="0" distB="0" distL="0" distR="0" wp14:anchorId="64F95478" wp14:editId="4C2A62CC">
            <wp:extent cx="5243830" cy="2640330"/>
            <wp:effectExtent l="0" t="0" r="13970" b="7620"/>
            <wp:docPr id="260" name="obrázek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8"/>
              </a:graphicData>
            </a:graphic>
          </wp:inline>
        </w:drawing>
      </w:r>
    </w:p>
    <w:p w14:paraId="3D977BDD" w14:textId="77777777" w:rsidR="00A16DDB" w:rsidRPr="00D95127" w:rsidRDefault="00A16DDB" w:rsidP="009E5D07">
      <w:pPr>
        <w:pStyle w:val="UZEIZdroj"/>
      </w:pPr>
      <w:r w:rsidRPr="00D95127">
        <w:t>Pramen: InterPig</w:t>
      </w:r>
    </w:p>
    <w:p w14:paraId="7777A16D" w14:textId="77777777" w:rsidR="00A16DDB" w:rsidRPr="00D95127" w:rsidRDefault="00A16DDB" w:rsidP="009E5D07">
      <w:pPr>
        <w:pStyle w:val="UZEIOdrky"/>
      </w:pPr>
      <w:r w:rsidRPr="00D95127">
        <w:t>- V oblasti sdílení nejnovějších poznatků v oboru je problém zajistit odborníky, kteří mohou sdělit nové progresivní poznatky. Svazu chovatelů prasat (SCHP) se snaží zajišťovat pro chovatele odborné semináře (celodenní seminář 1x za rok) kam zve zahraniční experty pro zprostředkování nezávislých informací. Aktuálně je členem SCHP 65 % chovatelů, kteří chovají cca ¾ prasat). Svaz uvažoval o vytvoření systému poskytující nezávislé poradenství, ale určitou bariérou je fakt, že ze strany dodavatelských firem je již poradenství poskytováno, a je započteno v ceně pořizovaného materiálu nebo investice.</w:t>
      </w:r>
      <w:r w:rsidRPr="00D95127" w:rsidDel="00993839">
        <w:t xml:space="preserve"> </w:t>
      </w:r>
      <w:r w:rsidRPr="00D95127">
        <w:t>Ze strany zemědělců není dosud o</w:t>
      </w:r>
      <w:r w:rsidRPr="00D95127" w:rsidDel="00993839">
        <w:t xml:space="preserve"> </w:t>
      </w:r>
      <w:r w:rsidRPr="00D95127">
        <w:t>nezávislé poradenství zájem. Aby bylo poradenství úspěšné, musí poradce přesvědčit svojí odborností (jsou uplatnitelní max. 4 špičkoví poradci v sektoru). V Německu existují špičkové chovy zastřešené pod DLG</w:t>
      </w:r>
      <w:r w:rsidRPr="00D95127">
        <w:rPr>
          <w:rStyle w:val="Znakapoznpodarou"/>
        </w:rPr>
        <w:footnoteReference w:id="39"/>
      </w:r>
      <w:r w:rsidRPr="00D95127">
        <w:t xml:space="preserve"> (a poradci nejsou jejich zaměstnanci a navštěvují ostatní chovatele, kde idenfitikují možné zdroje problémů a následně přizvou experta na danou oblast. Obdobně funguje poradenství v rámci integrátorů ve Španělsku. </w:t>
      </w:r>
    </w:p>
    <w:p w14:paraId="4378D220" w14:textId="77777777" w:rsidR="00A16DDB" w:rsidRPr="00D95127" w:rsidRDefault="00A16DDB" w:rsidP="009E5D07">
      <w:pPr>
        <w:pStyle w:val="UZEIOdrky"/>
      </w:pPr>
      <w:r w:rsidRPr="00D95127">
        <w:t>- Obdobně v oblasti aplikovaného výzkumu není dostatečná odborná kapacita pro řešení provozních problémů. Řada univerzit a středních škol zrušily zootechnické obory. Současně je nedostatek odborníků na technologie – zemědělci jsou odkázáni na dodavatele vstupů, chybí nezávislý výzkum.</w:t>
      </w:r>
    </w:p>
    <w:p w14:paraId="0D21F576" w14:textId="77777777" w:rsidR="00A16DDB" w:rsidRPr="00D95127" w:rsidRDefault="00A16DDB" w:rsidP="009E5D07">
      <w:pPr>
        <w:pStyle w:val="UZEIOdrky"/>
      </w:pPr>
      <w:r w:rsidRPr="00D95127">
        <w:t>- Přes tyto nedostatky byly v rámci PRV 2014-2020 financované 2-3 projekty Evropského inovačního partnerství zaměřené na chov prasat. Jeden projekt zaměřený na snižování konverze krmiv při šlechtění prasat s využitím krmných boxů; další projekt zaměřený na možnosti srovnání výsledků z různých faremních informačních systémů a poslední zaměřený na zkrmování separovaných vojtěškových lístků jako náhrada dovozové sóji bílkovinnými plodinami.</w:t>
      </w:r>
    </w:p>
    <w:p w14:paraId="6AD26F8E" w14:textId="522864A0" w:rsidR="00A16DDB" w:rsidRPr="00D95127" w:rsidRDefault="00A16DDB" w:rsidP="009E5D07">
      <w:pPr>
        <w:pStyle w:val="UZEIOdrky"/>
      </w:pPr>
      <w:r w:rsidRPr="00D95127">
        <w:t xml:space="preserve">Chov prasat v ČR má charakter spíše průmyslové výroby, neboť není přímo vázaný na půdu. Stále více chovů je soustředěno ve společnostech (a.s. a s.r.o.), zatímco v zemědělských podnicích a u fyzických osob se stavy prasat snižují. Podle posledních údajů ČSÚ z roku 2016 společnosti (akciové a spol. s.r.o.) chovaly více než 77 % z celkového počtu prasat v ČR, zatímco v roce 2013 to bylo 75 %. Koncentrace chovů roste také směrem k podnikům s vyšší koncentrací zvířat. V roce 2010 bylo evidováno 213 podniků s chovy nad 2 tis. ks prasat, zde bylo soustředěno 78 % z celkového počtu prasat v ČR, v roce 2013 klesl počet velkých podniků na 172, které však soustředily již 82 % zvířat a v roce 2020 bylo  142 velkých podniků s 86% podílem na celkovém počtu chovaných prasat. Rozhodující produkce se tedy odehrává převážně ve velkých podnicích. Tento fakt vysvětluje i jejich </w:t>
      </w:r>
      <w:r w:rsidRPr="00D95127" w:rsidDel="00EC6F72">
        <w:rPr>
          <w:b/>
        </w:rPr>
        <w:t xml:space="preserve">nižší </w:t>
      </w:r>
      <w:r w:rsidRPr="00D95127">
        <w:rPr>
          <w:b/>
        </w:rPr>
        <w:t>zájem</w:t>
      </w:r>
      <w:r w:rsidRPr="00D95127" w:rsidDel="00EC6F72">
        <w:rPr>
          <w:b/>
        </w:rPr>
        <w:t xml:space="preserve"> </w:t>
      </w:r>
      <w:r w:rsidRPr="00D95127">
        <w:rPr>
          <w:b/>
        </w:rPr>
        <w:t>sdružovat se do odbytových organizací, navíc mnohé z nich (cca 45 %)) jsou součástí holdingů, které zároveň vlastní i porážku</w:t>
      </w:r>
      <w:r w:rsidRPr="00D95127">
        <w:t>. Vyšší koncentrace zvířat v chovech však sebou nesou i rizika negativních dopadů těchto „velkokapacitních objektů“ na životní prostředí.</w:t>
      </w:r>
    </w:p>
    <w:p w14:paraId="260E8390" w14:textId="5FF02F12" w:rsidR="00A16DDB" w:rsidRPr="00D95127" w:rsidRDefault="00A16DDB" w:rsidP="009E5D07">
      <w:pPr>
        <w:pStyle w:val="UZEIOdrky"/>
      </w:pPr>
      <w:r w:rsidRPr="00D95127">
        <w:t xml:space="preserve">Vzhledem k tomu, že při neochotě výrobců ke sdružování, není dostatečně koncentrována produkce v potřebných množstvích, požadovaných partiích o určitých jakostních parametrech, větší tuzemští zpracovatelé nedostanou takto ucelenou šarži produkce a dováží si potřebné části ze zahraničí, na což však doplácí tuzemští prvovýrobci. </w:t>
      </w:r>
    </w:p>
    <w:p w14:paraId="15D9F139" w14:textId="793AF698" w:rsidR="00A16DDB" w:rsidRPr="00D95127" w:rsidRDefault="00A16DDB" w:rsidP="009E5D07">
      <w:pPr>
        <w:pStyle w:val="UZEIOdrky"/>
      </w:pPr>
      <w:r w:rsidRPr="00D95127">
        <w:t>Masný zpracovatelský průmysl patří k odvětví, které je vzhledem k nízké koncentraci málo konkurenceschopné a nedokáže tak zhodnotit tuzemskou surovinu (jatečná prasata) ve výrobky s vyšší přidanou hodnotou a ty pak uplatnit na tuzemském nebo zahraničním trhu. Potřebnou surovinu v podobě výsekového masa si dováží. Důvodem je rovněž velký počet zpracovatelů s porážkou a snaha udržení se na trhu, ale i blízkost velkých porážek prasat v Německu, Polsku, jejichž roční výkon mnohonásobně převyšuje výkon porážek v ČR. To se odráží v porovnání s tuzemskými provozy v nižších zpracovatelských nákladech a následně i nižší ceně dovezeného masa.</w:t>
      </w:r>
    </w:p>
    <w:p w14:paraId="6507DD3D" w14:textId="77777777" w:rsidR="00A16DDB" w:rsidRPr="00D95127" w:rsidRDefault="00A16DDB" w:rsidP="00DE7D57">
      <w:pPr>
        <w:numPr>
          <w:ilvl w:val="0"/>
          <w:numId w:val="29"/>
        </w:numPr>
        <w:spacing w:before="60" w:line="259" w:lineRule="auto"/>
        <w:rPr>
          <w:rFonts w:cs="Times New Roman"/>
          <w:b/>
          <w:szCs w:val="24"/>
          <w:lang w:val="cs-CZ"/>
        </w:rPr>
      </w:pPr>
      <w:r w:rsidRPr="00D95127">
        <w:rPr>
          <w:rFonts w:cs="Times New Roman"/>
          <w:szCs w:val="24"/>
          <w:lang w:val="cs-CZ"/>
        </w:rPr>
        <w:t>V ČR se koncentrace zpracovatelů s vlastní porážkou zvyšuje a roste i počet poražených prasat v deseti největších zpracovatelských podnicích. Zatímco v roce 2010 provozovalo porážku jatečných prasat v ČR celkem 195 podniků do roku 2017 se jejich počet snížil o 20 (tj. o 10,2 %) na 175. Top 10 jatek se podílelo na celkovém počtu poražených prasat v roce 2010 téměř 51 %, zatímco v roce 2017 stoupl na 61 %. Průměrný počet poražených zvířat na podnik v roce 2017 dosáhl 13,5 tis. ks, zatímco v roce 2010 to bylo 16,2 tis. ks.</w:t>
      </w:r>
    </w:p>
    <w:p w14:paraId="79BF5C93" w14:textId="77777777" w:rsidR="00A16DDB" w:rsidRPr="00D95127" w:rsidRDefault="00A16DDB" w:rsidP="00DE7D57">
      <w:pPr>
        <w:numPr>
          <w:ilvl w:val="0"/>
          <w:numId w:val="29"/>
        </w:numPr>
        <w:spacing w:before="60" w:line="259" w:lineRule="auto"/>
        <w:rPr>
          <w:rFonts w:cs="Times New Roman"/>
          <w:b/>
          <w:szCs w:val="24"/>
          <w:lang w:val="cs-CZ"/>
        </w:rPr>
      </w:pPr>
      <w:r w:rsidRPr="00D95127">
        <w:rPr>
          <w:rFonts w:cs="Times New Roman"/>
          <w:szCs w:val="24"/>
          <w:lang w:val="cs-CZ"/>
        </w:rPr>
        <w:t>Poměrně velký počet menších podniků (jatek) ústí v jejich nižším využívání kapacit, což se projevuje vyššími zpracovatelskými náklady (vyšší fixní náklady na jednotku produkce), které při tlaku obchodních řetězců nutí zpracovatele nakupovat surovinu (pouze levnější díly vepřového masa) v zahraniční. Tyto tlaky jsou následně přenášeny do tlaku zpracovatelů na ceny tuzemských zemědělských výrobců.</w:t>
      </w:r>
    </w:p>
    <w:p w14:paraId="3D4F776D" w14:textId="77777777" w:rsidR="00A16DDB" w:rsidRPr="00D95127" w:rsidRDefault="00A16DDB" w:rsidP="00DE7D57">
      <w:pPr>
        <w:numPr>
          <w:ilvl w:val="0"/>
          <w:numId w:val="29"/>
        </w:numPr>
        <w:spacing w:before="60" w:line="259" w:lineRule="auto"/>
        <w:rPr>
          <w:rFonts w:cs="Times New Roman"/>
          <w:szCs w:val="24"/>
          <w:lang w:val="cs-CZ"/>
        </w:rPr>
      </w:pPr>
      <w:r w:rsidRPr="00D95127">
        <w:rPr>
          <w:rFonts w:cs="Times New Roman"/>
          <w:szCs w:val="24"/>
          <w:lang w:val="cs-CZ"/>
        </w:rPr>
        <w:t>Snaha o udržení se na trhu, vede zpracovatele k nakupování suroviny do výrobků za co nejpříznivější cenu, což se dlouhodobě projevuje růstem dovozů vybraných částí masa (Německo, Španělsko, Dánsko)</w:t>
      </w:r>
      <w:r w:rsidRPr="00D95127">
        <w:rPr>
          <w:rFonts w:cs="Times New Roman"/>
          <w:i/>
          <w:szCs w:val="24"/>
          <w:lang w:val="cs-CZ"/>
        </w:rPr>
        <w:t xml:space="preserve"> </w:t>
      </w:r>
      <w:r w:rsidRPr="00D95127">
        <w:rPr>
          <w:rFonts w:cs="Times New Roman"/>
          <w:szCs w:val="24"/>
          <w:lang w:val="cs-CZ"/>
        </w:rPr>
        <w:t>a poklesem poptávky po surovině (jatečných prasatech) od českých producentů.</w:t>
      </w:r>
      <w:r w:rsidRPr="00D95127">
        <w:rPr>
          <w:rFonts w:cs="Times New Roman"/>
          <w:i/>
          <w:szCs w:val="24"/>
          <w:lang w:val="cs-CZ"/>
        </w:rPr>
        <w:t xml:space="preserve"> </w:t>
      </w:r>
      <w:r w:rsidRPr="00D95127">
        <w:rPr>
          <w:rFonts w:cs="Times New Roman"/>
          <w:szCs w:val="24"/>
          <w:lang w:val="cs-CZ"/>
        </w:rPr>
        <w:t>V posledních letech (2015-2017) rovněž vzrostly dovozy výsekového vepřového masa přímo obchodem, důvodem byla příznivá cena některých dodavatelů (Španělsko, Nizozemsko). Na základě této situace dochází k tomu, že saldo zahraničního obchodu s vepřovým masem se stále prohlubuje a objem nakoupeného produktu v zahraničí převyšuje od roku 2015 tuzemskou výrobu vepřového masa.</w:t>
      </w:r>
    </w:p>
    <w:p w14:paraId="2CA56C89" w14:textId="77777777" w:rsidR="00A16DDB" w:rsidRPr="00D95127" w:rsidRDefault="00A16DDB" w:rsidP="00A16DDB">
      <w:pPr>
        <w:spacing w:before="60"/>
        <w:ind w:left="567" w:firstLine="709"/>
        <w:rPr>
          <w:rFonts w:cs="Times New Roman"/>
          <w:szCs w:val="24"/>
          <w:lang w:val="cs-CZ"/>
        </w:rPr>
      </w:pPr>
    </w:p>
    <w:p w14:paraId="614198BD" w14:textId="3756F83C" w:rsidR="00A16DDB" w:rsidRPr="00D95127" w:rsidRDefault="00A16DDB" w:rsidP="009A1C4F">
      <w:pPr>
        <w:pStyle w:val="UZEIOdrky"/>
      </w:pPr>
      <w:bookmarkStart w:id="1014" w:name="_Hlk526103932"/>
      <w:r w:rsidRPr="00D95127">
        <w:t xml:space="preserve">V ČR však stále </w:t>
      </w:r>
      <w:r w:rsidRPr="00D95127">
        <w:rPr>
          <w:b/>
        </w:rPr>
        <w:t>chybí systémové a na převážně soukromých iniciativách založené programy kvality</w:t>
      </w:r>
      <w:r w:rsidRPr="00D95127">
        <w:t xml:space="preserve"> vedené od výrobce po maloobchod, které by podpořily specifické kvalitativní charakteristiky produktu a spotřebitele na tyto kvality upozornily, jak je tomu v zahraničí. Např. rakouský systém kvality AMA Gütesiegel (Pečeť kvality AMA) nebo německý systém kvality QS</w:t>
      </w:r>
      <w:r w:rsidRPr="00D95127">
        <w:rPr>
          <w:rStyle w:val="Znakapoznpodarou"/>
        </w:rPr>
        <w:footnoteReference w:id="40"/>
      </w:r>
      <w:r w:rsidRPr="00D95127">
        <w:t xml:space="preserve">,  který je založen na dodržování předepsaných postupů. Ty začínají na zemědělské úrovni (krmiva, odchov selat, výkrm prasat), pokračují přes zpracování a dopravu a končí v maloobchodu. Postupy a normy jsou transparentní a dostupné spotřebitelům, a jejich dodržování je ověřováno několikastupňovou kontrolou.  Spotřebitelům je tak zajištěna vyšší kvalita produkce s jasně definovanými parametry. V ČR se podařilo dostat do povědomí </w:t>
      </w:r>
      <w:bookmarkEnd w:id="1014"/>
      <w:r w:rsidRPr="00D95127">
        <w:t>spotřebitelů několik málo značek kvality (</w:t>
      </w:r>
      <w:r w:rsidRPr="00D95127">
        <w:rPr>
          <w:b/>
        </w:rPr>
        <w:t>Klasa, Regionální potravina (RP), Bio potravina</w:t>
      </w:r>
      <w:r w:rsidRPr="00D95127">
        <w:t>). Klasa ani Regionální potravina však nejsou plnohodnotným řešením.</w:t>
      </w:r>
    </w:p>
    <w:p w14:paraId="2C8D63C0" w14:textId="617E84F4" w:rsidR="00A16DDB" w:rsidRPr="00D95127" w:rsidRDefault="00A16DDB" w:rsidP="009A1C4F">
      <w:pPr>
        <w:pStyle w:val="UZEIOdrky"/>
      </w:pPr>
      <w:r w:rsidRPr="00D95127">
        <w:t>Je zřejmé, že někteří spotřebitelé (ti s vyššími příjmy a mladé rodiny s dětmi) již žádají nebo ve větší míře začnou postupně žádat vyšší kvalitu, přičemž tyto systémy kvality nejsou stále vytvořeny. Data AC Nielsen potvrzují, že nejvíce zboží v promo akcích se kupuje v ČR a na Slovensku, což vypovídá o větší konkurenci mezi řetězci a větší citlivosti spotřebitelů na ceny než v jiných státech EU.</w:t>
      </w:r>
    </w:p>
    <w:p w14:paraId="47389577" w14:textId="4302960F" w:rsidR="00A16DDB" w:rsidRPr="00D95127" w:rsidRDefault="00A16DDB" w:rsidP="009A1C4F">
      <w:pPr>
        <w:pStyle w:val="UZEIOdrky"/>
      </w:pPr>
      <w:r w:rsidRPr="00D95127">
        <w:t xml:space="preserve">Konkurenceschopnost výroby vepřového masa v rámci evropského prostoru bude stále více ovlivněna </w:t>
      </w:r>
      <w:r w:rsidRPr="00D95127">
        <w:rPr>
          <w:b/>
        </w:rPr>
        <w:t>požadavky kladenými zejména na dobré životní podmínky v chovu prasat (DŽPZ)</w:t>
      </w:r>
      <w:r w:rsidRPr="00D95127">
        <w:t>, a na zdraví zvířat neboť tato témata označila EK jako jednu ze svých priorit. Je tedy možné očekávat tlak společnosti na zvyšování nadstandardních podmínek DŽPZ. V rámci EU jsou nejvýznamnější požadavky v oblasti kastrace kanečků, na plošné uplatňování krácení ocásků a zkracování zubů u selat, na zvýšení prostoru u prasnic v porodnách. Poslední uvedené opatření bude vyvolávat potřebu nových investic splňujících tyto nadstandardní požadavky. V rámci zdraví zvířat budou zesilovat požadavky na omezování nadužívání antimikrobik v chovech, s cílem snižovat výskyt jejich reziduí v produktech z vepřového masa.</w:t>
      </w:r>
    </w:p>
    <w:p w14:paraId="1FAAA58E" w14:textId="77777777" w:rsidR="009A1C4F" w:rsidRDefault="009A1C4F">
      <w:pPr>
        <w:spacing w:after="160" w:line="259" w:lineRule="auto"/>
        <w:jc w:val="left"/>
        <w:rPr>
          <w:rFonts w:eastAsiaTheme="majorEastAsia" w:cs="Times New Roman"/>
          <w:b/>
          <w:bCs/>
          <w:sz w:val="28"/>
          <w:szCs w:val="32"/>
          <w:lang w:val="cs-CZ"/>
        </w:rPr>
      </w:pPr>
      <w:bookmarkStart w:id="1015" w:name="_Toc15304104"/>
      <w:bookmarkStart w:id="1016" w:name="_Toc23509925"/>
      <w:bookmarkStart w:id="1017" w:name="_Toc76137455"/>
      <w:bookmarkStart w:id="1018" w:name="_Toc76637654"/>
      <w:bookmarkStart w:id="1019" w:name="_Toc80953343"/>
      <w:r>
        <w:br w:type="page"/>
      </w:r>
    </w:p>
    <w:p w14:paraId="60CAD277" w14:textId="5543A8AC" w:rsidR="00A16DDB" w:rsidRPr="00D95127" w:rsidRDefault="00A16DDB" w:rsidP="009A1C4F">
      <w:pPr>
        <w:pStyle w:val="Nadpis1"/>
      </w:pPr>
      <w:bookmarkStart w:id="1020" w:name="_Toc81739296"/>
      <w:r w:rsidRPr="00D95127">
        <w:t>Jak závažný je tento problém?</w:t>
      </w:r>
      <w:bookmarkEnd w:id="1015"/>
      <w:bookmarkEnd w:id="1016"/>
      <w:bookmarkEnd w:id="1017"/>
      <w:bookmarkEnd w:id="1018"/>
      <w:bookmarkEnd w:id="1019"/>
      <w:bookmarkEnd w:id="1020"/>
    </w:p>
    <w:p w14:paraId="5FF91012" w14:textId="4B2A2EA7" w:rsidR="00A16DDB" w:rsidRPr="00D95127" w:rsidRDefault="00A16DDB" w:rsidP="009A1C4F">
      <w:pPr>
        <w:pStyle w:val="UZEINormaln"/>
      </w:pPr>
      <w:r w:rsidRPr="00D95127">
        <w:t>Na základě dosažených výsledků z roku  2016 až 2020 se očekává, že komodita nenaplní cíle strategie</w:t>
      </w:r>
      <w:r w:rsidRPr="00D95127">
        <w:rPr>
          <w:rStyle w:val="Znakapoznpodarou"/>
        </w:rPr>
        <w:footnoteReference w:id="41"/>
      </w:r>
      <w:r w:rsidRPr="00D95127">
        <w:t xml:space="preserve"> v roce 2020, zejména ukazatel míry soběstačnosti, který se v důsledku zvyšujících se dovozů vepřového masa snižuje. </w:t>
      </w:r>
      <w:r w:rsidRPr="00D95127">
        <w:rPr>
          <w:color w:val="000000"/>
        </w:rPr>
        <w:t xml:space="preserve">Od roku 2012 do roku 2020 se snížila míra soběstačnosti z 54,5 % na 51,5 %, tj. o 3,0 p. b. </w:t>
      </w:r>
      <w:r w:rsidRPr="00D95127">
        <w:t xml:space="preserve">Proti roku 2010 však byla nižší o 12,1 p. b. Naproti tomu soběstačnost EU 27 dosahuje 108 %, Dánsko 665 %, Německo 107 %, Polsko 112 %, Rakousko 106 % a Maďarsko 96 %. </w:t>
      </w:r>
    </w:p>
    <w:p w14:paraId="70EA7181" w14:textId="08F56C8F" w:rsidR="00A16DDB" w:rsidRPr="00D95127" w:rsidRDefault="00A16DDB" w:rsidP="009A1C4F">
      <w:pPr>
        <w:pStyle w:val="UZEITaB"/>
        <w:tabs>
          <w:tab w:val="left" w:pos="1134"/>
        </w:tabs>
        <w:ind w:left="1418" w:hanging="1418"/>
      </w:pPr>
      <w:bookmarkStart w:id="1021" w:name="_Toc81738535"/>
      <w:r w:rsidRPr="00D95127">
        <w:t>Ukazatele plnění Strategie českého zemědělství do roku 2030</w:t>
      </w:r>
      <w:bookmarkEnd w:id="1021"/>
    </w:p>
    <w:tbl>
      <w:tblPr>
        <w:tblW w:w="9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405"/>
        <w:gridCol w:w="855"/>
        <w:gridCol w:w="704"/>
        <w:gridCol w:w="584"/>
        <w:gridCol w:w="605"/>
        <w:gridCol w:w="910"/>
        <w:gridCol w:w="567"/>
        <w:gridCol w:w="589"/>
        <w:gridCol w:w="714"/>
        <w:gridCol w:w="736"/>
        <w:gridCol w:w="757"/>
      </w:tblGrid>
      <w:tr w:rsidR="00A16DDB" w:rsidRPr="009A1C4F" w14:paraId="6AA08E0E" w14:textId="77777777" w:rsidTr="007A627A">
        <w:trPr>
          <w:trHeight w:val="532"/>
          <w:jc w:val="center"/>
        </w:trPr>
        <w:tc>
          <w:tcPr>
            <w:tcW w:w="2405" w:type="dxa"/>
            <w:shd w:val="clear" w:color="auto" w:fill="auto"/>
            <w:tcMar>
              <w:top w:w="15" w:type="dxa"/>
              <w:left w:w="15" w:type="dxa"/>
              <w:bottom w:w="0" w:type="dxa"/>
              <w:right w:w="15" w:type="dxa"/>
            </w:tcMar>
            <w:vAlign w:val="center"/>
            <w:hideMark/>
          </w:tcPr>
          <w:p w14:paraId="6D116270" w14:textId="77777777" w:rsidR="00A16DDB" w:rsidRPr="009A1C4F" w:rsidRDefault="00A16DDB" w:rsidP="007A627A">
            <w:pPr>
              <w:rPr>
                <w:rFonts w:cs="Times New Roman"/>
                <w:iCs/>
                <w:sz w:val="20"/>
                <w:szCs w:val="20"/>
                <w:lang w:val="cs-CZ"/>
              </w:rPr>
            </w:pPr>
            <w:r w:rsidRPr="009A1C4F">
              <w:rPr>
                <w:rFonts w:cs="Times New Roman"/>
                <w:bCs/>
                <w:iCs/>
                <w:sz w:val="20"/>
                <w:szCs w:val="20"/>
                <w:lang w:val="cs-CZ"/>
              </w:rPr>
              <w:t xml:space="preserve"> Ukazatel </w:t>
            </w:r>
          </w:p>
        </w:tc>
        <w:tc>
          <w:tcPr>
            <w:tcW w:w="855" w:type="dxa"/>
            <w:shd w:val="clear" w:color="auto" w:fill="auto"/>
            <w:tcMar>
              <w:top w:w="15" w:type="dxa"/>
              <w:left w:w="15" w:type="dxa"/>
              <w:bottom w:w="0" w:type="dxa"/>
              <w:right w:w="15" w:type="dxa"/>
            </w:tcMar>
            <w:vAlign w:val="center"/>
            <w:hideMark/>
          </w:tcPr>
          <w:p w14:paraId="4EFA5733" w14:textId="77777777" w:rsidR="00A16DDB" w:rsidRPr="009A1C4F" w:rsidRDefault="00A16DDB" w:rsidP="007A627A">
            <w:pPr>
              <w:rPr>
                <w:rFonts w:cs="Times New Roman"/>
                <w:iCs/>
                <w:sz w:val="20"/>
                <w:szCs w:val="20"/>
                <w:lang w:val="cs-CZ"/>
              </w:rPr>
            </w:pPr>
            <w:r w:rsidRPr="009A1C4F">
              <w:rPr>
                <w:rFonts w:cs="Times New Roman"/>
                <w:bCs/>
                <w:iCs/>
                <w:sz w:val="20"/>
                <w:szCs w:val="20"/>
                <w:lang w:val="cs-CZ"/>
              </w:rPr>
              <w:t>Výchozí (ref.) hodnota</w:t>
            </w:r>
          </w:p>
        </w:tc>
        <w:tc>
          <w:tcPr>
            <w:tcW w:w="704" w:type="dxa"/>
            <w:shd w:val="clear" w:color="auto" w:fill="auto"/>
            <w:tcMar>
              <w:top w:w="15" w:type="dxa"/>
              <w:left w:w="15" w:type="dxa"/>
              <w:bottom w:w="0" w:type="dxa"/>
              <w:right w:w="15" w:type="dxa"/>
            </w:tcMar>
            <w:vAlign w:val="center"/>
            <w:hideMark/>
          </w:tcPr>
          <w:p w14:paraId="74F02ABF" w14:textId="77777777" w:rsidR="00A16DDB" w:rsidRPr="009A1C4F" w:rsidRDefault="00A16DDB" w:rsidP="007A627A">
            <w:pPr>
              <w:jc w:val="center"/>
              <w:rPr>
                <w:rFonts w:cs="Times New Roman"/>
                <w:iCs/>
                <w:sz w:val="20"/>
                <w:szCs w:val="20"/>
                <w:lang w:val="cs-CZ"/>
              </w:rPr>
            </w:pPr>
            <w:r w:rsidRPr="009A1C4F">
              <w:rPr>
                <w:rFonts w:cs="Times New Roman"/>
                <w:bCs/>
                <w:iCs/>
                <w:sz w:val="20"/>
                <w:szCs w:val="20"/>
                <w:lang w:val="cs-CZ"/>
              </w:rPr>
              <w:t>2015</w:t>
            </w:r>
          </w:p>
        </w:tc>
        <w:tc>
          <w:tcPr>
            <w:tcW w:w="584" w:type="dxa"/>
            <w:shd w:val="clear" w:color="auto" w:fill="auto"/>
            <w:tcMar>
              <w:top w:w="15" w:type="dxa"/>
              <w:left w:w="15" w:type="dxa"/>
              <w:bottom w:w="0" w:type="dxa"/>
              <w:right w:w="15" w:type="dxa"/>
            </w:tcMar>
            <w:vAlign w:val="center"/>
            <w:hideMark/>
          </w:tcPr>
          <w:p w14:paraId="3CA4DED1" w14:textId="77777777" w:rsidR="00A16DDB" w:rsidRPr="009A1C4F" w:rsidRDefault="00A16DDB" w:rsidP="007A627A">
            <w:pPr>
              <w:jc w:val="center"/>
              <w:rPr>
                <w:rFonts w:cs="Times New Roman"/>
                <w:iCs/>
                <w:sz w:val="20"/>
                <w:szCs w:val="20"/>
                <w:lang w:val="cs-CZ"/>
              </w:rPr>
            </w:pPr>
            <w:r w:rsidRPr="009A1C4F">
              <w:rPr>
                <w:rFonts w:cs="Times New Roman"/>
                <w:bCs/>
                <w:iCs/>
                <w:sz w:val="20"/>
                <w:szCs w:val="20"/>
                <w:lang w:val="cs-CZ"/>
              </w:rPr>
              <w:t>2016</w:t>
            </w:r>
          </w:p>
        </w:tc>
        <w:tc>
          <w:tcPr>
            <w:tcW w:w="605" w:type="dxa"/>
            <w:shd w:val="clear" w:color="auto" w:fill="auto"/>
            <w:tcMar>
              <w:top w:w="15" w:type="dxa"/>
              <w:left w:w="15" w:type="dxa"/>
              <w:bottom w:w="0" w:type="dxa"/>
              <w:right w:w="15" w:type="dxa"/>
            </w:tcMar>
            <w:vAlign w:val="center"/>
            <w:hideMark/>
          </w:tcPr>
          <w:p w14:paraId="1C04D477" w14:textId="77777777" w:rsidR="00A16DDB" w:rsidRPr="009A1C4F" w:rsidRDefault="00A16DDB" w:rsidP="007A627A">
            <w:pPr>
              <w:jc w:val="center"/>
              <w:rPr>
                <w:rFonts w:cs="Times New Roman"/>
                <w:bCs/>
                <w:iCs/>
                <w:sz w:val="20"/>
                <w:szCs w:val="20"/>
                <w:lang w:val="cs-CZ"/>
              </w:rPr>
            </w:pPr>
            <w:r w:rsidRPr="009A1C4F">
              <w:rPr>
                <w:rFonts w:cs="Times New Roman"/>
                <w:bCs/>
                <w:iCs/>
                <w:sz w:val="20"/>
                <w:szCs w:val="20"/>
                <w:lang w:val="cs-CZ"/>
              </w:rPr>
              <w:t>2017</w:t>
            </w:r>
          </w:p>
        </w:tc>
        <w:tc>
          <w:tcPr>
            <w:tcW w:w="910" w:type="dxa"/>
            <w:vAlign w:val="center"/>
          </w:tcPr>
          <w:p w14:paraId="00579939" w14:textId="77777777" w:rsidR="00A16DDB" w:rsidRPr="009A1C4F" w:rsidRDefault="00A16DDB" w:rsidP="007A627A">
            <w:pPr>
              <w:jc w:val="center"/>
              <w:rPr>
                <w:rFonts w:cs="Times New Roman"/>
                <w:bCs/>
                <w:iCs/>
                <w:sz w:val="20"/>
                <w:szCs w:val="20"/>
                <w:lang w:val="cs-CZ"/>
              </w:rPr>
            </w:pPr>
            <w:r w:rsidRPr="009A1C4F">
              <w:rPr>
                <w:rFonts w:cs="Times New Roman"/>
                <w:bCs/>
                <w:iCs/>
                <w:sz w:val="20"/>
                <w:szCs w:val="20"/>
                <w:lang w:val="cs-CZ"/>
              </w:rPr>
              <w:t>2018</w:t>
            </w:r>
          </w:p>
        </w:tc>
        <w:tc>
          <w:tcPr>
            <w:tcW w:w="567" w:type="dxa"/>
            <w:vAlign w:val="center"/>
          </w:tcPr>
          <w:p w14:paraId="3B9DD7D4" w14:textId="77777777" w:rsidR="00A16DDB" w:rsidRPr="009A1C4F" w:rsidRDefault="00A16DDB" w:rsidP="007A627A">
            <w:pPr>
              <w:jc w:val="center"/>
              <w:rPr>
                <w:rFonts w:cs="Times New Roman"/>
                <w:bCs/>
                <w:iCs/>
                <w:sz w:val="20"/>
                <w:szCs w:val="20"/>
                <w:lang w:val="cs-CZ"/>
              </w:rPr>
            </w:pPr>
            <w:r w:rsidRPr="009A1C4F">
              <w:rPr>
                <w:rFonts w:cs="Times New Roman"/>
                <w:bCs/>
                <w:iCs/>
                <w:sz w:val="20"/>
                <w:szCs w:val="20"/>
                <w:lang w:val="cs-CZ"/>
              </w:rPr>
              <w:t>2019</w:t>
            </w:r>
          </w:p>
        </w:tc>
        <w:tc>
          <w:tcPr>
            <w:tcW w:w="589" w:type="dxa"/>
            <w:vAlign w:val="center"/>
          </w:tcPr>
          <w:p w14:paraId="316DBBBB" w14:textId="77777777" w:rsidR="00A16DDB" w:rsidRPr="009A1C4F" w:rsidRDefault="00A16DDB" w:rsidP="007A627A">
            <w:pPr>
              <w:jc w:val="center"/>
              <w:rPr>
                <w:rFonts w:cs="Times New Roman"/>
                <w:bCs/>
                <w:iCs/>
                <w:sz w:val="20"/>
                <w:szCs w:val="20"/>
                <w:lang w:val="cs-CZ"/>
              </w:rPr>
            </w:pPr>
            <w:r w:rsidRPr="009A1C4F">
              <w:rPr>
                <w:rFonts w:cs="Times New Roman"/>
                <w:bCs/>
                <w:iCs/>
                <w:sz w:val="20"/>
                <w:szCs w:val="20"/>
                <w:lang w:val="cs-CZ"/>
              </w:rPr>
              <w:t>2020</w:t>
            </w:r>
          </w:p>
        </w:tc>
        <w:tc>
          <w:tcPr>
            <w:tcW w:w="714" w:type="dxa"/>
            <w:shd w:val="clear" w:color="auto" w:fill="auto"/>
            <w:tcMar>
              <w:top w:w="15" w:type="dxa"/>
              <w:left w:w="15" w:type="dxa"/>
              <w:bottom w:w="0" w:type="dxa"/>
              <w:right w:w="15" w:type="dxa"/>
            </w:tcMar>
            <w:vAlign w:val="center"/>
            <w:hideMark/>
          </w:tcPr>
          <w:p w14:paraId="59C7C362" w14:textId="77777777" w:rsidR="00A16DDB" w:rsidRPr="009A1C4F" w:rsidRDefault="00A16DDB" w:rsidP="007A627A">
            <w:pPr>
              <w:jc w:val="center"/>
              <w:rPr>
                <w:rFonts w:cs="Times New Roman"/>
                <w:bCs/>
                <w:iCs/>
                <w:sz w:val="20"/>
                <w:szCs w:val="20"/>
                <w:lang w:val="cs-CZ"/>
              </w:rPr>
            </w:pPr>
            <w:r w:rsidRPr="009A1C4F">
              <w:rPr>
                <w:rFonts w:cs="Times New Roman"/>
                <w:bCs/>
                <w:iCs/>
                <w:sz w:val="20"/>
                <w:szCs w:val="20"/>
                <w:lang w:val="cs-CZ"/>
              </w:rPr>
              <w:t>Cíl</w:t>
            </w:r>
          </w:p>
          <w:p w14:paraId="5F9F6742" w14:textId="77777777" w:rsidR="00A16DDB" w:rsidRPr="009A1C4F" w:rsidRDefault="00A16DDB" w:rsidP="007A627A">
            <w:pPr>
              <w:jc w:val="center"/>
              <w:rPr>
                <w:rFonts w:cs="Times New Roman"/>
                <w:bCs/>
                <w:iCs/>
                <w:sz w:val="20"/>
                <w:szCs w:val="20"/>
                <w:lang w:val="cs-CZ"/>
              </w:rPr>
            </w:pPr>
            <w:r w:rsidRPr="009A1C4F">
              <w:rPr>
                <w:rFonts w:cs="Times New Roman"/>
                <w:bCs/>
                <w:iCs/>
                <w:sz w:val="20"/>
                <w:szCs w:val="20"/>
                <w:lang w:val="cs-CZ"/>
              </w:rPr>
              <w:t>2020</w:t>
            </w:r>
          </w:p>
        </w:tc>
        <w:tc>
          <w:tcPr>
            <w:tcW w:w="736" w:type="dxa"/>
            <w:shd w:val="clear" w:color="auto" w:fill="auto"/>
            <w:tcMar>
              <w:top w:w="15" w:type="dxa"/>
              <w:left w:w="15" w:type="dxa"/>
              <w:bottom w:w="0" w:type="dxa"/>
              <w:right w:w="15" w:type="dxa"/>
            </w:tcMar>
            <w:vAlign w:val="center"/>
            <w:hideMark/>
          </w:tcPr>
          <w:p w14:paraId="014934F5" w14:textId="77777777" w:rsidR="00A16DDB" w:rsidRPr="009A1C4F" w:rsidRDefault="00A16DDB" w:rsidP="007A627A">
            <w:pPr>
              <w:jc w:val="center"/>
              <w:rPr>
                <w:rFonts w:cs="Times New Roman"/>
                <w:iCs/>
                <w:sz w:val="20"/>
                <w:szCs w:val="20"/>
                <w:lang w:val="cs-CZ"/>
              </w:rPr>
            </w:pPr>
            <w:r w:rsidRPr="009A1C4F">
              <w:rPr>
                <w:rFonts w:cs="Times New Roman"/>
                <w:bCs/>
                <w:iCs/>
                <w:sz w:val="20"/>
                <w:szCs w:val="20"/>
                <w:lang w:val="cs-CZ"/>
              </w:rPr>
              <w:t>Cíl</w:t>
            </w:r>
          </w:p>
          <w:p w14:paraId="708156A5" w14:textId="77777777" w:rsidR="00A16DDB" w:rsidRPr="009A1C4F" w:rsidRDefault="00A16DDB" w:rsidP="007A627A">
            <w:pPr>
              <w:jc w:val="center"/>
              <w:rPr>
                <w:rFonts w:cs="Times New Roman"/>
                <w:iCs/>
                <w:sz w:val="20"/>
                <w:szCs w:val="20"/>
                <w:lang w:val="cs-CZ"/>
              </w:rPr>
            </w:pPr>
            <w:r w:rsidRPr="009A1C4F">
              <w:rPr>
                <w:rFonts w:cs="Times New Roman"/>
                <w:bCs/>
                <w:iCs/>
                <w:sz w:val="20"/>
                <w:szCs w:val="20"/>
                <w:lang w:val="cs-CZ"/>
              </w:rPr>
              <w:t>2025</w:t>
            </w:r>
          </w:p>
        </w:tc>
        <w:tc>
          <w:tcPr>
            <w:tcW w:w="757" w:type="dxa"/>
            <w:shd w:val="clear" w:color="auto" w:fill="auto"/>
            <w:tcMar>
              <w:top w:w="15" w:type="dxa"/>
              <w:left w:w="15" w:type="dxa"/>
              <w:bottom w:w="0" w:type="dxa"/>
              <w:right w:w="15" w:type="dxa"/>
            </w:tcMar>
            <w:vAlign w:val="center"/>
            <w:hideMark/>
          </w:tcPr>
          <w:p w14:paraId="2CE5E843" w14:textId="77777777" w:rsidR="00A16DDB" w:rsidRPr="009A1C4F" w:rsidRDefault="00A16DDB" w:rsidP="007A627A">
            <w:pPr>
              <w:jc w:val="center"/>
              <w:rPr>
                <w:rFonts w:cs="Times New Roman"/>
                <w:iCs/>
                <w:sz w:val="20"/>
                <w:szCs w:val="20"/>
                <w:lang w:val="cs-CZ"/>
              </w:rPr>
            </w:pPr>
            <w:r w:rsidRPr="009A1C4F">
              <w:rPr>
                <w:rFonts w:cs="Times New Roman"/>
                <w:bCs/>
                <w:iCs/>
                <w:sz w:val="20"/>
                <w:szCs w:val="20"/>
                <w:lang w:val="cs-CZ"/>
              </w:rPr>
              <w:t>Cíl</w:t>
            </w:r>
          </w:p>
          <w:p w14:paraId="0B0C1C26" w14:textId="77777777" w:rsidR="00A16DDB" w:rsidRPr="009A1C4F" w:rsidRDefault="00A16DDB" w:rsidP="007A627A">
            <w:pPr>
              <w:jc w:val="center"/>
              <w:rPr>
                <w:rFonts w:cs="Times New Roman"/>
                <w:iCs/>
                <w:sz w:val="20"/>
                <w:szCs w:val="20"/>
                <w:lang w:val="cs-CZ"/>
              </w:rPr>
            </w:pPr>
            <w:r w:rsidRPr="009A1C4F">
              <w:rPr>
                <w:rFonts w:cs="Times New Roman"/>
                <w:bCs/>
                <w:iCs/>
                <w:sz w:val="20"/>
                <w:szCs w:val="20"/>
                <w:lang w:val="cs-CZ"/>
              </w:rPr>
              <w:t>2030</w:t>
            </w:r>
          </w:p>
        </w:tc>
      </w:tr>
      <w:tr w:rsidR="00A16DDB" w:rsidRPr="009A1C4F" w14:paraId="53C1373D" w14:textId="77777777" w:rsidTr="007A627A">
        <w:trPr>
          <w:trHeight w:val="55"/>
          <w:jc w:val="center"/>
        </w:trPr>
        <w:tc>
          <w:tcPr>
            <w:tcW w:w="2405" w:type="dxa"/>
            <w:shd w:val="clear" w:color="auto" w:fill="auto"/>
            <w:tcMar>
              <w:top w:w="15" w:type="dxa"/>
              <w:left w:w="15" w:type="dxa"/>
              <w:bottom w:w="0" w:type="dxa"/>
              <w:right w:w="15" w:type="dxa"/>
            </w:tcMar>
            <w:vAlign w:val="center"/>
            <w:hideMark/>
          </w:tcPr>
          <w:p w14:paraId="2C76AE64" w14:textId="77777777" w:rsidR="00A16DDB" w:rsidRPr="009A1C4F" w:rsidRDefault="00A16DDB" w:rsidP="007A627A">
            <w:pPr>
              <w:rPr>
                <w:rFonts w:cs="Times New Roman"/>
                <w:iCs/>
                <w:sz w:val="20"/>
                <w:szCs w:val="20"/>
                <w:lang w:val="cs-CZ"/>
              </w:rPr>
            </w:pPr>
            <w:r w:rsidRPr="009A1C4F">
              <w:rPr>
                <w:rFonts w:cs="Times New Roman"/>
                <w:bCs/>
                <w:iCs/>
                <w:sz w:val="20"/>
                <w:szCs w:val="20"/>
                <w:lang w:val="cs-CZ"/>
              </w:rPr>
              <w:t xml:space="preserve">Stav prasat celkem </w:t>
            </w:r>
          </w:p>
        </w:tc>
        <w:tc>
          <w:tcPr>
            <w:tcW w:w="855" w:type="dxa"/>
            <w:shd w:val="clear" w:color="auto" w:fill="auto"/>
            <w:tcMar>
              <w:top w:w="15" w:type="dxa"/>
              <w:left w:w="15" w:type="dxa"/>
              <w:bottom w:w="0" w:type="dxa"/>
              <w:right w:w="15" w:type="dxa"/>
            </w:tcMar>
            <w:vAlign w:val="center"/>
            <w:hideMark/>
          </w:tcPr>
          <w:p w14:paraId="600CFD1B" w14:textId="77777777" w:rsidR="00A16DDB" w:rsidRPr="009A1C4F" w:rsidRDefault="00A16DDB" w:rsidP="007A627A">
            <w:pPr>
              <w:jc w:val="right"/>
              <w:rPr>
                <w:rFonts w:cs="Times New Roman"/>
                <w:iCs/>
                <w:sz w:val="20"/>
                <w:szCs w:val="20"/>
                <w:lang w:val="cs-CZ"/>
              </w:rPr>
            </w:pPr>
            <w:r w:rsidRPr="009A1C4F">
              <w:rPr>
                <w:rFonts w:cs="Times New Roman"/>
                <w:bCs/>
                <w:iCs/>
                <w:sz w:val="20"/>
                <w:szCs w:val="20"/>
                <w:lang w:val="cs-CZ"/>
              </w:rPr>
              <w:t>1 555</w:t>
            </w:r>
          </w:p>
        </w:tc>
        <w:tc>
          <w:tcPr>
            <w:tcW w:w="704" w:type="dxa"/>
            <w:shd w:val="clear" w:color="auto" w:fill="auto"/>
            <w:tcMar>
              <w:top w:w="15" w:type="dxa"/>
              <w:left w:w="15" w:type="dxa"/>
              <w:bottom w:w="0" w:type="dxa"/>
              <w:right w:w="15" w:type="dxa"/>
            </w:tcMar>
            <w:vAlign w:val="center"/>
            <w:hideMark/>
          </w:tcPr>
          <w:p w14:paraId="6D56D949" w14:textId="77777777" w:rsidR="00A16DDB" w:rsidRPr="009A1C4F" w:rsidRDefault="00A16DDB" w:rsidP="007A627A">
            <w:pPr>
              <w:jc w:val="right"/>
              <w:rPr>
                <w:rFonts w:cs="Times New Roman"/>
                <w:iCs/>
                <w:sz w:val="20"/>
                <w:szCs w:val="20"/>
                <w:lang w:val="cs-CZ"/>
              </w:rPr>
            </w:pPr>
            <w:r w:rsidRPr="009A1C4F">
              <w:rPr>
                <w:rFonts w:cs="Times New Roman"/>
                <w:bCs/>
                <w:iCs/>
                <w:sz w:val="20"/>
                <w:szCs w:val="20"/>
                <w:lang w:val="cs-CZ"/>
              </w:rPr>
              <w:t>1 560</w:t>
            </w:r>
          </w:p>
        </w:tc>
        <w:tc>
          <w:tcPr>
            <w:tcW w:w="584" w:type="dxa"/>
            <w:shd w:val="clear" w:color="auto" w:fill="auto"/>
            <w:tcMar>
              <w:top w:w="15" w:type="dxa"/>
              <w:left w:w="15" w:type="dxa"/>
              <w:bottom w:w="0" w:type="dxa"/>
              <w:right w:w="15" w:type="dxa"/>
            </w:tcMar>
            <w:vAlign w:val="center"/>
            <w:hideMark/>
          </w:tcPr>
          <w:p w14:paraId="37DAB59D" w14:textId="77777777" w:rsidR="00A16DDB" w:rsidRPr="009A1C4F" w:rsidRDefault="00A16DDB" w:rsidP="007A627A">
            <w:pPr>
              <w:jc w:val="right"/>
              <w:rPr>
                <w:rFonts w:cs="Times New Roman"/>
                <w:iCs/>
                <w:sz w:val="20"/>
                <w:szCs w:val="20"/>
                <w:lang w:val="cs-CZ"/>
              </w:rPr>
            </w:pPr>
            <w:r w:rsidRPr="009A1C4F">
              <w:rPr>
                <w:rFonts w:cs="Times New Roman"/>
                <w:bCs/>
                <w:iCs/>
                <w:sz w:val="20"/>
                <w:szCs w:val="20"/>
                <w:lang w:val="cs-CZ"/>
              </w:rPr>
              <w:t>1 610</w:t>
            </w:r>
          </w:p>
        </w:tc>
        <w:tc>
          <w:tcPr>
            <w:tcW w:w="605" w:type="dxa"/>
            <w:shd w:val="clear" w:color="auto" w:fill="auto"/>
            <w:tcMar>
              <w:top w:w="15" w:type="dxa"/>
              <w:left w:w="15" w:type="dxa"/>
              <w:bottom w:w="0" w:type="dxa"/>
              <w:right w:w="15" w:type="dxa"/>
            </w:tcMar>
            <w:vAlign w:val="center"/>
            <w:hideMark/>
          </w:tcPr>
          <w:p w14:paraId="5C7617AF" w14:textId="77777777" w:rsidR="00A16DDB" w:rsidRPr="009A1C4F" w:rsidRDefault="00A16DDB" w:rsidP="007A627A">
            <w:pPr>
              <w:jc w:val="right"/>
              <w:rPr>
                <w:rFonts w:cs="Times New Roman"/>
                <w:iCs/>
                <w:sz w:val="20"/>
                <w:szCs w:val="20"/>
                <w:lang w:val="cs-CZ"/>
              </w:rPr>
            </w:pPr>
            <w:r w:rsidRPr="009A1C4F">
              <w:rPr>
                <w:rFonts w:cs="Times New Roman"/>
                <w:bCs/>
                <w:iCs/>
                <w:sz w:val="20"/>
                <w:szCs w:val="20"/>
                <w:lang w:val="cs-CZ"/>
              </w:rPr>
              <w:t>1 491</w:t>
            </w:r>
          </w:p>
        </w:tc>
        <w:tc>
          <w:tcPr>
            <w:tcW w:w="910" w:type="dxa"/>
          </w:tcPr>
          <w:p w14:paraId="397771A3" w14:textId="2C4C8D5E" w:rsidR="00A16DDB" w:rsidRPr="009A1C4F" w:rsidRDefault="00A16DDB" w:rsidP="007A627A">
            <w:pPr>
              <w:jc w:val="right"/>
              <w:rPr>
                <w:rFonts w:cs="Times New Roman"/>
                <w:bCs/>
                <w:iCs/>
                <w:sz w:val="20"/>
                <w:szCs w:val="20"/>
                <w:lang w:val="cs-CZ"/>
              </w:rPr>
            </w:pPr>
            <w:r w:rsidRPr="009A1C4F">
              <w:rPr>
                <w:rFonts w:cs="Times New Roman"/>
                <w:bCs/>
                <w:iCs/>
                <w:sz w:val="20"/>
                <w:szCs w:val="20"/>
                <w:lang w:val="cs-CZ"/>
              </w:rPr>
              <w:t>1 557</w:t>
            </w:r>
          </w:p>
        </w:tc>
        <w:tc>
          <w:tcPr>
            <w:tcW w:w="567" w:type="dxa"/>
          </w:tcPr>
          <w:p w14:paraId="364F449F" w14:textId="77777777" w:rsidR="00A16DDB" w:rsidRPr="009A1C4F" w:rsidRDefault="00A16DDB" w:rsidP="007A627A">
            <w:pPr>
              <w:jc w:val="right"/>
              <w:rPr>
                <w:rFonts w:cs="Times New Roman"/>
                <w:bCs/>
                <w:iCs/>
                <w:sz w:val="20"/>
                <w:szCs w:val="20"/>
                <w:lang w:val="cs-CZ"/>
              </w:rPr>
            </w:pPr>
            <w:r w:rsidRPr="009A1C4F">
              <w:rPr>
                <w:rFonts w:cs="Times New Roman"/>
                <w:bCs/>
                <w:iCs/>
                <w:sz w:val="20"/>
                <w:szCs w:val="20"/>
                <w:lang w:val="cs-CZ"/>
              </w:rPr>
              <w:t>1544</w:t>
            </w:r>
          </w:p>
        </w:tc>
        <w:tc>
          <w:tcPr>
            <w:tcW w:w="589" w:type="dxa"/>
          </w:tcPr>
          <w:p w14:paraId="1A084967" w14:textId="77777777" w:rsidR="00A16DDB" w:rsidRPr="009A1C4F" w:rsidRDefault="00A16DDB" w:rsidP="007A627A">
            <w:pPr>
              <w:jc w:val="right"/>
              <w:rPr>
                <w:rFonts w:cs="Times New Roman"/>
                <w:bCs/>
                <w:iCs/>
                <w:sz w:val="20"/>
                <w:szCs w:val="20"/>
                <w:lang w:val="cs-CZ"/>
              </w:rPr>
            </w:pPr>
            <w:r w:rsidRPr="009A1C4F">
              <w:rPr>
                <w:rFonts w:cs="Times New Roman"/>
                <w:bCs/>
                <w:iCs/>
                <w:sz w:val="20"/>
                <w:szCs w:val="20"/>
                <w:lang w:val="cs-CZ"/>
              </w:rPr>
              <w:t>1499</w:t>
            </w:r>
          </w:p>
        </w:tc>
        <w:tc>
          <w:tcPr>
            <w:tcW w:w="714" w:type="dxa"/>
            <w:shd w:val="clear" w:color="auto" w:fill="auto"/>
            <w:tcMar>
              <w:top w:w="15" w:type="dxa"/>
              <w:left w:w="15" w:type="dxa"/>
              <w:bottom w:w="0" w:type="dxa"/>
              <w:right w:w="15" w:type="dxa"/>
            </w:tcMar>
            <w:vAlign w:val="center"/>
            <w:hideMark/>
          </w:tcPr>
          <w:p w14:paraId="4AF4AC64" w14:textId="77777777" w:rsidR="00A16DDB" w:rsidRPr="009A1C4F" w:rsidRDefault="00A16DDB" w:rsidP="007A627A">
            <w:pPr>
              <w:jc w:val="right"/>
              <w:rPr>
                <w:rFonts w:cs="Times New Roman"/>
                <w:iCs/>
                <w:sz w:val="20"/>
                <w:szCs w:val="20"/>
                <w:lang w:val="cs-CZ"/>
              </w:rPr>
            </w:pPr>
            <w:r w:rsidRPr="009A1C4F">
              <w:rPr>
                <w:rFonts w:cs="Times New Roman"/>
                <w:bCs/>
                <w:iCs/>
                <w:sz w:val="20"/>
                <w:szCs w:val="20"/>
                <w:lang w:val="cs-CZ"/>
              </w:rPr>
              <w:t>1 800</w:t>
            </w:r>
          </w:p>
        </w:tc>
        <w:tc>
          <w:tcPr>
            <w:tcW w:w="736" w:type="dxa"/>
            <w:shd w:val="clear" w:color="auto" w:fill="auto"/>
            <w:tcMar>
              <w:top w:w="15" w:type="dxa"/>
              <w:left w:w="15" w:type="dxa"/>
              <w:bottom w:w="0" w:type="dxa"/>
              <w:right w:w="15" w:type="dxa"/>
            </w:tcMar>
            <w:vAlign w:val="center"/>
            <w:hideMark/>
          </w:tcPr>
          <w:p w14:paraId="2786461B" w14:textId="77777777" w:rsidR="00A16DDB" w:rsidRPr="009A1C4F" w:rsidRDefault="00A16DDB" w:rsidP="007A627A">
            <w:pPr>
              <w:jc w:val="right"/>
              <w:rPr>
                <w:rFonts w:cs="Times New Roman"/>
                <w:iCs/>
                <w:sz w:val="20"/>
                <w:szCs w:val="20"/>
                <w:lang w:val="cs-CZ"/>
              </w:rPr>
            </w:pPr>
            <w:r w:rsidRPr="009A1C4F">
              <w:rPr>
                <w:rFonts w:cs="Times New Roman"/>
                <w:bCs/>
                <w:iCs/>
                <w:sz w:val="20"/>
                <w:szCs w:val="20"/>
                <w:lang w:val="cs-CZ"/>
              </w:rPr>
              <w:t>2 100</w:t>
            </w:r>
          </w:p>
        </w:tc>
        <w:tc>
          <w:tcPr>
            <w:tcW w:w="757" w:type="dxa"/>
            <w:shd w:val="clear" w:color="auto" w:fill="auto"/>
            <w:tcMar>
              <w:top w:w="15" w:type="dxa"/>
              <w:left w:w="15" w:type="dxa"/>
              <w:bottom w:w="0" w:type="dxa"/>
              <w:right w:w="15" w:type="dxa"/>
            </w:tcMar>
            <w:vAlign w:val="center"/>
            <w:hideMark/>
          </w:tcPr>
          <w:p w14:paraId="653C421D" w14:textId="77777777" w:rsidR="00A16DDB" w:rsidRPr="009A1C4F" w:rsidRDefault="00A16DDB" w:rsidP="007A627A">
            <w:pPr>
              <w:jc w:val="right"/>
              <w:rPr>
                <w:rFonts w:cs="Times New Roman"/>
                <w:iCs/>
                <w:sz w:val="20"/>
                <w:szCs w:val="20"/>
                <w:lang w:val="cs-CZ"/>
              </w:rPr>
            </w:pPr>
            <w:r w:rsidRPr="009A1C4F">
              <w:rPr>
                <w:rFonts w:cs="Times New Roman"/>
                <w:bCs/>
                <w:iCs/>
                <w:sz w:val="20"/>
                <w:szCs w:val="20"/>
                <w:lang w:val="cs-CZ"/>
              </w:rPr>
              <w:t>2 400</w:t>
            </w:r>
          </w:p>
        </w:tc>
      </w:tr>
      <w:tr w:rsidR="00A16DDB" w:rsidRPr="009A1C4F" w14:paraId="78648E8B" w14:textId="77777777" w:rsidTr="007A627A">
        <w:trPr>
          <w:trHeight w:val="55"/>
          <w:jc w:val="center"/>
        </w:trPr>
        <w:tc>
          <w:tcPr>
            <w:tcW w:w="2405" w:type="dxa"/>
            <w:shd w:val="clear" w:color="auto" w:fill="auto"/>
            <w:tcMar>
              <w:top w:w="15" w:type="dxa"/>
              <w:left w:w="15" w:type="dxa"/>
              <w:bottom w:w="0" w:type="dxa"/>
              <w:right w:w="15" w:type="dxa"/>
            </w:tcMar>
            <w:vAlign w:val="center"/>
            <w:hideMark/>
          </w:tcPr>
          <w:p w14:paraId="3670FDCC" w14:textId="77777777" w:rsidR="00A16DDB" w:rsidRPr="009A1C4F" w:rsidRDefault="00A16DDB" w:rsidP="00DE7D57">
            <w:pPr>
              <w:pStyle w:val="Odstavecseseznamem"/>
              <w:numPr>
                <w:ilvl w:val="0"/>
                <w:numId w:val="7"/>
              </w:numPr>
              <w:spacing w:line="240" w:lineRule="auto"/>
              <w:rPr>
                <w:iCs/>
                <w:sz w:val="20"/>
                <w:szCs w:val="20"/>
              </w:rPr>
            </w:pPr>
            <w:r w:rsidRPr="009A1C4F">
              <w:rPr>
                <w:bCs/>
                <w:iCs/>
                <w:sz w:val="20"/>
                <w:szCs w:val="20"/>
              </w:rPr>
              <w:t>z toho stavy prasnic</w:t>
            </w:r>
          </w:p>
        </w:tc>
        <w:tc>
          <w:tcPr>
            <w:tcW w:w="855" w:type="dxa"/>
            <w:shd w:val="clear" w:color="auto" w:fill="auto"/>
            <w:tcMar>
              <w:top w:w="15" w:type="dxa"/>
              <w:left w:w="15" w:type="dxa"/>
              <w:bottom w:w="0" w:type="dxa"/>
              <w:right w:w="15" w:type="dxa"/>
            </w:tcMar>
            <w:vAlign w:val="center"/>
            <w:hideMark/>
          </w:tcPr>
          <w:p w14:paraId="27C53E66" w14:textId="77777777" w:rsidR="00A16DDB" w:rsidRPr="009A1C4F" w:rsidRDefault="00A16DDB" w:rsidP="007A627A">
            <w:pPr>
              <w:jc w:val="right"/>
              <w:rPr>
                <w:rFonts w:cs="Times New Roman"/>
                <w:iCs/>
                <w:sz w:val="20"/>
                <w:szCs w:val="20"/>
                <w:lang w:val="cs-CZ"/>
              </w:rPr>
            </w:pPr>
            <w:r w:rsidRPr="009A1C4F">
              <w:rPr>
                <w:rFonts w:cs="Times New Roman"/>
                <w:bCs/>
                <w:iCs/>
                <w:sz w:val="20"/>
                <w:szCs w:val="20"/>
                <w:lang w:val="cs-CZ"/>
              </w:rPr>
              <w:t>96</w:t>
            </w:r>
          </w:p>
        </w:tc>
        <w:tc>
          <w:tcPr>
            <w:tcW w:w="704" w:type="dxa"/>
            <w:shd w:val="clear" w:color="auto" w:fill="auto"/>
            <w:tcMar>
              <w:top w:w="15" w:type="dxa"/>
              <w:left w:w="15" w:type="dxa"/>
              <w:bottom w:w="0" w:type="dxa"/>
              <w:right w:w="15" w:type="dxa"/>
            </w:tcMar>
            <w:vAlign w:val="center"/>
            <w:hideMark/>
          </w:tcPr>
          <w:p w14:paraId="54F786E0" w14:textId="77777777" w:rsidR="00A16DDB" w:rsidRPr="009A1C4F" w:rsidRDefault="00A16DDB" w:rsidP="007A627A">
            <w:pPr>
              <w:jc w:val="right"/>
              <w:rPr>
                <w:rFonts w:cs="Times New Roman"/>
                <w:iCs/>
                <w:sz w:val="20"/>
                <w:szCs w:val="20"/>
                <w:lang w:val="cs-CZ"/>
              </w:rPr>
            </w:pPr>
            <w:r w:rsidRPr="009A1C4F">
              <w:rPr>
                <w:rFonts w:cs="Times New Roman"/>
                <w:bCs/>
                <w:iCs/>
                <w:sz w:val="20"/>
                <w:szCs w:val="20"/>
                <w:lang w:val="cs-CZ"/>
              </w:rPr>
              <w:t>96</w:t>
            </w:r>
          </w:p>
        </w:tc>
        <w:tc>
          <w:tcPr>
            <w:tcW w:w="584" w:type="dxa"/>
            <w:shd w:val="clear" w:color="auto" w:fill="auto"/>
            <w:tcMar>
              <w:top w:w="15" w:type="dxa"/>
              <w:left w:w="15" w:type="dxa"/>
              <w:bottom w:w="0" w:type="dxa"/>
              <w:right w:w="15" w:type="dxa"/>
            </w:tcMar>
            <w:vAlign w:val="center"/>
            <w:hideMark/>
          </w:tcPr>
          <w:p w14:paraId="36FE2594" w14:textId="77777777" w:rsidR="00A16DDB" w:rsidRPr="009A1C4F" w:rsidRDefault="00A16DDB" w:rsidP="007A627A">
            <w:pPr>
              <w:jc w:val="right"/>
              <w:rPr>
                <w:rFonts w:cs="Times New Roman"/>
                <w:iCs/>
                <w:sz w:val="20"/>
                <w:szCs w:val="20"/>
                <w:lang w:val="cs-CZ"/>
              </w:rPr>
            </w:pPr>
            <w:r w:rsidRPr="009A1C4F">
              <w:rPr>
                <w:rFonts w:cs="Times New Roman"/>
                <w:bCs/>
                <w:iCs/>
                <w:sz w:val="20"/>
                <w:szCs w:val="20"/>
                <w:lang w:val="cs-CZ"/>
              </w:rPr>
              <w:t>97</w:t>
            </w:r>
          </w:p>
        </w:tc>
        <w:tc>
          <w:tcPr>
            <w:tcW w:w="605" w:type="dxa"/>
            <w:shd w:val="clear" w:color="auto" w:fill="auto"/>
            <w:tcMar>
              <w:top w:w="15" w:type="dxa"/>
              <w:left w:w="15" w:type="dxa"/>
              <w:bottom w:w="0" w:type="dxa"/>
              <w:right w:w="15" w:type="dxa"/>
            </w:tcMar>
            <w:vAlign w:val="center"/>
            <w:hideMark/>
          </w:tcPr>
          <w:p w14:paraId="4EF46F50" w14:textId="77777777" w:rsidR="00A16DDB" w:rsidRPr="009A1C4F" w:rsidRDefault="00A16DDB" w:rsidP="007A627A">
            <w:pPr>
              <w:jc w:val="right"/>
              <w:rPr>
                <w:rFonts w:cs="Times New Roman"/>
                <w:iCs/>
                <w:sz w:val="20"/>
                <w:szCs w:val="20"/>
                <w:lang w:val="cs-CZ"/>
              </w:rPr>
            </w:pPr>
            <w:r w:rsidRPr="009A1C4F">
              <w:rPr>
                <w:rFonts w:cs="Times New Roman"/>
                <w:bCs/>
                <w:iCs/>
                <w:sz w:val="20"/>
                <w:szCs w:val="20"/>
                <w:lang w:val="cs-CZ"/>
              </w:rPr>
              <w:t>91</w:t>
            </w:r>
          </w:p>
        </w:tc>
        <w:tc>
          <w:tcPr>
            <w:tcW w:w="910" w:type="dxa"/>
          </w:tcPr>
          <w:p w14:paraId="125F3405" w14:textId="0FD81AAE" w:rsidR="00A16DDB" w:rsidRPr="009A1C4F" w:rsidRDefault="00A16DDB" w:rsidP="007A627A">
            <w:pPr>
              <w:jc w:val="right"/>
              <w:rPr>
                <w:rFonts w:cs="Times New Roman"/>
                <w:bCs/>
                <w:iCs/>
                <w:sz w:val="20"/>
                <w:szCs w:val="20"/>
                <w:lang w:val="cs-CZ"/>
              </w:rPr>
            </w:pPr>
            <w:r w:rsidRPr="009A1C4F">
              <w:rPr>
                <w:rFonts w:cs="Times New Roman"/>
                <w:bCs/>
                <w:iCs/>
                <w:sz w:val="20"/>
                <w:szCs w:val="20"/>
                <w:lang w:val="cs-CZ"/>
              </w:rPr>
              <w:t>92</w:t>
            </w:r>
          </w:p>
        </w:tc>
        <w:tc>
          <w:tcPr>
            <w:tcW w:w="567" w:type="dxa"/>
          </w:tcPr>
          <w:p w14:paraId="695B6321" w14:textId="77777777" w:rsidR="00A16DDB" w:rsidRPr="009A1C4F" w:rsidRDefault="00A16DDB" w:rsidP="007A627A">
            <w:pPr>
              <w:jc w:val="right"/>
              <w:rPr>
                <w:rFonts w:cs="Times New Roman"/>
                <w:bCs/>
                <w:iCs/>
                <w:sz w:val="20"/>
                <w:szCs w:val="20"/>
                <w:lang w:val="cs-CZ"/>
              </w:rPr>
            </w:pPr>
            <w:r w:rsidRPr="009A1C4F">
              <w:rPr>
                <w:rFonts w:cs="Times New Roman"/>
                <w:bCs/>
                <w:iCs/>
                <w:sz w:val="20"/>
                <w:szCs w:val="20"/>
                <w:lang w:val="cs-CZ"/>
              </w:rPr>
              <w:t>91</w:t>
            </w:r>
          </w:p>
        </w:tc>
        <w:tc>
          <w:tcPr>
            <w:tcW w:w="589" w:type="dxa"/>
          </w:tcPr>
          <w:p w14:paraId="71F6D57B" w14:textId="77777777" w:rsidR="00A16DDB" w:rsidRPr="009A1C4F" w:rsidRDefault="00A16DDB" w:rsidP="007A627A">
            <w:pPr>
              <w:jc w:val="right"/>
              <w:rPr>
                <w:rFonts w:cs="Times New Roman"/>
                <w:bCs/>
                <w:iCs/>
                <w:sz w:val="20"/>
                <w:szCs w:val="20"/>
                <w:lang w:val="cs-CZ"/>
              </w:rPr>
            </w:pPr>
            <w:r w:rsidRPr="009A1C4F">
              <w:rPr>
                <w:rFonts w:cs="Times New Roman"/>
                <w:bCs/>
                <w:iCs/>
                <w:sz w:val="20"/>
                <w:szCs w:val="20"/>
                <w:lang w:val="cs-CZ"/>
              </w:rPr>
              <w:t>88</w:t>
            </w:r>
          </w:p>
        </w:tc>
        <w:tc>
          <w:tcPr>
            <w:tcW w:w="714" w:type="dxa"/>
            <w:shd w:val="clear" w:color="auto" w:fill="auto"/>
            <w:tcMar>
              <w:top w:w="15" w:type="dxa"/>
              <w:left w:w="15" w:type="dxa"/>
              <w:bottom w:w="0" w:type="dxa"/>
              <w:right w:w="15" w:type="dxa"/>
            </w:tcMar>
            <w:vAlign w:val="center"/>
            <w:hideMark/>
          </w:tcPr>
          <w:p w14:paraId="2568D07D" w14:textId="77777777" w:rsidR="00A16DDB" w:rsidRPr="009A1C4F" w:rsidRDefault="00A16DDB" w:rsidP="007A627A">
            <w:pPr>
              <w:jc w:val="right"/>
              <w:rPr>
                <w:rFonts w:cs="Times New Roman"/>
                <w:iCs/>
                <w:sz w:val="20"/>
                <w:szCs w:val="20"/>
                <w:lang w:val="cs-CZ"/>
              </w:rPr>
            </w:pPr>
            <w:r w:rsidRPr="009A1C4F">
              <w:rPr>
                <w:rFonts w:cs="Times New Roman"/>
                <w:bCs/>
                <w:iCs/>
                <w:sz w:val="20"/>
                <w:szCs w:val="20"/>
                <w:lang w:val="cs-CZ"/>
              </w:rPr>
              <w:t>100</w:t>
            </w:r>
          </w:p>
        </w:tc>
        <w:tc>
          <w:tcPr>
            <w:tcW w:w="736" w:type="dxa"/>
            <w:shd w:val="clear" w:color="auto" w:fill="auto"/>
            <w:tcMar>
              <w:top w:w="15" w:type="dxa"/>
              <w:left w:w="15" w:type="dxa"/>
              <w:bottom w:w="0" w:type="dxa"/>
              <w:right w:w="15" w:type="dxa"/>
            </w:tcMar>
            <w:vAlign w:val="center"/>
            <w:hideMark/>
          </w:tcPr>
          <w:p w14:paraId="4113082D" w14:textId="77777777" w:rsidR="00A16DDB" w:rsidRPr="009A1C4F" w:rsidRDefault="00A16DDB" w:rsidP="007A627A">
            <w:pPr>
              <w:jc w:val="right"/>
              <w:rPr>
                <w:rFonts w:cs="Times New Roman"/>
                <w:iCs/>
                <w:sz w:val="20"/>
                <w:szCs w:val="20"/>
                <w:lang w:val="cs-CZ"/>
              </w:rPr>
            </w:pPr>
            <w:r w:rsidRPr="009A1C4F">
              <w:rPr>
                <w:rFonts w:cs="Times New Roman"/>
                <w:bCs/>
                <w:iCs/>
                <w:sz w:val="20"/>
                <w:szCs w:val="20"/>
                <w:lang w:val="cs-CZ"/>
              </w:rPr>
              <w:t>110</w:t>
            </w:r>
          </w:p>
        </w:tc>
        <w:tc>
          <w:tcPr>
            <w:tcW w:w="757" w:type="dxa"/>
            <w:shd w:val="clear" w:color="auto" w:fill="auto"/>
            <w:tcMar>
              <w:top w:w="15" w:type="dxa"/>
              <w:left w:w="15" w:type="dxa"/>
              <w:bottom w:w="0" w:type="dxa"/>
              <w:right w:w="15" w:type="dxa"/>
            </w:tcMar>
            <w:vAlign w:val="center"/>
            <w:hideMark/>
          </w:tcPr>
          <w:p w14:paraId="122D8C1A" w14:textId="77777777" w:rsidR="00A16DDB" w:rsidRPr="009A1C4F" w:rsidRDefault="00A16DDB" w:rsidP="007A627A">
            <w:pPr>
              <w:jc w:val="right"/>
              <w:rPr>
                <w:rFonts w:cs="Times New Roman"/>
                <w:iCs/>
                <w:sz w:val="20"/>
                <w:szCs w:val="20"/>
                <w:lang w:val="cs-CZ"/>
              </w:rPr>
            </w:pPr>
            <w:r w:rsidRPr="009A1C4F">
              <w:rPr>
                <w:rFonts w:cs="Times New Roman"/>
                <w:bCs/>
                <w:iCs/>
                <w:sz w:val="20"/>
                <w:szCs w:val="20"/>
                <w:lang w:val="cs-CZ"/>
              </w:rPr>
              <w:t>120</w:t>
            </w:r>
          </w:p>
        </w:tc>
      </w:tr>
      <w:tr w:rsidR="00A16DDB" w:rsidRPr="009A1C4F" w14:paraId="250C839F" w14:textId="77777777" w:rsidTr="007A627A">
        <w:trPr>
          <w:trHeight w:val="55"/>
          <w:jc w:val="center"/>
        </w:trPr>
        <w:tc>
          <w:tcPr>
            <w:tcW w:w="2405" w:type="dxa"/>
            <w:shd w:val="clear" w:color="auto" w:fill="auto"/>
            <w:tcMar>
              <w:top w:w="15" w:type="dxa"/>
              <w:left w:w="15" w:type="dxa"/>
              <w:bottom w:w="0" w:type="dxa"/>
              <w:right w:w="15" w:type="dxa"/>
            </w:tcMar>
            <w:vAlign w:val="center"/>
            <w:hideMark/>
          </w:tcPr>
          <w:p w14:paraId="44BD672D" w14:textId="70843C48" w:rsidR="00A16DDB" w:rsidRPr="009A1C4F" w:rsidRDefault="00A16DDB" w:rsidP="007A627A">
            <w:pPr>
              <w:rPr>
                <w:rFonts w:cs="Times New Roman"/>
                <w:iCs/>
                <w:sz w:val="20"/>
                <w:szCs w:val="20"/>
                <w:lang w:val="cs-CZ"/>
              </w:rPr>
            </w:pPr>
            <w:r w:rsidRPr="009A1C4F">
              <w:rPr>
                <w:rFonts w:cs="Times New Roman"/>
                <w:bCs/>
                <w:iCs/>
                <w:sz w:val="20"/>
                <w:szCs w:val="20"/>
                <w:lang w:val="cs-CZ"/>
              </w:rPr>
              <w:t>Míra krytí spotřeby vepř. masa</w:t>
            </w:r>
          </w:p>
        </w:tc>
        <w:tc>
          <w:tcPr>
            <w:tcW w:w="855" w:type="dxa"/>
            <w:shd w:val="clear" w:color="auto" w:fill="auto"/>
            <w:tcMar>
              <w:top w:w="15" w:type="dxa"/>
              <w:left w:w="15" w:type="dxa"/>
              <w:bottom w:w="0" w:type="dxa"/>
              <w:right w:w="15" w:type="dxa"/>
            </w:tcMar>
            <w:vAlign w:val="center"/>
            <w:hideMark/>
          </w:tcPr>
          <w:p w14:paraId="312C0CC7" w14:textId="77777777" w:rsidR="00A16DDB" w:rsidRPr="009A1C4F" w:rsidRDefault="00A16DDB" w:rsidP="007A627A">
            <w:pPr>
              <w:jc w:val="right"/>
              <w:rPr>
                <w:rFonts w:cs="Times New Roman"/>
                <w:iCs/>
                <w:sz w:val="20"/>
                <w:szCs w:val="20"/>
                <w:lang w:val="cs-CZ"/>
              </w:rPr>
            </w:pPr>
            <w:r w:rsidRPr="009A1C4F">
              <w:rPr>
                <w:rFonts w:cs="Times New Roman"/>
                <w:bCs/>
                <w:iCs/>
                <w:sz w:val="20"/>
                <w:szCs w:val="20"/>
                <w:lang w:val="cs-CZ"/>
              </w:rPr>
              <w:t>55</w:t>
            </w:r>
          </w:p>
        </w:tc>
        <w:tc>
          <w:tcPr>
            <w:tcW w:w="704" w:type="dxa"/>
            <w:shd w:val="clear" w:color="auto" w:fill="auto"/>
            <w:tcMar>
              <w:top w:w="15" w:type="dxa"/>
              <w:left w:w="15" w:type="dxa"/>
              <w:bottom w:w="0" w:type="dxa"/>
              <w:right w:w="15" w:type="dxa"/>
            </w:tcMar>
            <w:vAlign w:val="center"/>
            <w:hideMark/>
          </w:tcPr>
          <w:p w14:paraId="01F3098F" w14:textId="77777777" w:rsidR="00A16DDB" w:rsidRPr="009A1C4F" w:rsidRDefault="00A16DDB" w:rsidP="007A627A">
            <w:pPr>
              <w:jc w:val="right"/>
              <w:rPr>
                <w:rFonts w:cs="Times New Roman"/>
                <w:iCs/>
                <w:sz w:val="20"/>
                <w:szCs w:val="20"/>
                <w:lang w:val="cs-CZ"/>
              </w:rPr>
            </w:pPr>
            <w:r w:rsidRPr="009A1C4F">
              <w:rPr>
                <w:rFonts w:cs="Times New Roman"/>
                <w:bCs/>
                <w:iCs/>
                <w:sz w:val="20"/>
                <w:szCs w:val="20"/>
                <w:lang w:val="cs-CZ"/>
              </w:rPr>
              <w:t>54</w:t>
            </w:r>
          </w:p>
        </w:tc>
        <w:tc>
          <w:tcPr>
            <w:tcW w:w="584" w:type="dxa"/>
            <w:shd w:val="clear" w:color="auto" w:fill="auto"/>
            <w:tcMar>
              <w:top w:w="15" w:type="dxa"/>
              <w:left w:w="15" w:type="dxa"/>
              <w:bottom w:w="0" w:type="dxa"/>
              <w:right w:w="15" w:type="dxa"/>
            </w:tcMar>
            <w:vAlign w:val="center"/>
            <w:hideMark/>
          </w:tcPr>
          <w:p w14:paraId="63C26F90" w14:textId="1C098367" w:rsidR="00A16DDB" w:rsidRPr="009A1C4F" w:rsidRDefault="00A16DDB" w:rsidP="007A627A">
            <w:pPr>
              <w:jc w:val="right"/>
              <w:rPr>
                <w:rFonts w:cs="Times New Roman"/>
                <w:iCs/>
                <w:sz w:val="20"/>
                <w:szCs w:val="20"/>
                <w:lang w:val="cs-CZ"/>
              </w:rPr>
            </w:pPr>
            <w:r w:rsidRPr="009A1C4F">
              <w:rPr>
                <w:rFonts w:cs="Times New Roman"/>
                <w:bCs/>
                <w:iCs/>
                <w:sz w:val="20"/>
                <w:szCs w:val="20"/>
                <w:lang w:val="cs-CZ"/>
              </w:rPr>
              <w:t>55</w:t>
            </w:r>
          </w:p>
        </w:tc>
        <w:tc>
          <w:tcPr>
            <w:tcW w:w="605" w:type="dxa"/>
            <w:shd w:val="clear" w:color="auto" w:fill="auto"/>
            <w:tcMar>
              <w:top w:w="15" w:type="dxa"/>
              <w:left w:w="15" w:type="dxa"/>
              <w:bottom w:w="0" w:type="dxa"/>
              <w:right w:w="15" w:type="dxa"/>
            </w:tcMar>
            <w:vAlign w:val="center"/>
            <w:hideMark/>
          </w:tcPr>
          <w:p w14:paraId="353EE57F" w14:textId="3402D9F7" w:rsidR="00A16DDB" w:rsidRPr="009A1C4F" w:rsidRDefault="00A16DDB" w:rsidP="007A627A">
            <w:pPr>
              <w:jc w:val="right"/>
              <w:rPr>
                <w:rFonts w:cs="Times New Roman"/>
                <w:iCs/>
                <w:sz w:val="20"/>
                <w:szCs w:val="20"/>
                <w:lang w:val="cs-CZ"/>
              </w:rPr>
            </w:pPr>
            <w:r w:rsidRPr="009A1C4F">
              <w:rPr>
                <w:rFonts w:cs="Times New Roman"/>
                <w:bCs/>
                <w:iCs/>
                <w:sz w:val="20"/>
                <w:szCs w:val="20"/>
                <w:lang w:val="cs-CZ"/>
              </w:rPr>
              <w:t>52</w:t>
            </w:r>
          </w:p>
        </w:tc>
        <w:tc>
          <w:tcPr>
            <w:tcW w:w="910" w:type="dxa"/>
            <w:vAlign w:val="center"/>
          </w:tcPr>
          <w:p w14:paraId="48F6FF1F" w14:textId="6C70A082" w:rsidR="00A16DDB" w:rsidRPr="009A1C4F" w:rsidRDefault="00A16DDB" w:rsidP="007A627A">
            <w:pPr>
              <w:jc w:val="right"/>
              <w:rPr>
                <w:rFonts w:cs="Times New Roman"/>
                <w:bCs/>
                <w:iCs/>
                <w:sz w:val="20"/>
                <w:szCs w:val="20"/>
                <w:lang w:val="cs-CZ"/>
              </w:rPr>
            </w:pPr>
            <w:r w:rsidRPr="009A1C4F">
              <w:rPr>
                <w:rFonts w:cs="Times New Roman"/>
                <w:bCs/>
                <w:iCs/>
                <w:sz w:val="20"/>
                <w:szCs w:val="20"/>
                <w:lang w:val="cs-CZ"/>
              </w:rPr>
              <w:t>51</w:t>
            </w:r>
          </w:p>
        </w:tc>
        <w:tc>
          <w:tcPr>
            <w:tcW w:w="567" w:type="dxa"/>
            <w:vAlign w:val="center"/>
          </w:tcPr>
          <w:p w14:paraId="46A614C3" w14:textId="77777777" w:rsidR="00A16DDB" w:rsidRPr="009A1C4F" w:rsidRDefault="00A16DDB" w:rsidP="007A627A">
            <w:pPr>
              <w:jc w:val="right"/>
              <w:rPr>
                <w:rFonts w:cs="Times New Roman"/>
                <w:bCs/>
                <w:iCs/>
                <w:sz w:val="20"/>
                <w:szCs w:val="20"/>
                <w:lang w:val="cs-CZ"/>
              </w:rPr>
            </w:pPr>
            <w:r w:rsidRPr="009A1C4F">
              <w:rPr>
                <w:rFonts w:cs="Times New Roman"/>
                <w:bCs/>
                <w:iCs/>
                <w:sz w:val="20"/>
                <w:szCs w:val="20"/>
                <w:lang w:val="cs-CZ"/>
              </w:rPr>
              <w:t>51</w:t>
            </w:r>
          </w:p>
        </w:tc>
        <w:tc>
          <w:tcPr>
            <w:tcW w:w="589" w:type="dxa"/>
            <w:vAlign w:val="center"/>
          </w:tcPr>
          <w:p w14:paraId="6C776823" w14:textId="77777777" w:rsidR="00A16DDB" w:rsidRPr="009A1C4F" w:rsidRDefault="00A16DDB" w:rsidP="007A627A">
            <w:pPr>
              <w:jc w:val="right"/>
              <w:rPr>
                <w:rFonts w:cs="Times New Roman"/>
                <w:bCs/>
                <w:iCs/>
                <w:sz w:val="20"/>
                <w:szCs w:val="20"/>
                <w:lang w:val="cs-CZ"/>
              </w:rPr>
            </w:pPr>
            <w:r w:rsidRPr="009A1C4F">
              <w:rPr>
                <w:rFonts w:cs="Times New Roman"/>
                <w:bCs/>
                <w:iCs/>
                <w:sz w:val="20"/>
                <w:szCs w:val="20"/>
                <w:lang w:val="cs-CZ"/>
              </w:rPr>
              <w:t>52</w:t>
            </w:r>
          </w:p>
        </w:tc>
        <w:tc>
          <w:tcPr>
            <w:tcW w:w="714" w:type="dxa"/>
            <w:shd w:val="clear" w:color="auto" w:fill="auto"/>
            <w:tcMar>
              <w:top w:w="15" w:type="dxa"/>
              <w:left w:w="15" w:type="dxa"/>
              <w:bottom w:w="0" w:type="dxa"/>
              <w:right w:w="15" w:type="dxa"/>
            </w:tcMar>
            <w:vAlign w:val="center"/>
            <w:hideMark/>
          </w:tcPr>
          <w:p w14:paraId="3BE2E4C0" w14:textId="77777777" w:rsidR="00A16DDB" w:rsidRPr="009A1C4F" w:rsidRDefault="00A16DDB" w:rsidP="007A627A">
            <w:pPr>
              <w:jc w:val="right"/>
              <w:rPr>
                <w:rFonts w:cs="Times New Roman"/>
                <w:iCs/>
                <w:sz w:val="20"/>
                <w:szCs w:val="20"/>
                <w:lang w:val="cs-CZ"/>
              </w:rPr>
            </w:pPr>
            <w:r w:rsidRPr="009A1C4F">
              <w:rPr>
                <w:rFonts w:cs="Times New Roman"/>
                <w:bCs/>
                <w:iCs/>
                <w:sz w:val="20"/>
                <w:szCs w:val="20"/>
                <w:lang w:val="cs-CZ"/>
              </w:rPr>
              <w:t>60</w:t>
            </w:r>
          </w:p>
        </w:tc>
        <w:tc>
          <w:tcPr>
            <w:tcW w:w="736" w:type="dxa"/>
            <w:shd w:val="clear" w:color="auto" w:fill="auto"/>
            <w:tcMar>
              <w:top w:w="15" w:type="dxa"/>
              <w:left w:w="15" w:type="dxa"/>
              <w:bottom w:w="0" w:type="dxa"/>
              <w:right w:w="15" w:type="dxa"/>
            </w:tcMar>
            <w:vAlign w:val="center"/>
            <w:hideMark/>
          </w:tcPr>
          <w:p w14:paraId="0A6E7218" w14:textId="77777777" w:rsidR="00A16DDB" w:rsidRPr="009A1C4F" w:rsidRDefault="00A16DDB" w:rsidP="007A627A">
            <w:pPr>
              <w:jc w:val="right"/>
              <w:rPr>
                <w:rFonts w:cs="Times New Roman"/>
                <w:iCs/>
                <w:sz w:val="20"/>
                <w:szCs w:val="20"/>
                <w:lang w:val="cs-CZ"/>
              </w:rPr>
            </w:pPr>
            <w:r w:rsidRPr="009A1C4F">
              <w:rPr>
                <w:rFonts w:cs="Times New Roman"/>
                <w:bCs/>
                <w:iCs/>
                <w:sz w:val="20"/>
                <w:szCs w:val="20"/>
                <w:lang w:val="cs-CZ"/>
              </w:rPr>
              <w:t>70</w:t>
            </w:r>
          </w:p>
        </w:tc>
        <w:tc>
          <w:tcPr>
            <w:tcW w:w="757" w:type="dxa"/>
            <w:shd w:val="clear" w:color="auto" w:fill="auto"/>
            <w:tcMar>
              <w:top w:w="15" w:type="dxa"/>
              <w:left w:w="15" w:type="dxa"/>
              <w:bottom w:w="0" w:type="dxa"/>
              <w:right w:w="15" w:type="dxa"/>
            </w:tcMar>
            <w:vAlign w:val="center"/>
            <w:hideMark/>
          </w:tcPr>
          <w:p w14:paraId="4A1BBC1D" w14:textId="77777777" w:rsidR="00A16DDB" w:rsidRPr="009A1C4F" w:rsidRDefault="00A16DDB" w:rsidP="007A627A">
            <w:pPr>
              <w:jc w:val="right"/>
              <w:rPr>
                <w:rFonts w:cs="Times New Roman"/>
                <w:iCs/>
                <w:sz w:val="20"/>
                <w:szCs w:val="20"/>
                <w:lang w:val="cs-CZ"/>
              </w:rPr>
            </w:pPr>
            <w:r w:rsidRPr="009A1C4F">
              <w:rPr>
                <w:rFonts w:cs="Times New Roman"/>
                <w:bCs/>
                <w:iCs/>
                <w:sz w:val="20"/>
                <w:szCs w:val="20"/>
                <w:lang w:val="cs-CZ"/>
              </w:rPr>
              <w:t>80</w:t>
            </w:r>
          </w:p>
        </w:tc>
      </w:tr>
    </w:tbl>
    <w:p w14:paraId="6C22317E" w14:textId="72CADBEE" w:rsidR="00A16DDB" w:rsidRPr="00D95127" w:rsidRDefault="00A16DDB" w:rsidP="009A1C4F">
      <w:pPr>
        <w:pStyle w:val="UZEIZdroj"/>
      </w:pPr>
      <w:r w:rsidRPr="00D95127">
        <w:t>Pramen: Zelená zpráva 2018, 2020, Strategie českého zemědělství do roku 2030</w:t>
      </w:r>
    </w:p>
    <w:p w14:paraId="76D19A98" w14:textId="77777777" w:rsidR="00A16DDB" w:rsidRPr="00D95127" w:rsidRDefault="00A16DDB" w:rsidP="009A1C4F">
      <w:pPr>
        <w:pStyle w:val="UZEINormaln"/>
      </w:pPr>
      <w:r w:rsidRPr="00D95127">
        <w:t xml:space="preserve">Úbytek stavů prasat vede ke snížení možnosti využít produkci krmných obilovin v tuzemsku a zvyšuje tím tlak pěstitelů bilanční přebytek obilovin exportovat.  Současně při stabilní spotřebě a rostoucích dovozech vepřového masa dochází k omezené možnosti realizovat vyšší přidanou hodnotu. </w:t>
      </w:r>
    </w:p>
    <w:p w14:paraId="6224A1BE" w14:textId="77777777" w:rsidR="00A16DDB" w:rsidRPr="00D95127" w:rsidRDefault="00A16DDB" w:rsidP="009A1C4F">
      <w:pPr>
        <w:pStyle w:val="UZEINormaln"/>
      </w:pPr>
      <w:r w:rsidRPr="00D95127">
        <w:t>Další ztráta konkurenčních pozic v případě vepřového masa by znamenala další prohlubování,  celkového salda agrárního zahraničního obchodu, přičemž aktuálně se podílí na celkovém záporném saldu více jak jednou třetinou tj. -12,8 mld. Kč.</w:t>
      </w:r>
    </w:p>
    <w:p w14:paraId="325DDED9" w14:textId="77777777" w:rsidR="00A16DDB" w:rsidRPr="00D95127" w:rsidRDefault="00A16DDB" w:rsidP="009A1C4F">
      <w:pPr>
        <w:pStyle w:val="UZEINormaln"/>
      </w:pPr>
      <w:r w:rsidRPr="00D95127">
        <w:t>Sektor chovu prasat váže přibližně 5 300 zemědělských pracovníků, tj. 5,1 %</w:t>
      </w:r>
      <w:r w:rsidRPr="00D95127">
        <w:rPr>
          <w:rStyle w:val="Znakapoznpodarou"/>
        </w:rPr>
        <w:footnoteReference w:id="42"/>
      </w:r>
      <w:r w:rsidRPr="00D95127">
        <w:t xml:space="preserve">. </w:t>
      </w:r>
    </w:p>
    <w:p w14:paraId="563B0917" w14:textId="6F2E0733" w:rsidR="00A16DDB" w:rsidRDefault="00A16DDB" w:rsidP="009A1C4F">
      <w:pPr>
        <w:pStyle w:val="UZEINormaln"/>
      </w:pPr>
      <w:r w:rsidRPr="00D95127">
        <w:t>Podíl podniků dosahujících ztrátu při započtení všech přímých a nepřímých podpor z výkrmu prasat v průměru let 2014-16 činí 79 %, ale vzhledem k tomu, že významná část produkce je realizována ve vysoce koncentrovaných chovech ve velkých podnicích, podíl ztrátové produkce na celkové produkci činí jen 18,1 %. Je také zřejmé, že třetina nejúspěšnějších chovatelů dosahuje uspokojivých výsledků i v ekonomice, kdy dosahují téměř 10% kladné souhrnné rentability.</w:t>
      </w:r>
    </w:p>
    <w:p w14:paraId="53D718E0" w14:textId="7DE23232" w:rsidR="009A1C4F" w:rsidRDefault="009A1C4F" w:rsidP="009A1C4F">
      <w:pPr>
        <w:pStyle w:val="UZEINormaln"/>
      </w:pPr>
    </w:p>
    <w:p w14:paraId="69ACACC9" w14:textId="206D8858" w:rsidR="009A1C4F" w:rsidRDefault="009A1C4F" w:rsidP="009A1C4F">
      <w:pPr>
        <w:pStyle w:val="UZEINormaln"/>
      </w:pPr>
    </w:p>
    <w:p w14:paraId="25144BF9" w14:textId="16B3452F" w:rsidR="009A1C4F" w:rsidRDefault="009A1C4F" w:rsidP="009A1C4F">
      <w:pPr>
        <w:pStyle w:val="UZEINormaln"/>
      </w:pPr>
    </w:p>
    <w:p w14:paraId="7671D89D" w14:textId="088FF640" w:rsidR="009A1C4F" w:rsidRDefault="009A1C4F" w:rsidP="009A1C4F">
      <w:pPr>
        <w:pStyle w:val="UZEINormaln"/>
      </w:pPr>
    </w:p>
    <w:p w14:paraId="15E6A86E" w14:textId="4CD839C2" w:rsidR="009A1C4F" w:rsidRDefault="009A1C4F" w:rsidP="009A1C4F">
      <w:pPr>
        <w:pStyle w:val="UZEINormaln"/>
      </w:pPr>
    </w:p>
    <w:p w14:paraId="1E2CB15A" w14:textId="339C966C" w:rsidR="009A1C4F" w:rsidRDefault="009A1C4F" w:rsidP="009A1C4F">
      <w:pPr>
        <w:pStyle w:val="UZEINormaln"/>
      </w:pPr>
    </w:p>
    <w:p w14:paraId="19438713" w14:textId="4EA1B593" w:rsidR="009A1C4F" w:rsidRDefault="009A1C4F" w:rsidP="009A1C4F">
      <w:pPr>
        <w:pStyle w:val="UZEINormaln"/>
      </w:pPr>
    </w:p>
    <w:p w14:paraId="2CBFA1CB" w14:textId="4EAEB6F8" w:rsidR="009A1C4F" w:rsidRDefault="009A1C4F" w:rsidP="009A1C4F">
      <w:pPr>
        <w:pStyle w:val="UZEINormaln"/>
      </w:pPr>
    </w:p>
    <w:p w14:paraId="1FAE3A36" w14:textId="79FBF597" w:rsidR="009A1C4F" w:rsidRDefault="009A1C4F" w:rsidP="009A1C4F">
      <w:pPr>
        <w:pStyle w:val="UZEINormaln"/>
      </w:pPr>
    </w:p>
    <w:p w14:paraId="5209A91A" w14:textId="77777777" w:rsidR="009A1C4F" w:rsidRPr="00D95127" w:rsidRDefault="009A1C4F" w:rsidP="009A1C4F">
      <w:pPr>
        <w:pStyle w:val="UZEINormaln"/>
      </w:pPr>
    </w:p>
    <w:p w14:paraId="31D8A487" w14:textId="49535AA9" w:rsidR="00A16DDB" w:rsidRPr="00D95127" w:rsidRDefault="00A16DDB" w:rsidP="009A1C4F">
      <w:pPr>
        <w:pStyle w:val="UZEITaB"/>
        <w:ind w:left="1134" w:hanging="1134"/>
      </w:pPr>
      <w:bookmarkStart w:id="1022" w:name="_Toc81738536"/>
      <w:r w:rsidRPr="00D95127">
        <w:t>Ekonomika výkrmu prasat podle třetin</w:t>
      </w:r>
      <w:bookmarkEnd w:id="1022"/>
    </w:p>
    <w:p w14:paraId="5F2C9B78" w14:textId="77777777" w:rsidR="00A16DDB" w:rsidRPr="00D95127" w:rsidRDefault="00A16DDB" w:rsidP="00A16DDB">
      <w:pPr>
        <w:rPr>
          <w:rFonts w:cs="Times New Roman"/>
          <w:noProof/>
          <w:szCs w:val="24"/>
          <w:lang w:val="cs-CZ" w:eastAsia="cs-CZ"/>
        </w:rPr>
      </w:pPr>
      <w:r w:rsidRPr="00D95127">
        <w:rPr>
          <w:rFonts w:cs="Times New Roman"/>
          <w:noProof/>
          <w:szCs w:val="24"/>
          <w:lang w:val="cs-CZ"/>
        </w:rPr>
        <w:drawing>
          <wp:inline distT="0" distB="0" distL="0" distR="0" wp14:anchorId="111D18D5" wp14:editId="244E6C5C">
            <wp:extent cx="5762625" cy="2714625"/>
            <wp:effectExtent l="0" t="0" r="0" b="0"/>
            <wp:docPr id="58"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762625" cy="2714625"/>
                    </a:xfrm>
                    <a:prstGeom prst="rect">
                      <a:avLst/>
                    </a:prstGeom>
                    <a:noFill/>
                    <a:ln>
                      <a:noFill/>
                    </a:ln>
                  </pic:spPr>
                </pic:pic>
              </a:graphicData>
            </a:graphic>
          </wp:inline>
        </w:drawing>
      </w:r>
    </w:p>
    <w:p w14:paraId="0E189F3F" w14:textId="77777777" w:rsidR="009A1C4F" w:rsidRDefault="009A1C4F">
      <w:pPr>
        <w:spacing w:after="160" w:line="259" w:lineRule="auto"/>
        <w:jc w:val="left"/>
        <w:rPr>
          <w:rFonts w:eastAsiaTheme="majorEastAsia" w:cs="Times New Roman"/>
          <w:b/>
          <w:bCs/>
          <w:sz w:val="28"/>
          <w:szCs w:val="32"/>
          <w:lang w:val="cs-CZ"/>
        </w:rPr>
      </w:pPr>
      <w:bookmarkStart w:id="1023" w:name="_Toc76137456"/>
      <w:bookmarkStart w:id="1024" w:name="_Toc76637655"/>
      <w:bookmarkStart w:id="1025" w:name="_Toc80953344"/>
      <w:r>
        <w:br w:type="page"/>
      </w:r>
    </w:p>
    <w:p w14:paraId="4D552EEC" w14:textId="57A91F0A" w:rsidR="00A16DDB" w:rsidRPr="00D95127" w:rsidRDefault="00A16DDB" w:rsidP="009A1C4F">
      <w:pPr>
        <w:pStyle w:val="Nadpis1"/>
      </w:pPr>
      <w:bookmarkStart w:id="1026" w:name="_Toc81739297"/>
      <w:r w:rsidRPr="00D95127">
        <w:t>Míra stávajícího řešení problému</w:t>
      </w:r>
      <w:bookmarkEnd w:id="1023"/>
      <w:bookmarkEnd w:id="1024"/>
      <w:bookmarkEnd w:id="1025"/>
      <w:bookmarkEnd w:id="1026"/>
    </w:p>
    <w:p w14:paraId="57F5F5E4" w14:textId="77777777" w:rsidR="00A16DDB" w:rsidRPr="009A1C4F" w:rsidRDefault="00A16DDB" w:rsidP="009A1C4F">
      <w:pPr>
        <w:rPr>
          <w:rStyle w:val="UZEINormalnChar"/>
          <w:rFonts w:eastAsiaTheme="minorHAnsi"/>
        </w:rPr>
      </w:pPr>
      <w:r w:rsidRPr="00D95127">
        <w:rPr>
          <w:rFonts w:cs="Times New Roman"/>
          <w:szCs w:val="24"/>
          <w:lang w:val="cs-CZ"/>
        </w:rPr>
        <w:t xml:space="preserve">Podpory směřované do odvětví produkce vepřového masa jsou v oblasti prvovýroby cíleny </w:t>
      </w:r>
      <w:r w:rsidRPr="009A1C4F">
        <w:rPr>
          <w:rStyle w:val="UZEINormalnChar"/>
          <w:rFonts w:eastAsiaTheme="minorHAnsi"/>
        </w:rPr>
        <w:t>spíše na zdraví a pohodu zvířat, a to jak v rámci SZP, tak i z národních podpor.</w:t>
      </w:r>
    </w:p>
    <w:p w14:paraId="11E703B9" w14:textId="77777777" w:rsidR="00A16DDB" w:rsidRPr="00D95127" w:rsidRDefault="00A16DDB" w:rsidP="009A1C4F">
      <w:pPr>
        <w:pStyle w:val="Nadpis2"/>
      </w:pPr>
      <w:bookmarkStart w:id="1027" w:name="_Toc15304106"/>
      <w:bookmarkStart w:id="1028" w:name="_Toc23509927"/>
      <w:bookmarkStart w:id="1029" w:name="_Toc76137457"/>
      <w:bookmarkStart w:id="1030" w:name="_Toc76637656"/>
      <w:bookmarkStart w:id="1031" w:name="_Toc80953345"/>
      <w:bookmarkStart w:id="1032" w:name="_Toc81739298"/>
      <w:r w:rsidRPr="00D95127">
        <w:t>Míra řešení ve stávající SZP (úspěšnost/neúspěšnost)</w:t>
      </w:r>
      <w:bookmarkEnd w:id="1027"/>
      <w:bookmarkEnd w:id="1028"/>
      <w:bookmarkEnd w:id="1029"/>
      <w:bookmarkEnd w:id="1030"/>
      <w:bookmarkEnd w:id="1031"/>
      <w:bookmarkEnd w:id="1032"/>
    </w:p>
    <w:p w14:paraId="66868627" w14:textId="77777777" w:rsidR="00A16DDB" w:rsidRPr="00D95127" w:rsidRDefault="00A16DDB" w:rsidP="009A1C4F">
      <w:pPr>
        <w:pStyle w:val="UZEINormaln"/>
      </w:pPr>
      <w:r w:rsidRPr="00D95127">
        <w:t xml:space="preserve">Současná SZP v oblasti chovu prasat zasahuje jen v podobě opatření mířících na zvyšování kvality života prasat - welfare (tj. chovu prasnic, prasniček a odchovu selat) nad legislativně stanovenou úroveň a v oblasti investiční podpory. </w:t>
      </w:r>
    </w:p>
    <w:p w14:paraId="51D57DFA" w14:textId="22097B0B" w:rsidR="00A16DDB" w:rsidRPr="00D95127" w:rsidRDefault="00A16DDB" w:rsidP="009A1C4F">
      <w:pPr>
        <w:pStyle w:val="UZEIGraf"/>
      </w:pPr>
      <w:bookmarkStart w:id="1033" w:name="_Toc81738833"/>
      <w:r w:rsidRPr="00D95127">
        <w:t>Vývoj struktury podpor v chovu prasat 2011-2020</w:t>
      </w:r>
      <w:bookmarkEnd w:id="1033"/>
    </w:p>
    <w:p w14:paraId="064ECAAC" w14:textId="77777777" w:rsidR="00A16DDB" w:rsidRPr="00D95127" w:rsidRDefault="00A16DDB" w:rsidP="00A16DDB">
      <w:pPr>
        <w:keepNext/>
        <w:rPr>
          <w:rFonts w:cs="Times New Roman"/>
          <w:szCs w:val="24"/>
          <w:u w:val="single"/>
          <w:lang w:val="cs-CZ"/>
        </w:rPr>
      </w:pPr>
      <w:r w:rsidRPr="00D95127">
        <w:rPr>
          <w:rFonts w:cs="Times New Roman"/>
          <w:noProof/>
          <w:lang w:val="cs-CZ"/>
        </w:rPr>
        <w:drawing>
          <wp:inline distT="0" distB="0" distL="0" distR="0" wp14:anchorId="6F9FDC1D" wp14:editId="62CC2471">
            <wp:extent cx="5759450" cy="4832350"/>
            <wp:effectExtent l="0" t="0" r="12700" b="6350"/>
            <wp:docPr id="74" name="Graf 74">
              <a:extLst xmlns:a="http://schemas.openxmlformats.org/drawingml/2006/main">
                <a:ext uri="{FF2B5EF4-FFF2-40B4-BE49-F238E27FC236}">
                  <a16:creationId xmlns:a16="http://schemas.microsoft.com/office/drawing/2014/main" id="{EC0504F1-DC3E-409E-8172-C35567E14D2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0"/>
              </a:graphicData>
            </a:graphic>
          </wp:inline>
        </w:drawing>
      </w:r>
    </w:p>
    <w:p w14:paraId="17C1DCB6" w14:textId="77777777" w:rsidR="00A16DDB" w:rsidRPr="00D95127" w:rsidRDefault="00A16DDB" w:rsidP="009A1C4F">
      <w:pPr>
        <w:pStyle w:val="UZEIZdroj"/>
      </w:pPr>
      <w:r w:rsidRPr="00D95127">
        <w:t xml:space="preserve">Zdroj: Výpočet ÚZEI </w:t>
      </w:r>
    </w:p>
    <w:p w14:paraId="033CFCC0" w14:textId="5BE672FC" w:rsidR="00A16DDB" w:rsidRDefault="00A16DDB" w:rsidP="009A1C4F">
      <w:pPr>
        <w:pStyle w:val="UZEINormaln"/>
      </w:pPr>
      <w:r w:rsidRPr="00D95127">
        <w:t>Ve výhledu do roku 2030 lze očekávat stabilní užitkovost (jatečná hmotnost prasete) a růst nákladů při odhadované stabilizaci cen. Za předpokladu, že budou pokračovat ostatní stávající podpory, bude chov prasat se započtením projektovaných podpor na hraně rentability.</w:t>
      </w:r>
    </w:p>
    <w:p w14:paraId="32D60CEF" w14:textId="58BAE911" w:rsidR="009A1C4F" w:rsidRDefault="009A1C4F" w:rsidP="009A1C4F">
      <w:pPr>
        <w:pStyle w:val="UZEINormaln"/>
      </w:pPr>
    </w:p>
    <w:p w14:paraId="158C0C84" w14:textId="38C8E78A" w:rsidR="009A1C4F" w:rsidRDefault="009A1C4F" w:rsidP="009A1C4F">
      <w:pPr>
        <w:pStyle w:val="UZEINormaln"/>
      </w:pPr>
    </w:p>
    <w:p w14:paraId="0E676CD5" w14:textId="30C6D6BC" w:rsidR="009A1C4F" w:rsidRDefault="009A1C4F" w:rsidP="009A1C4F">
      <w:pPr>
        <w:pStyle w:val="UZEINormaln"/>
      </w:pPr>
    </w:p>
    <w:p w14:paraId="5728BC58" w14:textId="50CE51D6" w:rsidR="009A1C4F" w:rsidRDefault="009A1C4F" w:rsidP="009A1C4F">
      <w:pPr>
        <w:pStyle w:val="UZEINormaln"/>
      </w:pPr>
    </w:p>
    <w:p w14:paraId="16265EBA" w14:textId="590CD332" w:rsidR="009A1C4F" w:rsidRDefault="009A1C4F" w:rsidP="009A1C4F">
      <w:pPr>
        <w:pStyle w:val="UZEINormaln"/>
      </w:pPr>
    </w:p>
    <w:p w14:paraId="5C0F05E5" w14:textId="77777777" w:rsidR="009A1C4F" w:rsidRPr="00D95127" w:rsidRDefault="009A1C4F" w:rsidP="009A1C4F">
      <w:pPr>
        <w:pStyle w:val="UZEINormaln"/>
      </w:pPr>
    </w:p>
    <w:p w14:paraId="55B901EE" w14:textId="24F4BC3F" w:rsidR="00A16DDB" w:rsidRPr="00D95127" w:rsidRDefault="00A16DDB" w:rsidP="009A1C4F">
      <w:pPr>
        <w:pStyle w:val="UZEITaB"/>
        <w:ind w:left="1276" w:hanging="1276"/>
      </w:pPr>
      <w:bookmarkStart w:id="1034" w:name="_Toc81738537"/>
      <w:r w:rsidRPr="00D95127">
        <w:t>Ekonomika produkce vepřového masa v letech 2018 až 2020 s výhledem do roku 2030</w:t>
      </w:r>
      <w:bookmarkEnd w:id="1034"/>
      <w:r w:rsidRPr="00D95127">
        <w:t xml:space="preserve"> </w:t>
      </w:r>
    </w:p>
    <w:p w14:paraId="358BD970" w14:textId="77777777" w:rsidR="00A16DDB" w:rsidRPr="00D95127" w:rsidRDefault="00A16DDB" w:rsidP="00A16DDB">
      <w:pPr>
        <w:keepNext/>
        <w:rPr>
          <w:rFonts w:cs="Times New Roman"/>
          <w:szCs w:val="24"/>
          <w:u w:val="single"/>
          <w:lang w:val="cs-CZ"/>
        </w:rPr>
      </w:pPr>
      <w:r w:rsidRPr="00D95127">
        <w:rPr>
          <w:rFonts w:cs="Times New Roman"/>
          <w:noProof/>
          <w:lang w:val="cs-CZ"/>
        </w:rPr>
        <w:drawing>
          <wp:inline distT="0" distB="0" distL="0" distR="0" wp14:anchorId="4C9EF012" wp14:editId="086CC765">
            <wp:extent cx="5759450" cy="1066800"/>
            <wp:effectExtent l="0" t="0" r="0" b="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759450" cy="1066800"/>
                    </a:xfrm>
                    <a:prstGeom prst="rect">
                      <a:avLst/>
                    </a:prstGeom>
                    <a:noFill/>
                    <a:ln>
                      <a:noFill/>
                    </a:ln>
                  </pic:spPr>
                </pic:pic>
              </a:graphicData>
            </a:graphic>
          </wp:inline>
        </w:drawing>
      </w:r>
    </w:p>
    <w:p w14:paraId="51215D3A" w14:textId="77777777" w:rsidR="00A16DDB" w:rsidRPr="00D95127" w:rsidRDefault="00A16DDB" w:rsidP="00A16DDB">
      <w:pPr>
        <w:keepNext/>
        <w:rPr>
          <w:rFonts w:cs="Times New Roman"/>
          <w:i/>
          <w:sz w:val="20"/>
          <w:szCs w:val="20"/>
          <w:lang w:val="cs-CZ"/>
        </w:rPr>
      </w:pPr>
      <w:r w:rsidRPr="00D95127">
        <w:rPr>
          <w:rFonts w:cs="Times New Roman"/>
          <w:i/>
          <w:sz w:val="20"/>
          <w:szCs w:val="20"/>
          <w:lang w:val="cs-CZ"/>
        </w:rPr>
        <w:t>Zdroj: Výběrové šetření nákladů a výnosů vybraných zemědělských komodit ÚZEI, vlastní výpočty</w:t>
      </w:r>
    </w:p>
    <w:p w14:paraId="5C87E13F" w14:textId="42F0D146" w:rsidR="00A16DDB" w:rsidRPr="009A1C4F" w:rsidRDefault="00A16DDB" w:rsidP="009A1C4F">
      <w:pPr>
        <w:keepNext/>
        <w:rPr>
          <w:rFonts w:cs="Times New Roman"/>
          <w:i/>
          <w:sz w:val="20"/>
          <w:szCs w:val="20"/>
          <w:lang w:val="cs-CZ"/>
        </w:rPr>
      </w:pPr>
      <w:r w:rsidRPr="00D95127">
        <w:rPr>
          <w:rFonts w:cs="Times New Roman"/>
          <w:i/>
          <w:sz w:val="20"/>
          <w:szCs w:val="20"/>
          <w:lang w:val="cs-CZ"/>
        </w:rPr>
        <w:t>Pozn.: Způsob provedení predikce je uveden v příloze I.</w:t>
      </w:r>
    </w:p>
    <w:p w14:paraId="63D91210" w14:textId="77777777" w:rsidR="00A16DDB" w:rsidRPr="00D95127" w:rsidRDefault="00A16DDB" w:rsidP="009A1C4F">
      <w:pPr>
        <w:pStyle w:val="UZEINormaln"/>
      </w:pPr>
      <w:r w:rsidRPr="00D95127">
        <w:t>Investiční deficit v odvětví chovu a odchovu prasat byl částečně řešen projekty z opatření M121 PRV 2007-13, ze kterého byly podpořeny investiční výdaje o rozsahu 3 337,3 mil. Kč a s dotací 1 290,1 mil. Kč, s jejichž pomocí bylo vybudováno, dovybaveno nebo rekonstruováno ustájení pro téměř 275 tis. dospělých kusů prasat (kanci, prasnice, prasničky), z toho přímo pro chov prasnic 26 tis., a dále prostory s kapacitami pro odchov více než 98 tis. selat (tj. 20,5 % stavu). Byly také zajištěny prostory pro chov přibližně 3 000 ks kanců. Vybudované nebo rekonstruované kapacity pro chov prasat odpovídají 17,1 % stavu prasat v ČR zjištěného v roce 2016, nově vybudované chovné kapacity pro prasnice a prasničky by pokryly 18,6 % jejich celkového stavu evidovaného v ČR v roce 2016.</w:t>
      </w:r>
    </w:p>
    <w:p w14:paraId="1996EA66" w14:textId="77777777" w:rsidR="00A16DDB" w:rsidRPr="00D95127" w:rsidRDefault="00A16DDB" w:rsidP="009A1C4F">
      <w:pPr>
        <w:pStyle w:val="UZEINormaln"/>
      </w:pPr>
      <w:r w:rsidRPr="00D95127">
        <w:t>V rámci opatření 411 PRV 2014-18 byly podpořeny investiční výdaje o rozsahu 1 616,6 mil. Kč a s dotací 716,5 mil. Kč, s jejichž pomocí bylo vybudováno nebo rekonstruováno ustájení pro téměř 110 tis. dospělých kusů prasat (kanci, prasnice, prasničky), z toho přímo pro chov prasnic 18,4 tis. (tj. 20,2 %), a dále prostory s kapacitami pro odchov více než 47 tis. selat (tj. 9,4 % stavu v roce 2018).</w:t>
      </w:r>
    </w:p>
    <w:p w14:paraId="4DAB04D3" w14:textId="77777777" w:rsidR="00A16DDB" w:rsidRPr="00D95127" w:rsidRDefault="00A16DDB" w:rsidP="009A1C4F">
      <w:pPr>
        <w:pStyle w:val="Nadpis2"/>
      </w:pPr>
      <w:bookmarkStart w:id="1035" w:name="_Toc27156977"/>
      <w:bookmarkStart w:id="1036" w:name="_Toc27157106"/>
      <w:bookmarkStart w:id="1037" w:name="_Toc27172214"/>
      <w:bookmarkStart w:id="1038" w:name="_Toc27172866"/>
      <w:bookmarkStart w:id="1039" w:name="_Toc27173019"/>
      <w:bookmarkStart w:id="1040" w:name="_Toc15304107"/>
      <w:bookmarkStart w:id="1041" w:name="_Toc23509929"/>
      <w:bookmarkStart w:id="1042" w:name="_Toc76137458"/>
      <w:bookmarkStart w:id="1043" w:name="_Toc76637657"/>
      <w:bookmarkStart w:id="1044" w:name="_Toc80953346"/>
      <w:bookmarkStart w:id="1045" w:name="_Toc81739299"/>
      <w:bookmarkEnd w:id="1035"/>
      <w:bookmarkEnd w:id="1036"/>
      <w:bookmarkEnd w:id="1037"/>
      <w:bookmarkEnd w:id="1038"/>
      <w:bookmarkEnd w:id="1039"/>
      <w:r w:rsidRPr="00D95127">
        <w:t>Míra současného řešení problému jinými politikami</w:t>
      </w:r>
      <w:bookmarkEnd w:id="1040"/>
      <w:bookmarkEnd w:id="1041"/>
      <w:bookmarkEnd w:id="1042"/>
      <w:bookmarkEnd w:id="1043"/>
      <w:bookmarkEnd w:id="1044"/>
      <w:bookmarkEnd w:id="1045"/>
    </w:p>
    <w:p w14:paraId="34E4EE37" w14:textId="77777777" w:rsidR="00A16DDB" w:rsidRPr="009A1C4F" w:rsidRDefault="00A16DDB" w:rsidP="009A1C4F">
      <w:pPr>
        <w:pStyle w:val="UZEINormaln"/>
        <w:rPr>
          <w:u w:val="single"/>
        </w:rPr>
      </w:pPr>
      <w:bookmarkStart w:id="1046" w:name="_Toc27157108"/>
      <w:bookmarkStart w:id="1047" w:name="_Toc27157109"/>
      <w:bookmarkEnd w:id="1046"/>
      <w:bookmarkEnd w:id="1047"/>
      <w:r w:rsidRPr="009A1C4F">
        <w:rPr>
          <w:u w:val="single"/>
        </w:rPr>
        <w:t>Z národních zdrojů jsou financovány především ozdravné programy pro prasata a dále podpora pojištění spolu s vratkou spotřební daně. Od roku 2018 směřují do odvětví také národní dotační programy zaměřené na zlepšení kvality života prasat (DŽPZ) nad standardní úroveň (Program 20.C Zlepšení životních podmínek v chovu prasat). O tyto programy je zejména v chovu prasnic značný zájem, kdy z celkového průměrného stavu prasnic bylo do některého z nich zapojeno téměř až 80 % zvířat.</w:t>
      </w:r>
    </w:p>
    <w:p w14:paraId="32F0D053" w14:textId="77777777" w:rsidR="009A1C4F" w:rsidRDefault="009A1C4F">
      <w:pPr>
        <w:spacing w:after="160" w:line="259" w:lineRule="auto"/>
        <w:jc w:val="left"/>
        <w:rPr>
          <w:rFonts w:eastAsiaTheme="majorEastAsia" w:cs="Times New Roman"/>
          <w:b/>
          <w:bCs/>
          <w:sz w:val="28"/>
          <w:szCs w:val="32"/>
          <w:lang w:val="cs-CZ"/>
        </w:rPr>
      </w:pPr>
      <w:bookmarkStart w:id="1048" w:name="_Toc76137459"/>
      <w:bookmarkStart w:id="1049" w:name="_Toc76637658"/>
      <w:bookmarkStart w:id="1050" w:name="_Toc80953347"/>
      <w:r>
        <w:br w:type="page"/>
      </w:r>
    </w:p>
    <w:p w14:paraId="4D938C78" w14:textId="2B994B77" w:rsidR="00A16DDB" w:rsidRPr="00D95127" w:rsidRDefault="00A16DDB" w:rsidP="009A1C4F">
      <w:pPr>
        <w:pStyle w:val="Nadpis1"/>
      </w:pPr>
      <w:bookmarkStart w:id="1051" w:name="_Toc81739300"/>
      <w:r w:rsidRPr="00D95127">
        <w:t>Existence/neexistence možnosti efektivního řešení v rámci nástrojů SZP, které lze uvažovat v nových návrzích SZP</w:t>
      </w:r>
      <w:bookmarkEnd w:id="1048"/>
      <w:bookmarkEnd w:id="1049"/>
      <w:bookmarkEnd w:id="1050"/>
      <w:bookmarkEnd w:id="1051"/>
    </w:p>
    <w:p w14:paraId="3080C54A" w14:textId="77777777" w:rsidR="00A16DDB" w:rsidRPr="00D95127" w:rsidRDefault="00A16DDB" w:rsidP="009A1C4F">
      <w:pPr>
        <w:pStyle w:val="UZEINormaln"/>
        <w:rPr>
          <w:u w:val="single"/>
        </w:rPr>
      </w:pPr>
      <w:r w:rsidRPr="00D95127">
        <w:t xml:space="preserve">V rámci SZP jsou omezené možnosti pro řešení problémů a jejich příčin v sektoru vepřového masa, a to především do investic, podpory spoluprací při vývoji inovací a dále v oblasti pohody zvířat. </w:t>
      </w:r>
      <w:r w:rsidRPr="00D95127">
        <w:rPr>
          <w:u w:val="single"/>
        </w:rPr>
        <w:t xml:space="preserve">Pomocí odvětvových intervencí by bylo možné posílit postavení zejména menších a středních chovatelů (s formou vlastnictví OSVČ, nebo zemědělských družstev), kteří nejsou součástí holdingů vlastnících i porážku, a tím pro ně vstup do organizací producentů nemá smysl.  </w:t>
      </w:r>
    </w:p>
    <w:p w14:paraId="571D7EB9" w14:textId="77777777" w:rsidR="00A16DDB" w:rsidRPr="00D95127" w:rsidRDefault="00A16DDB" w:rsidP="009A1C4F">
      <w:pPr>
        <w:pStyle w:val="UZEINormaln"/>
        <w:rPr>
          <w:u w:val="single"/>
        </w:rPr>
      </w:pPr>
      <w:r w:rsidRPr="00D95127">
        <w:rPr>
          <w:u w:val="single"/>
        </w:rPr>
        <w:t>Se sdružováním se chovatelů prasat do organizací výrobců mají prvovýrobci z minulých let spíše negativní zkušenosti. V letech 2006-2011 byl formou podpory z národních zdrojů</w:t>
      </w:r>
      <w:r w:rsidRPr="00D95127">
        <w:rPr>
          <w:u w:val="single"/>
          <w:vertAlign w:val="superscript"/>
        </w:rPr>
        <w:footnoteReference w:id="43"/>
      </w:r>
      <w:r w:rsidRPr="00D95127">
        <w:rPr>
          <w:u w:val="single"/>
        </w:rPr>
        <w:t xml:space="preserve"> podpořen vznik celkem 94 skupin výrobců pro vepřové maso. Za uvedené šestileté období byla těmto organizacím sdružujícím české chovatele prasat vyplacena na jejich činnost celková podpora ve výši 140 mil. Kč a podíl obchodované produkce prostřednictvím skupin výrobců dosáhl v průměru 20 % z roční produkce jatečných prasat v ČR. Po ukončení podporovaného období většina skupin výrobců zanikla. V ČR navíc existovalo i národní odbytové družstvo CENTROODBYT, které působilo na českém trhu od roku 2004 a sdružovalo celkem sedm odbytových družstev. Činnost CENTROODBYTu byla zaměřena především na obchodování s jatečným skotem, zástavovým skotem a jatečnými prasaty na tuzemském i zahraničním trhu. Kromě této aktivity poskytovalo toto národní družstvo svým členům marketingové a monitorovací služby o vývoji trhu s uvedenými komoditami v ČR, Evropě i ve světě. Také tato organizace přestala provozovat svou činnost v roce 2015 a byla v roce 2019 vymazána z obchodního rejstříku. </w:t>
      </w:r>
    </w:p>
    <w:p w14:paraId="21936D0E" w14:textId="77777777" w:rsidR="00A16DDB" w:rsidRPr="00D95127" w:rsidRDefault="00A16DDB" w:rsidP="009A1C4F">
      <w:pPr>
        <w:pStyle w:val="UZEINormaln"/>
        <w:rPr>
          <w:u w:val="single"/>
        </w:rPr>
      </w:pPr>
      <w:r w:rsidRPr="00D95127">
        <w:rPr>
          <w:u w:val="single"/>
        </w:rPr>
        <w:t xml:space="preserve">V současné době vykonává svou činnost pouze jediné seskupení výrobců pro vepřové maso, a to je Agropork CZ s.r.o. založený v roce 2012. V SZP na období 2014-2020 je sdružování zemědělců do organizací producentů podpořeno nepřímo, a to na základě Pravidel, kterými se stanovují podmínky pro poskytování dotace na projekty PRV. Pokud žadatel o podporu dle Opatření 4. Investice do hmotného majetku doloží, že je členem organizace producentů registrované SZIF budou mu přiděleny preferenční body. </w:t>
      </w:r>
    </w:p>
    <w:p w14:paraId="2FCB7081" w14:textId="77777777" w:rsidR="00A16DDB" w:rsidRPr="00D95127" w:rsidRDefault="00A16DDB" w:rsidP="009A1C4F">
      <w:pPr>
        <w:pStyle w:val="UZEINormaln"/>
        <w:rPr>
          <w:u w:val="single"/>
        </w:rPr>
      </w:pPr>
      <w:r w:rsidRPr="00D95127">
        <w:rPr>
          <w:u w:val="single"/>
        </w:rPr>
        <w:t>Podle vyjádření Svazu chovatelů prasat se nejeví, že by odvětví mělo do budoucna potenciál k zakládání operačních programů.</w:t>
      </w:r>
    </w:p>
    <w:p w14:paraId="2AA7C41B" w14:textId="596FA58E" w:rsidR="00A16DDB" w:rsidRPr="00D95127" w:rsidRDefault="00A16DDB" w:rsidP="009A1C4F">
      <w:pPr>
        <w:pStyle w:val="UZEINormaln"/>
      </w:pPr>
      <w:r w:rsidRPr="00D95127">
        <w:t>Návrh řešení problémů a jejich příčin v celé škále provozních a strukturálních podpor je uveden v rámci teorie změny v tabulce (</w:t>
      </w:r>
      <w:r w:rsidR="00436D62">
        <w:fldChar w:fldCharType="begin"/>
      </w:r>
      <w:r w:rsidR="00436D62">
        <w:instrText xml:space="preserve"> REF _Ref81733872 \r \h </w:instrText>
      </w:r>
      <w:r w:rsidR="00436D62">
        <w:fldChar w:fldCharType="separate"/>
      </w:r>
      <w:r w:rsidR="00436D62">
        <w:t>Tabulka 110</w:t>
      </w:r>
      <w:r w:rsidR="00436D62">
        <w:fldChar w:fldCharType="end"/>
      </w:r>
      <w:r w:rsidRPr="00D95127">
        <w:t>).</w:t>
      </w:r>
    </w:p>
    <w:p w14:paraId="011AFEFA" w14:textId="77777777" w:rsidR="00A16DDB" w:rsidRPr="00D95127" w:rsidRDefault="00A16DDB" w:rsidP="009A1C4F">
      <w:pPr>
        <w:pStyle w:val="UZEINormaln"/>
        <w:rPr>
          <w:u w:val="single"/>
        </w:rPr>
      </w:pPr>
    </w:p>
    <w:p w14:paraId="03B47505" w14:textId="77777777" w:rsidR="00A16DDB" w:rsidRPr="00D95127" w:rsidRDefault="00A16DDB" w:rsidP="00A16DDB">
      <w:pPr>
        <w:rPr>
          <w:rFonts w:cs="Times New Roman"/>
          <w:szCs w:val="24"/>
          <w:u w:val="single"/>
          <w:lang w:val="cs-CZ"/>
        </w:rPr>
        <w:sectPr w:rsidR="00A16DDB" w:rsidRPr="00D95127" w:rsidSect="00C82CBD">
          <w:pgSz w:w="11906" w:h="16838"/>
          <w:pgMar w:top="1418" w:right="1418" w:bottom="1418" w:left="1418" w:header="709" w:footer="709" w:gutter="0"/>
          <w:cols w:space="708"/>
          <w:docGrid w:linePitch="360"/>
        </w:sectPr>
      </w:pPr>
    </w:p>
    <w:p w14:paraId="3CF9FD23" w14:textId="7ED44FF9" w:rsidR="00A16DDB" w:rsidRDefault="00A16DDB" w:rsidP="009A1C4F">
      <w:pPr>
        <w:pStyle w:val="UZEITaB"/>
      </w:pPr>
      <w:bookmarkStart w:id="1052" w:name="_Ref81733872"/>
      <w:bookmarkStart w:id="1053" w:name="_Toc81738538"/>
      <w:r w:rsidRPr="00D95127">
        <w:t>Teorie změny – chov prasat, vepřové maso</w:t>
      </w:r>
      <w:bookmarkEnd w:id="1052"/>
      <w:bookmarkEnd w:id="1053"/>
    </w:p>
    <w:p w14:paraId="5D70EF27" w14:textId="77777777" w:rsidR="00A16DDB" w:rsidRPr="00D95127" w:rsidRDefault="00A16DDB" w:rsidP="00A16DDB">
      <w:pPr>
        <w:keepNext/>
        <w:rPr>
          <w:rFonts w:cs="Times New Roman"/>
          <w:i/>
          <w:color w:val="44546A"/>
          <w:szCs w:val="24"/>
          <w:lang w:val="cs-CZ"/>
        </w:rPr>
      </w:pPr>
      <w:r w:rsidRPr="00D95127">
        <w:rPr>
          <w:rFonts w:cs="Times New Roman"/>
          <w:noProof/>
          <w:lang w:val="cs-CZ"/>
        </w:rPr>
        <w:drawing>
          <wp:inline distT="0" distB="0" distL="0" distR="0" wp14:anchorId="502A33E6" wp14:editId="7DA026B9">
            <wp:extent cx="8219873" cy="5351296"/>
            <wp:effectExtent l="0" t="0" r="0" b="0"/>
            <wp:docPr id="332" name="Obrázek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8267530" cy="5382321"/>
                    </a:xfrm>
                    <a:prstGeom prst="rect">
                      <a:avLst/>
                    </a:prstGeom>
                    <a:noFill/>
                    <a:ln>
                      <a:noFill/>
                    </a:ln>
                  </pic:spPr>
                </pic:pic>
              </a:graphicData>
            </a:graphic>
          </wp:inline>
        </w:drawing>
      </w:r>
    </w:p>
    <w:p w14:paraId="5093980A" w14:textId="77777777" w:rsidR="00A16DDB" w:rsidRPr="00D95127" w:rsidRDefault="00A16DDB" w:rsidP="00436D62">
      <w:pPr>
        <w:pStyle w:val="UZEIZdroj"/>
      </w:pPr>
      <w:r w:rsidRPr="00D95127">
        <w:t>Zdroj: Vlastní zpracování</w:t>
      </w:r>
    </w:p>
    <w:p w14:paraId="493C8E8D" w14:textId="241CB0DC" w:rsidR="00A16DDB" w:rsidRPr="00436D62" w:rsidRDefault="00436D62" w:rsidP="00A16DDB">
      <w:pPr>
        <w:keepNext/>
        <w:rPr>
          <w:rFonts w:cs="Times New Roman"/>
          <w:b/>
          <w:bCs/>
          <w:iCs/>
          <w:color w:val="44546A"/>
          <w:sz w:val="20"/>
          <w:szCs w:val="20"/>
          <w:lang w:val="cs-CZ"/>
        </w:rPr>
      </w:pPr>
      <w:r w:rsidRPr="00436D62">
        <w:rPr>
          <w:rFonts w:cs="Times New Roman"/>
          <w:b/>
          <w:bCs/>
          <w:iCs/>
          <w:sz w:val="20"/>
          <w:szCs w:val="20"/>
          <w:lang w:val="cs-CZ"/>
        </w:rPr>
        <w:t xml:space="preserve">Tabulka 100 </w:t>
      </w:r>
      <w:r>
        <w:rPr>
          <w:rFonts w:cs="Times New Roman"/>
          <w:b/>
          <w:bCs/>
          <w:iCs/>
          <w:sz w:val="20"/>
          <w:szCs w:val="20"/>
          <w:lang w:val="cs-CZ"/>
        </w:rPr>
        <w:t xml:space="preserve">  </w:t>
      </w:r>
      <w:r w:rsidR="00A16DDB" w:rsidRPr="00436D62">
        <w:rPr>
          <w:rFonts w:cs="Times New Roman"/>
          <w:b/>
          <w:bCs/>
          <w:iCs/>
          <w:sz w:val="20"/>
          <w:szCs w:val="20"/>
          <w:lang w:val="cs-CZ"/>
        </w:rPr>
        <w:t>Teorie změny – chov prasat, vepřové maso - pokračování tabulky</w:t>
      </w:r>
    </w:p>
    <w:p w14:paraId="333585AC" w14:textId="77777777" w:rsidR="00A16DDB" w:rsidRPr="00D95127" w:rsidRDefault="00A16DDB" w:rsidP="00A16DDB">
      <w:pPr>
        <w:keepNext/>
        <w:rPr>
          <w:rFonts w:cs="Times New Roman"/>
          <w:szCs w:val="24"/>
          <w:lang w:val="cs-CZ"/>
        </w:rPr>
      </w:pPr>
      <w:r w:rsidRPr="00D95127">
        <w:rPr>
          <w:rFonts w:cs="Times New Roman"/>
          <w:noProof/>
          <w:szCs w:val="24"/>
          <w:lang w:val="cs-CZ"/>
        </w:rPr>
        <w:drawing>
          <wp:inline distT="0" distB="0" distL="0" distR="0" wp14:anchorId="283DBF4E" wp14:editId="63E0CC34">
            <wp:extent cx="8979820" cy="4369982"/>
            <wp:effectExtent l="0" t="0" r="0" b="0"/>
            <wp:docPr id="102" name="Obráze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8998639" cy="4379140"/>
                    </a:xfrm>
                    <a:prstGeom prst="rect">
                      <a:avLst/>
                    </a:prstGeom>
                    <a:noFill/>
                    <a:ln>
                      <a:noFill/>
                    </a:ln>
                  </pic:spPr>
                </pic:pic>
              </a:graphicData>
            </a:graphic>
          </wp:inline>
        </w:drawing>
      </w:r>
      <w:r w:rsidRPr="00D95127">
        <w:rPr>
          <w:rFonts w:cs="Times New Roman"/>
          <w:szCs w:val="24"/>
          <w:lang w:val="cs-CZ"/>
        </w:rPr>
        <w:t xml:space="preserve"> </w:t>
      </w:r>
    </w:p>
    <w:p w14:paraId="2755F825" w14:textId="77777777" w:rsidR="00A16DDB" w:rsidRPr="00D95127" w:rsidRDefault="00A16DDB" w:rsidP="00436D62">
      <w:pPr>
        <w:pStyle w:val="UZEIZdroj"/>
      </w:pPr>
      <w:r w:rsidRPr="00D95127">
        <w:t>Zdroj: Vlastní zpracování</w:t>
      </w:r>
    </w:p>
    <w:p w14:paraId="281D630F" w14:textId="77777777" w:rsidR="00A16DDB" w:rsidRPr="00D95127" w:rsidRDefault="00A16DDB" w:rsidP="00A16DDB">
      <w:pPr>
        <w:rPr>
          <w:rFonts w:cs="Times New Roman"/>
          <w:szCs w:val="24"/>
          <w:u w:val="single"/>
          <w:lang w:val="cs-CZ"/>
        </w:rPr>
      </w:pPr>
    </w:p>
    <w:p w14:paraId="3769FA87" w14:textId="77777777" w:rsidR="00A16DDB" w:rsidRPr="00D95127" w:rsidRDefault="00A16DDB" w:rsidP="00A16DDB">
      <w:pPr>
        <w:keepNext/>
        <w:rPr>
          <w:rFonts w:cs="Times New Roman"/>
          <w:i/>
          <w:color w:val="44546A"/>
          <w:szCs w:val="24"/>
          <w:lang w:val="cs-CZ"/>
        </w:rPr>
        <w:sectPr w:rsidR="00A16DDB" w:rsidRPr="00D95127" w:rsidSect="00C82CBD">
          <w:pgSz w:w="16838" w:h="11906" w:orient="landscape"/>
          <w:pgMar w:top="1418" w:right="1418" w:bottom="1418" w:left="1418" w:header="709" w:footer="709" w:gutter="0"/>
          <w:cols w:space="708"/>
          <w:docGrid w:linePitch="360"/>
        </w:sectPr>
      </w:pPr>
    </w:p>
    <w:p w14:paraId="22153EC1" w14:textId="77777777" w:rsidR="00A16DDB" w:rsidRPr="00D95127" w:rsidRDefault="00A16DDB" w:rsidP="008A1AA0">
      <w:pPr>
        <w:pStyle w:val="Nadpis1"/>
      </w:pPr>
      <w:bookmarkStart w:id="1054" w:name="_Toc23401632"/>
      <w:bookmarkStart w:id="1055" w:name="_Toc23473704"/>
      <w:bookmarkStart w:id="1056" w:name="_Toc23475158"/>
      <w:bookmarkStart w:id="1057" w:name="_Toc23509777"/>
      <w:bookmarkStart w:id="1058" w:name="_Toc23509931"/>
      <w:bookmarkStart w:id="1059" w:name="_Toc27156980"/>
      <w:bookmarkStart w:id="1060" w:name="_Toc27172217"/>
      <w:bookmarkStart w:id="1061" w:name="_Toc27172869"/>
      <w:bookmarkStart w:id="1062" w:name="_Toc27173022"/>
      <w:bookmarkStart w:id="1063" w:name="_Toc76137460"/>
      <w:bookmarkStart w:id="1064" w:name="_Toc76637659"/>
      <w:bookmarkStart w:id="1065" w:name="_Toc77377766"/>
      <w:bookmarkStart w:id="1066" w:name="_Toc80953348"/>
      <w:bookmarkStart w:id="1067" w:name="_Toc15304109"/>
      <w:bookmarkStart w:id="1068" w:name="_Toc23509932"/>
      <w:bookmarkStart w:id="1069" w:name="_Toc76137461"/>
      <w:bookmarkStart w:id="1070" w:name="_Toc76637660"/>
      <w:bookmarkStart w:id="1071" w:name="_Toc80953349"/>
      <w:bookmarkStart w:id="1072" w:name="_Toc81739301"/>
      <w:bookmarkEnd w:id="1054"/>
      <w:bookmarkEnd w:id="1055"/>
      <w:bookmarkEnd w:id="1056"/>
      <w:bookmarkEnd w:id="1057"/>
      <w:bookmarkEnd w:id="1058"/>
      <w:bookmarkEnd w:id="1059"/>
      <w:bookmarkEnd w:id="1060"/>
      <w:bookmarkEnd w:id="1061"/>
      <w:bookmarkEnd w:id="1062"/>
      <w:bookmarkEnd w:id="1063"/>
      <w:bookmarkEnd w:id="1064"/>
      <w:bookmarkEnd w:id="1065"/>
      <w:bookmarkEnd w:id="1066"/>
      <w:r w:rsidRPr="00D95127">
        <w:t>SWOT analýza</w:t>
      </w:r>
      <w:bookmarkEnd w:id="1067"/>
      <w:bookmarkEnd w:id="1068"/>
      <w:bookmarkEnd w:id="1069"/>
      <w:bookmarkEnd w:id="1070"/>
      <w:bookmarkEnd w:id="1071"/>
      <w:bookmarkEnd w:id="1072"/>
    </w:p>
    <w:p w14:paraId="24153447" w14:textId="77777777" w:rsidR="00A16DDB" w:rsidRPr="008A1AA0" w:rsidRDefault="00A16DDB" w:rsidP="008A1AA0">
      <w:pPr>
        <w:ind w:left="-284" w:firstLine="709"/>
        <w:rPr>
          <w:rStyle w:val="Odkazintenzivn"/>
          <w:rFonts w:cs="Times New Roman"/>
          <w:caps/>
          <w:smallCaps w:val="0"/>
          <w:color w:val="auto"/>
          <w:szCs w:val="24"/>
          <w:lang w:val="cs-CZ"/>
        </w:rPr>
      </w:pPr>
      <w:r w:rsidRPr="008A1AA0">
        <w:rPr>
          <w:rStyle w:val="Odkazintenzivn"/>
          <w:rFonts w:cs="Times New Roman"/>
          <w:caps/>
          <w:smallCaps w:val="0"/>
          <w:color w:val="auto"/>
          <w:szCs w:val="24"/>
          <w:lang w:val="cs-CZ"/>
        </w:rPr>
        <w:t>Vepřové maso</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48"/>
        <w:gridCol w:w="4961"/>
      </w:tblGrid>
      <w:tr w:rsidR="00A16DDB" w:rsidRPr="00D95127" w14:paraId="25D7574B" w14:textId="77777777" w:rsidTr="00CA2783">
        <w:tc>
          <w:tcPr>
            <w:tcW w:w="4248" w:type="dxa"/>
            <w:shd w:val="clear" w:color="auto" w:fill="auto"/>
          </w:tcPr>
          <w:p w14:paraId="5C834A2E" w14:textId="77777777" w:rsidR="00A16DDB" w:rsidRPr="00D95127" w:rsidRDefault="00A16DDB" w:rsidP="007A627A">
            <w:pPr>
              <w:jc w:val="center"/>
              <w:rPr>
                <w:rFonts w:cs="Times New Roman"/>
                <w:b/>
                <w:szCs w:val="24"/>
                <w:lang w:val="cs-CZ"/>
              </w:rPr>
            </w:pPr>
            <w:r w:rsidRPr="00D95127">
              <w:rPr>
                <w:rFonts w:cs="Times New Roman"/>
                <w:b/>
                <w:szCs w:val="24"/>
                <w:lang w:val="cs-CZ"/>
              </w:rPr>
              <w:t>Silné stránky</w:t>
            </w:r>
          </w:p>
        </w:tc>
        <w:tc>
          <w:tcPr>
            <w:tcW w:w="4961" w:type="dxa"/>
            <w:shd w:val="clear" w:color="auto" w:fill="auto"/>
          </w:tcPr>
          <w:p w14:paraId="33C19E01" w14:textId="77777777" w:rsidR="00A16DDB" w:rsidRPr="00D95127" w:rsidRDefault="00A16DDB" w:rsidP="007A627A">
            <w:pPr>
              <w:jc w:val="center"/>
              <w:rPr>
                <w:rFonts w:cs="Times New Roman"/>
                <w:b/>
                <w:szCs w:val="24"/>
                <w:lang w:val="cs-CZ"/>
              </w:rPr>
            </w:pPr>
            <w:r w:rsidRPr="00D95127">
              <w:rPr>
                <w:rFonts w:cs="Times New Roman"/>
                <w:b/>
                <w:szCs w:val="24"/>
                <w:lang w:val="cs-CZ"/>
              </w:rPr>
              <w:t>Slabé stránky</w:t>
            </w:r>
          </w:p>
        </w:tc>
      </w:tr>
      <w:tr w:rsidR="00A16DDB" w:rsidRPr="00D95127" w14:paraId="1A9FE267" w14:textId="77777777" w:rsidTr="00CA2783">
        <w:tc>
          <w:tcPr>
            <w:tcW w:w="4248" w:type="dxa"/>
            <w:shd w:val="clear" w:color="auto" w:fill="auto"/>
          </w:tcPr>
          <w:p w14:paraId="513CA44C" w14:textId="64A99400" w:rsidR="00A16DDB" w:rsidRPr="00D95127" w:rsidRDefault="003B644E" w:rsidP="003B644E">
            <w:pPr>
              <w:pStyle w:val="UZEIOdrky"/>
              <w:ind w:left="460" w:hanging="425"/>
            </w:pPr>
            <w:r>
              <w:t xml:space="preserve">S1: </w:t>
            </w:r>
            <w:r w:rsidR="00A16DDB" w:rsidRPr="00D95127">
              <w:t>Existence podniků s vysokou koncentrací zvířat a s potenciálními výhodami z velikosti.</w:t>
            </w:r>
          </w:p>
          <w:p w14:paraId="1E77DF76" w14:textId="18640B4F" w:rsidR="00A16DDB" w:rsidRPr="00D95127" w:rsidRDefault="003B644E" w:rsidP="003B644E">
            <w:pPr>
              <w:pStyle w:val="UZEIOdrky"/>
              <w:ind w:left="460" w:hanging="425"/>
            </w:pPr>
            <w:r>
              <w:t xml:space="preserve">S2: </w:t>
            </w:r>
            <w:r w:rsidR="00A16DDB" w:rsidRPr="00D95127">
              <w:t>Zlepšující se reprodukční ukazatele v chovu prasnic (nyní již jen mírně pod úrovní chovatelsky nejvyspělejších zemí, tj. Nizozemska či Dánska).</w:t>
            </w:r>
          </w:p>
          <w:p w14:paraId="77C48243" w14:textId="469A6B7D" w:rsidR="00A16DDB" w:rsidRPr="00D95127" w:rsidRDefault="003B644E" w:rsidP="003B644E">
            <w:pPr>
              <w:pStyle w:val="UZEIOdrky"/>
              <w:ind w:left="460" w:hanging="425"/>
            </w:pPr>
            <w:r>
              <w:t xml:space="preserve">S3: </w:t>
            </w:r>
            <w:r w:rsidR="00A16DDB" w:rsidRPr="00D95127">
              <w:t>Zájem chovatelů o zvyšování kvality života chovaných prasat (zapojení do národních Programů a programů DŽPZ z PRV.</w:t>
            </w:r>
          </w:p>
          <w:p w14:paraId="78ADC0C3" w14:textId="09A3DE2F" w:rsidR="00A16DDB" w:rsidRPr="00D95127" w:rsidRDefault="003B644E" w:rsidP="003B644E">
            <w:pPr>
              <w:pStyle w:val="UZEIOdrky"/>
              <w:ind w:left="460" w:hanging="425"/>
            </w:pPr>
            <w:r>
              <w:t xml:space="preserve">S4: </w:t>
            </w:r>
            <w:r w:rsidR="00A16DDB" w:rsidRPr="00D95127">
              <w:t>Kladné saldo zahraničního obchodu s živými prasaty</w:t>
            </w:r>
          </w:p>
        </w:tc>
        <w:tc>
          <w:tcPr>
            <w:tcW w:w="4961" w:type="dxa"/>
            <w:shd w:val="clear" w:color="auto" w:fill="auto"/>
            <w:vAlign w:val="center"/>
          </w:tcPr>
          <w:p w14:paraId="3CC8E496" w14:textId="333AED44" w:rsidR="00A16DDB" w:rsidRPr="00D95127" w:rsidRDefault="003B644E" w:rsidP="003B644E">
            <w:pPr>
              <w:pStyle w:val="UZEIOdrky"/>
              <w:ind w:left="460" w:hanging="425"/>
            </w:pPr>
            <w:r>
              <w:t xml:space="preserve">W1: </w:t>
            </w:r>
            <w:r w:rsidR="00A16DDB" w:rsidRPr="00D95127">
              <w:t>Přes významný podíl velkovýroby je produkce velmi mírně zisková po započítání veškerých národních přímých i nepřímých podpor u podniků tvořících převažující část produkce (hlavní příčinou jsou horší, byť zlepšující se produkční ukazatele, vyšší náklady na krmiva, neexistence přímých podpor a zejména nižší CZV poskytované domácím zpracovatelským průmyslem).</w:t>
            </w:r>
          </w:p>
          <w:p w14:paraId="01F63021" w14:textId="4F9F83DA" w:rsidR="00A16DDB" w:rsidRPr="00D95127" w:rsidRDefault="003B644E" w:rsidP="003B644E">
            <w:pPr>
              <w:pStyle w:val="UZEIOdrky"/>
              <w:ind w:left="460" w:hanging="425"/>
            </w:pPr>
            <w:r>
              <w:t>W2:</w:t>
            </w:r>
            <w:r w:rsidR="00A16DDB" w:rsidRPr="00D95127">
              <w:t>Nízká míra rentability chovu prasnic, redukce jejich stavů.</w:t>
            </w:r>
          </w:p>
          <w:p w14:paraId="5CA10919" w14:textId="458A7B80" w:rsidR="00A16DDB" w:rsidRPr="00D95127" w:rsidRDefault="003B644E" w:rsidP="003B644E">
            <w:pPr>
              <w:pStyle w:val="UZEIOdrky"/>
              <w:ind w:left="460" w:hanging="425"/>
            </w:pPr>
            <w:r>
              <w:t xml:space="preserve">W3: </w:t>
            </w:r>
            <w:r w:rsidR="00A16DDB" w:rsidRPr="00D95127">
              <w:t>Malý podíl obchodované produkce prostřednictvím odbytových organizací.</w:t>
            </w:r>
          </w:p>
          <w:p w14:paraId="28E6FD3F" w14:textId="78F97492" w:rsidR="00A16DDB" w:rsidRPr="00D95127" w:rsidRDefault="003B644E" w:rsidP="003B644E">
            <w:pPr>
              <w:pStyle w:val="UZEIOdrky"/>
              <w:ind w:left="460" w:hanging="425"/>
            </w:pPr>
            <w:r>
              <w:t xml:space="preserve">W4: </w:t>
            </w:r>
            <w:r w:rsidR="00A16DDB" w:rsidRPr="00D95127">
              <w:t>Vyšší rizika negativních dopadů velkokapacitních objektů na životní prostředí.</w:t>
            </w:r>
          </w:p>
          <w:p w14:paraId="408E195A" w14:textId="40B527A1" w:rsidR="00A16DDB" w:rsidRPr="00D95127" w:rsidRDefault="003B644E" w:rsidP="003B644E">
            <w:pPr>
              <w:pStyle w:val="UZEIOdrky"/>
              <w:ind w:left="460" w:hanging="425"/>
            </w:pPr>
            <w:r>
              <w:t xml:space="preserve">W5: </w:t>
            </w:r>
            <w:r w:rsidR="00A16DDB" w:rsidRPr="00D95127">
              <w:t>Absence národních (soukromých) systémů kvality, resp. vhodné zapojení do nadnárodních systémů kvality.</w:t>
            </w:r>
          </w:p>
          <w:p w14:paraId="266F65C4" w14:textId="5B5F3E13" w:rsidR="00A16DDB" w:rsidRPr="00D95127" w:rsidRDefault="003B644E" w:rsidP="003B644E">
            <w:pPr>
              <w:pStyle w:val="UZEIOdrky"/>
              <w:ind w:left="460" w:hanging="425"/>
            </w:pPr>
            <w:r>
              <w:t xml:space="preserve">W6: </w:t>
            </w:r>
            <w:r w:rsidR="00A16DDB" w:rsidRPr="00D95127">
              <w:t xml:space="preserve">Absence nezávislého výzkumu </w:t>
            </w:r>
          </w:p>
        </w:tc>
      </w:tr>
      <w:tr w:rsidR="00A16DDB" w:rsidRPr="00D95127" w14:paraId="64CE7122" w14:textId="77777777" w:rsidTr="00CA2783">
        <w:tc>
          <w:tcPr>
            <w:tcW w:w="4248" w:type="dxa"/>
            <w:shd w:val="clear" w:color="auto" w:fill="auto"/>
          </w:tcPr>
          <w:p w14:paraId="02BD46DD" w14:textId="77777777" w:rsidR="00A16DDB" w:rsidRPr="00D95127" w:rsidRDefault="00A16DDB" w:rsidP="007A627A">
            <w:pPr>
              <w:jc w:val="center"/>
              <w:rPr>
                <w:rFonts w:cs="Times New Roman"/>
                <w:b/>
                <w:szCs w:val="24"/>
                <w:lang w:val="cs-CZ"/>
              </w:rPr>
            </w:pPr>
            <w:r w:rsidRPr="00D95127">
              <w:rPr>
                <w:rFonts w:cs="Times New Roman"/>
                <w:b/>
                <w:szCs w:val="24"/>
                <w:lang w:val="cs-CZ"/>
              </w:rPr>
              <w:t>Příležitosti</w:t>
            </w:r>
          </w:p>
        </w:tc>
        <w:tc>
          <w:tcPr>
            <w:tcW w:w="4961" w:type="dxa"/>
            <w:shd w:val="clear" w:color="auto" w:fill="auto"/>
          </w:tcPr>
          <w:p w14:paraId="32543DAA" w14:textId="77777777" w:rsidR="00A16DDB" w:rsidRPr="00D95127" w:rsidRDefault="00A16DDB" w:rsidP="007A627A">
            <w:pPr>
              <w:jc w:val="center"/>
              <w:rPr>
                <w:rFonts w:cs="Times New Roman"/>
                <w:b/>
                <w:szCs w:val="24"/>
                <w:lang w:val="cs-CZ"/>
              </w:rPr>
            </w:pPr>
            <w:r w:rsidRPr="00D95127">
              <w:rPr>
                <w:rFonts w:cs="Times New Roman"/>
                <w:b/>
                <w:szCs w:val="24"/>
                <w:lang w:val="cs-CZ"/>
              </w:rPr>
              <w:t>Ohrožení</w:t>
            </w:r>
          </w:p>
        </w:tc>
      </w:tr>
      <w:tr w:rsidR="00A16DDB" w:rsidRPr="00D95127" w14:paraId="0B4ECF46" w14:textId="77777777" w:rsidTr="00CA2783">
        <w:tc>
          <w:tcPr>
            <w:tcW w:w="4248" w:type="dxa"/>
            <w:shd w:val="clear" w:color="auto" w:fill="auto"/>
          </w:tcPr>
          <w:p w14:paraId="5ED7160B" w14:textId="44DF6E41" w:rsidR="00A16DDB" w:rsidRPr="00D95127" w:rsidRDefault="003B644E" w:rsidP="003B644E">
            <w:pPr>
              <w:pStyle w:val="UZEIOdrky"/>
              <w:ind w:left="460" w:hanging="425"/>
            </w:pPr>
            <w:r>
              <w:t xml:space="preserve">O1: </w:t>
            </w:r>
            <w:r w:rsidR="00A16DDB" w:rsidRPr="00D95127">
              <w:t>Rostoucí poptávka spotřebitelů po produktech s vyšší jakostí</w:t>
            </w:r>
          </w:p>
          <w:p w14:paraId="437D4000" w14:textId="524C40EE" w:rsidR="00A16DDB" w:rsidRPr="00D95127" w:rsidRDefault="003B644E" w:rsidP="003B644E">
            <w:pPr>
              <w:pStyle w:val="UZEIOdrky"/>
              <w:ind w:left="460" w:hanging="425"/>
            </w:pPr>
            <w:r>
              <w:t xml:space="preserve">O2: </w:t>
            </w:r>
            <w:r w:rsidR="00A16DDB" w:rsidRPr="00D95127">
              <w:t>Vyšší nároky společnosti na kvalitu života chovaných zvířat</w:t>
            </w:r>
          </w:p>
          <w:p w14:paraId="3915E864" w14:textId="2F250F01" w:rsidR="00A16DDB" w:rsidRPr="00D95127" w:rsidRDefault="003B644E" w:rsidP="003B644E">
            <w:pPr>
              <w:pStyle w:val="UZEIOdrky"/>
              <w:ind w:left="460" w:hanging="425"/>
            </w:pPr>
            <w:r>
              <w:t xml:space="preserve">O3: </w:t>
            </w:r>
            <w:r w:rsidR="00A16DDB" w:rsidRPr="00D95127">
              <w:t>Rozvoj nových technologií (úspora pracovní síly, další zlepšování welfare nad standardní úroveň)</w:t>
            </w:r>
          </w:p>
        </w:tc>
        <w:tc>
          <w:tcPr>
            <w:tcW w:w="4961" w:type="dxa"/>
            <w:shd w:val="clear" w:color="auto" w:fill="auto"/>
          </w:tcPr>
          <w:p w14:paraId="188124EA" w14:textId="0BCFFE7F" w:rsidR="00A16DDB" w:rsidRPr="00D95127" w:rsidRDefault="003B644E" w:rsidP="003B644E">
            <w:pPr>
              <w:pStyle w:val="UZEIOdrky"/>
              <w:ind w:left="460" w:hanging="425"/>
            </w:pPr>
            <w:r>
              <w:t xml:space="preserve">T1: </w:t>
            </w:r>
            <w:r w:rsidR="00A16DDB" w:rsidRPr="00D95127">
              <w:t>Zpřísňující se požadavky nakvalitu života zvířat včetně jejich transportu (s dopady do omezení produkce a růstu nákladů).</w:t>
            </w:r>
          </w:p>
          <w:p w14:paraId="2D71DDA8" w14:textId="72D73F1D" w:rsidR="00A16DDB" w:rsidRPr="00D95127" w:rsidRDefault="003B644E" w:rsidP="003B644E">
            <w:pPr>
              <w:pStyle w:val="UZEIOdrky"/>
              <w:ind w:left="460" w:hanging="425"/>
            </w:pPr>
            <w:r>
              <w:t xml:space="preserve">T2: </w:t>
            </w:r>
            <w:r w:rsidR="00A16DDB" w:rsidRPr="00D95127">
              <w:t>Konkurence dovozů vepřového masa.</w:t>
            </w:r>
          </w:p>
          <w:p w14:paraId="045135CD" w14:textId="17A62A17" w:rsidR="00A16DDB" w:rsidRPr="00D95127" w:rsidRDefault="003B644E" w:rsidP="003B644E">
            <w:pPr>
              <w:pStyle w:val="UZEIOdrky"/>
              <w:ind w:left="460" w:hanging="425"/>
            </w:pPr>
            <w:r>
              <w:t xml:space="preserve">T3: </w:t>
            </w:r>
            <w:r w:rsidR="00A16DDB" w:rsidRPr="00D95127">
              <w:t>Zvýšení nákladů na práci, půdu a krmiva (zejména na dovozové komponenty – sóju a v důsledku konkurence bio-energetiky).</w:t>
            </w:r>
          </w:p>
          <w:p w14:paraId="3A899CB1" w14:textId="48503582" w:rsidR="00A16DDB" w:rsidRPr="00D95127" w:rsidRDefault="003B644E" w:rsidP="003B644E">
            <w:pPr>
              <w:pStyle w:val="UZEIOdrky"/>
              <w:ind w:left="460" w:hanging="425"/>
            </w:pPr>
            <w:r>
              <w:t xml:space="preserve">T4: </w:t>
            </w:r>
            <w:r w:rsidR="00A16DDB" w:rsidRPr="00D95127">
              <w:t>Nedostatek pracovní síly v odvětví, (nižší atraktivita) zejména v živočišné výrobě</w:t>
            </w:r>
          </w:p>
          <w:p w14:paraId="4C4CF403" w14:textId="0C545266" w:rsidR="00A16DDB" w:rsidRPr="00D95127" w:rsidRDefault="003B644E" w:rsidP="003B644E">
            <w:pPr>
              <w:pStyle w:val="UZEIOdrky"/>
              <w:ind w:left="460" w:hanging="425"/>
            </w:pPr>
            <w:r>
              <w:t xml:space="preserve">T5: </w:t>
            </w:r>
            <w:r w:rsidR="00A16DDB" w:rsidRPr="00D95127">
              <w:t>Vyšší příjmová a nákazová rizika u podniků s vysokou koncentrací zvířat.</w:t>
            </w:r>
          </w:p>
          <w:p w14:paraId="3F39FC65" w14:textId="77232C6B" w:rsidR="00A16DDB" w:rsidRPr="00D95127" w:rsidRDefault="003B644E" w:rsidP="003B644E">
            <w:pPr>
              <w:pStyle w:val="UZEIOdrky"/>
              <w:ind w:left="460" w:hanging="425"/>
            </w:pPr>
            <w:r>
              <w:t xml:space="preserve">T6: </w:t>
            </w:r>
            <w:r w:rsidR="00A16DDB" w:rsidRPr="00D95127">
              <w:t>Odklon některých spotřebitelů od tučnějších druhů masa (včetně vepřového) směrem k bílým masům).</w:t>
            </w:r>
          </w:p>
          <w:p w14:paraId="2E947859" w14:textId="13571BBB" w:rsidR="00A16DDB" w:rsidRPr="00D95127" w:rsidRDefault="003B644E" w:rsidP="003B644E">
            <w:pPr>
              <w:pStyle w:val="UZEIOdrky"/>
              <w:ind w:left="460" w:hanging="425"/>
            </w:pPr>
            <w:r>
              <w:t xml:space="preserve">T7: </w:t>
            </w:r>
            <w:r w:rsidR="00A16DDB" w:rsidRPr="00D95127">
              <w:t>Zpřísňování podmínek welfare (přeprava na delší vzdálenosti, krácení ocásků, apod.)</w:t>
            </w:r>
          </w:p>
          <w:p w14:paraId="10D9B704" w14:textId="086A6B47" w:rsidR="00A16DDB" w:rsidRPr="00D95127" w:rsidRDefault="003B644E" w:rsidP="003B644E">
            <w:pPr>
              <w:pStyle w:val="UZEIOdrky"/>
              <w:ind w:left="460" w:hanging="425"/>
            </w:pPr>
            <w:r>
              <w:t xml:space="preserve">T8: </w:t>
            </w:r>
            <w:r w:rsidR="00A16DDB" w:rsidRPr="00D95127">
              <w:t>Zpřísňování podmínek užívání ATB v chovech</w:t>
            </w:r>
          </w:p>
        </w:tc>
      </w:tr>
    </w:tbl>
    <w:p w14:paraId="69727A75" w14:textId="77777777" w:rsidR="00A16DDB" w:rsidRPr="00D95127" w:rsidRDefault="00A16DDB" w:rsidP="00A16DDB">
      <w:pPr>
        <w:rPr>
          <w:rFonts w:eastAsia="Times New Roman" w:cs="Times New Roman"/>
          <w:b/>
          <w:color w:val="2E74B5"/>
          <w:szCs w:val="24"/>
          <w:lang w:val="cs-CZ"/>
        </w:rPr>
      </w:pPr>
      <w:bookmarkStart w:id="1073" w:name="_Toc526113888"/>
      <w:bookmarkStart w:id="1074" w:name="_Toc526114044"/>
      <w:bookmarkStart w:id="1075" w:name="_Toc12449699"/>
      <w:bookmarkStart w:id="1076" w:name="_Toc15304110"/>
      <w:bookmarkStart w:id="1077" w:name="_Toc23509933"/>
      <w:r w:rsidRPr="00D95127">
        <w:rPr>
          <w:rFonts w:cs="Times New Roman"/>
          <w:b/>
          <w:szCs w:val="24"/>
          <w:lang w:val="cs-CZ"/>
        </w:rPr>
        <w:br w:type="page"/>
      </w:r>
    </w:p>
    <w:p w14:paraId="67D0C606" w14:textId="77777777" w:rsidR="00A16DDB" w:rsidRPr="00D95127" w:rsidRDefault="00A16DDB" w:rsidP="007F6BA1">
      <w:pPr>
        <w:pStyle w:val="UZEINadpis1stbezsla"/>
      </w:pPr>
      <w:bookmarkStart w:id="1078" w:name="_Toc76137462"/>
      <w:bookmarkStart w:id="1079" w:name="_Toc76637661"/>
      <w:bookmarkStart w:id="1080" w:name="_Toc80953350"/>
      <w:bookmarkStart w:id="1081" w:name="_Toc81739302"/>
      <w:r w:rsidRPr="00D95127">
        <w:t>DRŮBEŽÍ MASO A VEJCE</w:t>
      </w:r>
      <w:bookmarkEnd w:id="1073"/>
      <w:bookmarkEnd w:id="1074"/>
      <w:bookmarkEnd w:id="1075"/>
      <w:bookmarkEnd w:id="1076"/>
      <w:bookmarkEnd w:id="1077"/>
      <w:bookmarkEnd w:id="1078"/>
      <w:bookmarkEnd w:id="1079"/>
      <w:bookmarkEnd w:id="1080"/>
      <w:bookmarkEnd w:id="1081"/>
    </w:p>
    <w:p w14:paraId="4F49C71E" w14:textId="77777777" w:rsidR="00A16DDB" w:rsidRPr="00D95127" w:rsidRDefault="00A16DDB" w:rsidP="00DE7D57">
      <w:pPr>
        <w:pStyle w:val="Nadpis1"/>
        <w:numPr>
          <w:ilvl w:val="0"/>
          <w:numId w:val="30"/>
        </w:numPr>
      </w:pPr>
      <w:bookmarkStart w:id="1082" w:name="_Toc15304111"/>
      <w:bookmarkStart w:id="1083" w:name="_Toc23509934"/>
      <w:bookmarkStart w:id="1084" w:name="_Toc76137463"/>
      <w:bookmarkStart w:id="1085" w:name="_Toc76637662"/>
      <w:bookmarkStart w:id="1086" w:name="_Toc80953351"/>
      <w:bookmarkStart w:id="1087" w:name="_Toc81739303"/>
      <w:r w:rsidRPr="00D95127">
        <w:t>Analýza stávajících/navrhovaných právních předpisů EK/ČR a pravděpodobné nastavení směrů a cílů SZP</w:t>
      </w:r>
      <w:bookmarkEnd w:id="1082"/>
      <w:bookmarkEnd w:id="1083"/>
      <w:bookmarkEnd w:id="1084"/>
      <w:bookmarkEnd w:id="1085"/>
      <w:bookmarkEnd w:id="1086"/>
      <w:bookmarkEnd w:id="1087"/>
    </w:p>
    <w:p w14:paraId="5C68BC2A" w14:textId="77777777" w:rsidR="00A16DDB" w:rsidRPr="007F6BA1" w:rsidRDefault="00A16DDB" w:rsidP="007F6BA1">
      <w:pPr>
        <w:pStyle w:val="UZEINormaln"/>
        <w:rPr>
          <w:u w:val="single"/>
        </w:rPr>
      </w:pPr>
      <w:r w:rsidRPr="007F6BA1">
        <w:rPr>
          <w:u w:val="single"/>
        </w:rPr>
        <w:t>Tato část je zpracována souhrnně v základním analytickém dokumentu za oblast konkurenceschopnost zemědělství.</w:t>
      </w:r>
    </w:p>
    <w:p w14:paraId="3907712C" w14:textId="77777777" w:rsidR="00A16DDB" w:rsidRPr="00D95127" w:rsidRDefault="00A16DDB" w:rsidP="00A16DDB">
      <w:pPr>
        <w:pStyle w:val="Odstavecseseznamem"/>
        <w:ind w:left="0" w:firstLine="709"/>
        <w:rPr>
          <w:u w:val="single"/>
        </w:rPr>
      </w:pPr>
    </w:p>
    <w:p w14:paraId="5D62CDF5" w14:textId="77777777" w:rsidR="007F6BA1" w:rsidRDefault="007F6BA1">
      <w:pPr>
        <w:spacing w:after="160" w:line="259" w:lineRule="auto"/>
        <w:jc w:val="left"/>
        <w:rPr>
          <w:rFonts w:eastAsiaTheme="majorEastAsia" w:cs="Times New Roman"/>
          <w:b/>
          <w:bCs/>
          <w:sz w:val="28"/>
          <w:szCs w:val="32"/>
          <w:lang w:val="cs-CZ"/>
        </w:rPr>
      </w:pPr>
      <w:bookmarkStart w:id="1088" w:name="_Toc15304112"/>
      <w:bookmarkStart w:id="1089" w:name="_Toc23509935"/>
      <w:bookmarkStart w:id="1090" w:name="_Toc76137464"/>
      <w:bookmarkStart w:id="1091" w:name="_Toc76637663"/>
      <w:bookmarkStart w:id="1092" w:name="_Toc80953352"/>
      <w:r>
        <w:br w:type="page"/>
      </w:r>
    </w:p>
    <w:p w14:paraId="6D8D7D9F" w14:textId="7579D164" w:rsidR="00A16DDB" w:rsidRPr="00D95127" w:rsidRDefault="00A16DDB" w:rsidP="007F6BA1">
      <w:pPr>
        <w:pStyle w:val="Nadpis1"/>
      </w:pPr>
      <w:bookmarkStart w:id="1093" w:name="_Toc81739304"/>
      <w:r w:rsidRPr="00D95127">
        <w:t>Co je skutečným problémem, na který má politika reagovat?</w:t>
      </w:r>
      <w:bookmarkEnd w:id="1088"/>
      <w:bookmarkEnd w:id="1089"/>
      <w:bookmarkEnd w:id="1090"/>
      <w:bookmarkEnd w:id="1091"/>
      <w:bookmarkEnd w:id="1092"/>
      <w:bookmarkEnd w:id="1093"/>
    </w:p>
    <w:p w14:paraId="68193864" w14:textId="0A0C5E75" w:rsidR="00A16DDB" w:rsidRPr="00D95127" w:rsidRDefault="00A16DDB" w:rsidP="007F6BA1">
      <w:pPr>
        <w:pStyle w:val="UZEINormaln"/>
      </w:pPr>
      <w:r w:rsidRPr="00D95127">
        <w:t>Výroba drůbežího masa a vajec se v ČR řadí k sektorům zemědělské produkce, ve kterých stavy drůbeže a celková produkce dlouhodobě nejprve klesaly, následně se stabilizovaly po roce 2011 a v posledních letech nastává jejich velmi mírné oživení. Stavy nosnic dosahují 20letého maxima, a v důsledku rostoucí užitkovosti dochází k mírnému nárůstu produkce. Rostoucí domácí spotřebu drůbežího masa při rostoucí domácí produkci však stále kryje ve velké míře dovoz, jehož podíl na domácí spotřebě se drží na 47 % v případě drůbežího masa; v případě vajec se zvýšil z 20 % na 24 %. Průměrné výrobní náklady na 1 kg ž. hm. u drůbežího masa jsou v ČR o 17 % vyšší oproti největším konkurentům z Polska a u vajec dokonce o 29 %.</w:t>
      </w:r>
    </w:p>
    <w:p w14:paraId="2A954971" w14:textId="60FD7933" w:rsidR="00A16DDB" w:rsidRPr="00D95127" w:rsidRDefault="00A16DDB" w:rsidP="007F6BA1">
      <w:pPr>
        <w:pStyle w:val="UZEINormaln"/>
      </w:pPr>
      <w:r w:rsidRPr="00D95127">
        <w:t>Výsledná míra soběstačnosti v případě jatečné drůbeže poklesla za sledované období od roku 2011 o 7 p. b. na výslednou úroveň 71 % a v případě drůbežího masa dokonce na 63 %. V případě vajec míra soběstačnosti v posledních dvou letech (2017 a 2018) je na úrovni 90 %. Také obchodní bilance, charakterizující pozici českých producentů vůči zahraničí, se od roku 2011 prohloubila na úroveň -3,7 mld. Kč u živé drůbeže a drůbežího masa. U vajec se o cca čtvrtinu snížila na -303 mil. Kč, přičemž prohlubující se saldo v konzumních vejcích je částečně eliminováno pozitivním saldem násadových vajec. Konkurenční pozice českých producentů tak zůstává, i přes značné technologické zlepšení v případě chovu nosnic, kdy od roku 2012 není přípustný chov v jiných než obohacených klecích, vesměs slabá. V případě jatečné drůbeže je vážně ohroženo plnění strategických vizí MZe.</w:t>
      </w:r>
      <w:r w:rsidRPr="00D95127">
        <w:rPr>
          <w:rStyle w:val="Znakapoznpodarou"/>
        </w:rPr>
        <w:footnoteReference w:id="44"/>
      </w:r>
      <w:r w:rsidRPr="00D95127">
        <w:t xml:space="preserve">  </w:t>
      </w:r>
    </w:p>
    <w:p w14:paraId="3C2F4A38" w14:textId="77777777" w:rsidR="00A16DDB" w:rsidRPr="00D95127" w:rsidRDefault="00A16DDB" w:rsidP="007F6BA1">
      <w:pPr>
        <w:pStyle w:val="UZEINormaln"/>
      </w:pPr>
      <w:r w:rsidRPr="00D95127">
        <w:t>Slabou stránkou odvětví drůbežího masa je také nepřirozenost velkovýrobního procesu, která může ústit v konkrétní problémy (podrobněji viz SWOT analýza).</w:t>
      </w:r>
    </w:p>
    <w:p w14:paraId="0E29F8C4" w14:textId="77777777" w:rsidR="007F6BA1" w:rsidRDefault="007F6BA1">
      <w:pPr>
        <w:spacing w:after="160" w:line="259" w:lineRule="auto"/>
        <w:jc w:val="left"/>
        <w:rPr>
          <w:rFonts w:eastAsiaTheme="majorEastAsia" w:cs="Times New Roman"/>
          <w:b/>
          <w:bCs/>
          <w:sz w:val="28"/>
          <w:szCs w:val="32"/>
          <w:lang w:val="cs-CZ"/>
        </w:rPr>
      </w:pPr>
      <w:bookmarkStart w:id="1094" w:name="_Toc15304113"/>
      <w:bookmarkStart w:id="1095" w:name="_Toc23509936"/>
      <w:bookmarkStart w:id="1096" w:name="_Toc76137465"/>
      <w:bookmarkStart w:id="1097" w:name="_Toc76637664"/>
      <w:bookmarkStart w:id="1098" w:name="_Toc80953353"/>
      <w:r>
        <w:br w:type="page"/>
      </w:r>
    </w:p>
    <w:p w14:paraId="7D3F1BD5" w14:textId="328407BF" w:rsidR="00A16DDB" w:rsidRPr="00D95127" w:rsidRDefault="00A16DDB" w:rsidP="007F6BA1">
      <w:pPr>
        <w:pStyle w:val="Nadpis1"/>
      </w:pPr>
      <w:bookmarkStart w:id="1099" w:name="_Toc81739305"/>
      <w:r w:rsidRPr="00D95127">
        <w:t>Jaký je mechanizmus a příčiny tohoto problému?</w:t>
      </w:r>
      <w:bookmarkEnd w:id="1094"/>
      <w:bookmarkEnd w:id="1095"/>
      <w:bookmarkEnd w:id="1096"/>
      <w:bookmarkEnd w:id="1097"/>
      <w:bookmarkEnd w:id="1098"/>
      <w:bookmarkEnd w:id="1099"/>
    </w:p>
    <w:p w14:paraId="791BC43E" w14:textId="77777777" w:rsidR="00A16DDB" w:rsidRPr="00D95127" w:rsidRDefault="00A16DDB" w:rsidP="007F6BA1">
      <w:pPr>
        <w:pStyle w:val="UZEINormaln"/>
      </w:pPr>
      <w:r w:rsidRPr="00D95127">
        <w:t>Ačkoli příčiny uvedených problémů jsou u těchto sektorů často diferencované, mezi společné faktory patří zejména:</w:t>
      </w:r>
    </w:p>
    <w:p w14:paraId="3944871E" w14:textId="77777777" w:rsidR="00A16DDB" w:rsidRPr="007F6BA1" w:rsidRDefault="00A16DDB" w:rsidP="007F6BA1">
      <w:pPr>
        <w:pStyle w:val="UZEIOdrky"/>
        <w:rPr>
          <w:b/>
          <w:bCs/>
        </w:rPr>
      </w:pPr>
      <w:r w:rsidRPr="007F6BA1">
        <w:rPr>
          <w:b/>
          <w:bCs/>
        </w:rPr>
        <w:t>Nižší konverze krmiv ve srovnání s největšími konkurenty.</w:t>
      </w:r>
    </w:p>
    <w:p w14:paraId="150068D6" w14:textId="77777777" w:rsidR="00A16DDB" w:rsidRPr="007F6BA1" w:rsidRDefault="00A16DDB" w:rsidP="007F6BA1">
      <w:pPr>
        <w:pStyle w:val="UZEIOdrky"/>
        <w:rPr>
          <w:b/>
          <w:bCs/>
        </w:rPr>
      </w:pPr>
      <w:r w:rsidRPr="007F6BA1">
        <w:rPr>
          <w:b/>
          <w:bCs/>
        </w:rPr>
        <w:t>Vysoké požadavky na chov vyplývajících z veterinárních předpisů.</w:t>
      </w:r>
    </w:p>
    <w:p w14:paraId="4BC2928A" w14:textId="77777777" w:rsidR="00A16DDB" w:rsidRPr="007F6BA1" w:rsidRDefault="00A16DDB" w:rsidP="007F6BA1">
      <w:pPr>
        <w:pStyle w:val="UZEIOdrky"/>
        <w:rPr>
          <w:b/>
          <w:bCs/>
        </w:rPr>
      </w:pPr>
      <w:r w:rsidRPr="007F6BA1">
        <w:rPr>
          <w:b/>
          <w:bCs/>
        </w:rPr>
        <w:t>Nízký stupeň technologické obměny v chovu brojlerů způsobující vyšší provozní náklady.</w:t>
      </w:r>
    </w:p>
    <w:p w14:paraId="027C85D6" w14:textId="77777777" w:rsidR="00A16DDB" w:rsidRPr="007F6BA1" w:rsidRDefault="00A16DDB" w:rsidP="007F6BA1">
      <w:pPr>
        <w:pStyle w:val="UZEIOdrky"/>
        <w:rPr>
          <w:b/>
          <w:bCs/>
        </w:rPr>
      </w:pPr>
      <w:r w:rsidRPr="007F6BA1">
        <w:rPr>
          <w:b/>
          <w:bCs/>
        </w:rPr>
        <w:t>Celkově slabá pozice v odbytovém řetězci při současně nedostatečně rozvinutých krátkých dodavatelských řetězcích (KDŘ).</w:t>
      </w:r>
    </w:p>
    <w:p w14:paraId="7E272414" w14:textId="77777777" w:rsidR="00A16DDB" w:rsidRPr="007F6BA1" w:rsidRDefault="00A16DDB" w:rsidP="007F6BA1">
      <w:pPr>
        <w:pStyle w:val="UZEIOdrky"/>
        <w:rPr>
          <w:b/>
          <w:bCs/>
        </w:rPr>
      </w:pPr>
      <w:r w:rsidRPr="007F6BA1">
        <w:rPr>
          <w:b/>
          <w:bCs/>
        </w:rPr>
        <w:t>Nízká inovativnost a neexistence režimu jakosti.</w:t>
      </w:r>
    </w:p>
    <w:p w14:paraId="3E9FFC18" w14:textId="77777777" w:rsidR="00A16DDB" w:rsidRPr="007F6BA1" w:rsidRDefault="00A16DDB" w:rsidP="007F6BA1">
      <w:pPr>
        <w:pStyle w:val="UZEIOdrky"/>
        <w:rPr>
          <w:b/>
          <w:bCs/>
        </w:rPr>
      </w:pPr>
      <w:r w:rsidRPr="007F6BA1">
        <w:rPr>
          <w:b/>
          <w:bCs/>
        </w:rPr>
        <w:t>Podniky bez půdy nemají podporu ve stabilním příjmu z přímých plateb.</w:t>
      </w:r>
      <w:r w:rsidRPr="007F6BA1">
        <w:rPr>
          <w:rStyle w:val="Znakapoznpodarou"/>
          <w:b/>
          <w:bCs/>
        </w:rPr>
        <w:footnoteReference w:id="45"/>
      </w:r>
    </w:p>
    <w:p w14:paraId="1A96F39F" w14:textId="77777777" w:rsidR="00A16DDB" w:rsidRPr="00D95127" w:rsidRDefault="00A16DDB" w:rsidP="007F6BA1">
      <w:pPr>
        <w:pStyle w:val="UZEINormaln"/>
      </w:pPr>
      <w:r w:rsidRPr="00D95127">
        <w:t>V ČR je délka výkrmu jedna z nejnižších, a zároveň porážková hmotnost 2. nejnižší, což naznačuje možnou příčinu v technologii chovu, která vyprodukuje z 1 brojlera menší objem produkce, než je tomu v ostatních státech. V Německu je délka srovnatelná, ale přesto je dosahováno vyšší porážkové hmotnosti o 11 %, což může indikovat lepší konverzi krmiva. V Polsku je délka o 7 dní delší a porážková hmotnost vyšší o 28 %, při srovnatelné výtěžnosti. Přitom genetika chované drůbeže je na srovnatelné úrovni s ostatními zeměmi a používají se stejní hybridi napříč státy EU.</w:t>
      </w:r>
    </w:p>
    <w:p w14:paraId="2C0CD881" w14:textId="77777777" w:rsidR="00A16DDB" w:rsidRPr="00D95127" w:rsidRDefault="00A16DDB" w:rsidP="007F6BA1">
      <w:pPr>
        <w:pStyle w:val="UZEINormaln"/>
      </w:pPr>
      <w:r w:rsidRPr="00D95127">
        <w:t xml:space="preserve">Eurostat prezentuje též podíl výdajů na krmiva a veterinární výdaje na hodnotě produkce v ŽV: v ČR tento činí 74,8 %, průměr EU je 59,5 % (např. Polsko 46,7 %), jen 5 států vynaloží více než ČR. </w:t>
      </w:r>
    </w:p>
    <w:p w14:paraId="03DA9A1E" w14:textId="411C3E8D" w:rsidR="00A16DDB" w:rsidRPr="00D95127" w:rsidRDefault="00A16DDB" w:rsidP="007F6BA1">
      <w:pPr>
        <w:pStyle w:val="UZEINormaln"/>
      </w:pPr>
      <w:r w:rsidRPr="00D95127">
        <w:t>Náklady na produkci kuřat chovaných na maso v ČR v roce 2017 činily 22,99 Kč/kg ž. hm. (dle nákladového šetření ÚZEI), zatímco v Polsku dosahovaly v roce 2017 v přepočtu 20,70 Kč/kg ž. hm. (Wageningen Economic Research Report). Polští producenti mají vyšší náklady na krmiva než ČR, ale vynaloží menší náklady na pracovní sílu. Navíc mají za rok 2017 i relativně nízké náklady na porážku (5,79 Kč/kg j. hm.), kde průměr EU 28 v přepočtu činil 7,37 Kč/kg j. hm. Postupnými výpočty se dojde k závěru, že jiné náklady než na krmiva na produkci jatečných kuřat byly v roce 2017 v Polsku asi o čtvrtinu nižší než v ČR . V porovnání se třetími zeměmi vychází konkurenceschopnost ČR ještě hůře.</w:t>
      </w:r>
    </w:p>
    <w:p w14:paraId="74572EC9" w14:textId="15824432" w:rsidR="00A16DDB" w:rsidRPr="00D95127" w:rsidRDefault="00A16DDB" w:rsidP="007F6BA1">
      <w:pPr>
        <w:pStyle w:val="UZEITaB"/>
        <w:ind w:left="1134" w:hanging="1134"/>
      </w:pPr>
      <w:bookmarkStart w:id="1100" w:name="_Toc81738539"/>
      <w:r w:rsidRPr="00D95127">
        <w:t>Srovnání ekonomiky výkrmu kuřat v ČR a Polsku v roce 2017</w:t>
      </w:r>
      <w:bookmarkEnd w:id="1100"/>
    </w:p>
    <w:p w14:paraId="4FAAD692" w14:textId="3CAA73D7" w:rsidR="00A16DDB" w:rsidRPr="00D95127" w:rsidRDefault="00A16DDB" w:rsidP="00A16DDB">
      <w:pPr>
        <w:rPr>
          <w:rFonts w:cs="Times New Roman"/>
          <w:szCs w:val="24"/>
          <w:lang w:val="cs-CZ"/>
        </w:rPr>
      </w:pPr>
      <w:r w:rsidRPr="00D95127">
        <w:rPr>
          <w:rFonts w:cs="Times New Roman"/>
          <w:noProof/>
          <w:lang w:val="cs-CZ"/>
        </w:rPr>
        <w:drawing>
          <wp:inline distT="0" distB="0" distL="0" distR="0" wp14:anchorId="349794E8" wp14:editId="36385D8D">
            <wp:extent cx="5759450" cy="1021715"/>
            <wp:effectExtent l="0" t="0" r="0" b="6985"/>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759450" cy="1021715"/>
                    </a:xfrm>
                    <a:prstGeom prst="rect">
                      <a:avLst/>
                    </a:prstGeom>
                    <a:noFill/>
                    <a:ln>
                      <a:noFill/>
                    </a:ln>
                  </pic:spPr>
                </pic:pic>
              </a:graphicData>
            </a:graphic>
          </wp:inline>
        </w:drawing>
      </w:r>
    </w:p>
    <w:p w14:paraId="67F67B20" w14:textId="77777777" w:rsidR="00A16DDB" w:rsidRPr="00D95127" w:rsidRDefault="00A16DDB" w:rsidP="007F6BA1">
      <w:pPr>
        <w:pStyle w:val="UZEIZdroj"/>
      </w:pPr>
      <w:r w:rsidRPr="00D95127">
        <w:t>Zdroj: Wageningen Economic Research Report, ČNB, Eurostat, ČSÚ, časopis Drůbežář podle výsledků MTD Ústrašice, Zpráva o stavu zemědělství ČR, vlastní výpočty.</w:t>
      </w:r>
    </w:p>
    <w:p w14:paraId="6EB6FB40" w14:textId="77777777" w:rsidR="00A16DDB" w:rsidRPr="00D95127" w:rsidRDefault="00A16DDB" w:rsidP="007F6BA1">
      <w:pPr>
        <w:pStyle w:val="UZEINormaln"/>
      </w:pPr>
      <w:r w:rsidRPr="00D95127">
        <w:t>V ČR se zatím nepodařilo vytvořit systémy kvality se zřetelným označováním domácích výrobků, přitom existuje podpora ozdravování chovů drůbeže a nově vzniklá podpora pohody zvířat.</w:t>
      </w:r>
    </w:p>
    <w:p w14:paraId="7CD1C626" w14:textId="77777777" w:rsidR="00A16DDB" w:rsidRPr="00D95127" w:rsidRDefault="00A16DDB" w:rsidP="007F6BA1">
      <w:pPr>
        <w:pStyle w:val="UZEINormaln"/>
      </w:pPr>
      <w:bookmarkStart w:id="1101" w:name="_Hlk525291318"/>
      <w:r w:rsidRPr="00D95127">
        <w:t>V letech 2006-2011 byla vyplácena podpora na zakládání skupin výrobců jatečné drůbeže pro 238 žadatelů a vyplaceno bylo celkem 57,1 mil. Kč, tedy v průměru 9,5 mil. Kč za rok. Vzhledem k tomu, že odbytové organizace vznikly z motivačních důvodů stojících na získání podpory bez dalšího hlubšího zajištění aktivit, které by měla odbytová organizace zajišťovat, následně po ukončení vyplácení podpory po roce 2011 přestaly tyto organizace fungovat. Ochota k vytvoření funkční spolupráce je omezená také tím, že podniky s velkochovy drůbeže jsou většinou vertikálně majetkově propojeny v holdingových společnostech se zajištěným odbytem své produkce a mají minimální zájem o spolupráci.</w:t>
      </w:r>
    </w:p>
    <w:bookmarkEnd w:id="1101"/>
    <w:p w14:paraId="16ABA268" w14:textId="77777777" w:rsidR="00A16DDB" w:rsidRPr="00D95127" w:rsidRDefault="00A16DDB" w:rsidP="007F6BA1">
      <w:pPr>
        <w:pStyle w:val="UZEINormaln"/>
      </w:pPr>
      <w:r w:rsidRPr="00D95127">
        <w:t>O určité neschopnosti zpracovatelského průmyslu zhodnotit a prodat tuzemskou produkci vypovídá pozitivní saldo se živou drůbeží (část produkce představují jednodenní kuřata), které se zvyšuje z 1 032 mil. Kč v období let 2009-11 na 1 509 mil. Kč v 2015</w:t>
      </w:r>
      <w:r w:rsidRPr="00D95127">
        <w:noBreakHyphen/>
        <w:t xml:space="preserve">17 tj. o 38 %, zatímco v případě zpracovaného masa a drobů drůbeže se záporná bilance ve stejném období prohloubila z -2 509 mil. Kč na -4 216 mil. Kč, tj. o 51 %. </w:t>
      </w:r>
      <w:r w:rsidRPr="00D95127">
        <w:rPr>
          <w:color w:val="000000"/>
        </w:rPr>
        <w:t>Většina zpracovatelů rozdíl mezi poptávkou po jejich výrobcích řešilo dovozy suroviny, které byly levnější než nákup tuzemské produkce.</w:t>
      </w:r>
    </w:p>
    <w:p w14:paraId="51823A56" w14:textId="77777777" w:rsidR="00A16DDB" w:rsidRPr="00D95127" w:rsidRDefault="00A16DDB" w:rsidP="007F6BA1">
      <w:pPr>
        <w:pStyle w:val="UZEINormaln"/>
        <w:rPr>
          <w:b/>
        </w:rPr>
      </w:pPr>
      <w:r w:rsidRPr="00D95127">
        <w:rPr>
          <w:b/>
        </w:rPr>
        <w:t>Výrobní náklady vajec</w:t>
      </w:r>
    </w:p>
    <w:p w14:paraId="0C04C4D2" w14:textId="77777777" w:rsidR="00A16DDB" w:rsidRPr="00D95127" w:rsidRDefault="00A16DDB" w:rsidP="007F6BA1">
      <w:pPr>
        <w:pStyle w:val="UZEINormaln"/>
      </w:pPr>
      <w:r w:rsidRPr="00D95127">
        <w:t xml:space="preserve">V případě vajec je vhodné porovnat náklady českých chovatelů na jejich produkci s náklady v jiných zemích EU. Dle studie van Horne a Bondt (2019), náklady na kg vajec v roce 2017 v jednotlivých evropských státech byly následující: </w:t>
      </w:r>
    </w:p>
    <w:p w14:paraId="2DFF5C05" w14:textId="38A4321F" w:rsidR="00A16DDB" w:rsidRPr="00D95127" w:rsidRDefault="00A16DDB" w:rsidP="007F6BA1">
      <w:pPr>
        <w:pStyle w:val="UZEITaB"/>
        <w:ind w:left="1134" w:hanging="1134"/>
      </w:pPr>
      <w:bookmarkStart w:id="1102" w:name="_Toc81738540"/>
      <w:r w:rsidRPr="00D95127">
        <w:t>Náklady primární produkce na kg vajec z obohacených klecí ve vybraných zemích EU v roce 2017</w:t>
      </w:r>
      <w:bookmarkEnd w:id="1102"/>
    </w:p>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276"/>
        <w:gridCol w:w="1134"/>
        <w:gridCol w:w="992"/>
        <w:gridCol w:w="1134"/>
        <w:gridCol w:w="1176"/>
        <w:gridCol w:w="789"/>
        <w:gridCol w:w="870"/>
        <w:gridCol w:w="1026"/>
      </w:tblGrid>
      <w:tr w:rsidR="00A16DDB" w:rsidRPr="00D95127" w14:paraId="72A13BEB" w14:textId="77777777" w:rsidTr="00103F69">
        <w:trPr>
          <w:trHeight w:val="623"/>
        </w:trPr>
        <w:tc>
          <w:tcPr>
            <w:tcW w:w="1838" w:type="dxa"/>
            <w:shd w:val="clear" w:color="auto" w:fill="auto"/>
          </w:tcPr>
          <w:p w14:paraId="3879FA58" w14:textId="77777777" w:rsidR="00A16DDB" w:rsidRPr="00D95127" w:rsidRDefault="00A16DDB" w:rsidP="007A627A">
            <w:pPr>
              <w:tabs>
                <w:tab w:val="left" w:pos="1515"/>
              </w:tabs>
              <w:rPr>
                <w:rFonts w:cs="Times New Roman"/>
                <w:b/>
                <w:szCs w:val="24"/>
                <w:lang w:val="cs-CZ"/>
              </w:rPr>
            </w:pPr>
          </w:p>
        </w:tc>
        <w:tc>
          <w:tcPr>
            <w:tcW w:w="1276" w:type="dxa"/>
            <w:shd w:val="clear" w:color="auto" w:fill="auto"/>
            <w:vAlign w:val="center"/>
          </w:tcPr>
          <w:p w14:paraId="3A85C33B" w14:textId="77777777" w:rsidR="00A16DDB" w:rsidRPr="00D95127" w:rsidRDefault="00A16DDB" w:rsidP="007A627A">
            <w:pPr>
              <w:tabs>
                <w:tab w:val="left" w:pos="1515"/>
              </w:tabs>
              <w:jc w:val="center"/>
              <w:rPr>
                <w:rFonts w:cs="Times New Roman"/>
                <w:b/>
                <w:sz w:val="20"/>
                <w:szCs w:val="20"/>
                <w:lang w:val="cs-CZ"/>
              </w:rPr>
            </w:pPr>
            <w:r w:rsidRPr="00D95127">
              <w:rPr>
                <w:rFonts w:cs="Times New Roman"/>
                <w:b/>
                <w:sz w:val="20"/>
                <w:szCs w:val="20"/>
                <w:lang w:val="cs-CZ"/>
              </w:rPr>
              <w:t>Nizozemsko</w:t>
            </w:r>
          </w:p>
        </w:tc>
        <w:tc>
          <w:tcPr>
            <w:tcW w:w="1134" w:type="dxa"/>
            <w:shd w:val="clear" w:color="auto" w:fill="auto"/>
            <w:vAlign w:val="center"/>
          </w:tcPr>
          <w:p w14:paraId="389F904A" w14:textId="77777777" w:rsidR="00A16DDB" w:rsidRPr="00D95127" w:rsidRDefault="00A16DDB" w:rsidP="007A627A">
            <w:pPr>
              <w:tabs>
                <w:tab w:val="left" w:pos="1515"/>
              </w:tabs>
              <w:jc w:val="center"/>
              <w:rPr>
                <w:rFonts w:cs="Times New Roman"/>
                <w:b/>
                <w:sz w:val="20"/>
                <w:szCs w:val="20"/>
                <w:lang w:val="cs-CZ"/>
              </w:rPr>
            </w:pPr>
            <w:r w:rsidRPr="00D95127">
              <w:rPr>
                <w:rFonts w:cs="Times New Roman"/>
                <w:b/>
                <w:sz w:val="20"/>
                <w:szCs w:val="20"/>
                <w:lang w:val="cs-CZ"/>
              </w:rPr>
              <w:t>Německo</w:t>
            </w:r>
          </w:p>
        </w:tc>
        <w:tc>
          <w:tcPr>
            <w:tcW w:w="992" w:type="dxa"/>
            <w:shd w:val="clear" w:color="auto" w:fill="auto"/>
            <w:vAlign w:val="center"/>
          </w:tcPr>
          <w:p w14:paraId="5C6F4943" w14:textId="77777777" w:rsidR="00A16DDB" w:rsidRPr="00D95127" w:rsidRDefault="00A16DDB" w:rsidP="007A627A">
            <w:pPr>
              <w:tabs>
                <w:tab w:val="left" w:pos="1515"/>
              </w:tabs>
              <w:jc w:val="center"/>
              <w:rPr>
                <w:rFonts w:cs="Times New Roman"/>
                <w:b/>
                <w:sz w:val="20"/>
                <w:szCs w:val="20"/>
                <w:lang w:val="cs-CZ"/>
              </w:rPr>
            </w:pPr>
            <w:r w:rsidRPr="00D95127">
              <w:rPr>
                <w:rFonts w:cs="Times New Roman"/>
                <w:b/>
                <w:sz w:val="20"/>
                <w:szCs w:val="20"/>
                <w:lang w:val="cs-CZ"/>
              </w:rPr>
              <w:t>Francie</w:t>
            </w:r>
          </w:p>
        </w:tc>
        <w:tc>
          <w:tcPr>
            <w:tcW w:w="1134" w:type="dxa"/>
            <w:shd w:val="clear" w:color="auto" w:fill="auto"/>
            <w:vAlign w:val="center"/>
          </w:tcPr>
          <w:p w14:paraId="345A7C23" w14:textId="77777777" w:rsidR="00A16DDB" w:rsidRPr="00D95127" w:rsidRDefault="00A16DDB" w:rsidP="007A627A">
            <w:pPr>
              <w:tabs>
                <w:tab w:val="left" w:pos="1515"/>
              </w:tabs>
              <w:jc w:val="center"/>
              <w:rPr>
                <w:rFonts w:cs="Times New Roman"/>
                <w:b/>
                <w:sz w:val="20"/>
                <w:szCs w:val="20"/>
                <w:lang w:val="cs-CZ"/>
              </w:rPr>
            </w:pPr>
            <w:r w:rsidRPr="00D95127">
              <w:rPr>
                <w:rFonts w:cs="Times New Roman"/>
                <w:b/>
                <w:sz w:val="20"/>
                <w:szCs w:val="20"/>
                <w:lang w:val="cs-CZ"/>
              </w:rPr>
              <w:t>Velká Británie</w:t>
            </w:r>
          </w:p>
        </w:tc>
        <w:tc>
          <w:tcPr>
            <w:tcW w:w="1176" w:type="dxa"/>
            <w:shd w:val="clear" w:color="auto" w:fill="auto"/>
            <w:vAlign w:val="center"/>
          </w:tcPr>
          <w:p w14:paraId="0E591AAB" w14:textId="77777777" w:rsidR="00A16DDB" w:rsidRPr="00D95127" w:rsidRDefault="00A16DDB" w:rsidP="007A627A">
            <w:pPr>
              <w:tabs>
                <w:tab w:val="left" w:pos="1515"/>
              </w:tabs>
              <w:jc w:val="center"/>
              <w:rPr>
                <w:rFonts w:cs="Times New Roman"/>
                <w:b/>
                <w:sz w:val="20"/>
                <w:szCs w:val="20"/>
                <w:lang w:val="cs-CZ"/>
              </w:rPr>
            </w:pPr>
            <w:r w:rsidRPr="00D95127">
              <w:rPr>
                <w:rFonts w:cs="Times New Roman"/>
                <w:b/>
                <w:sz w:val="20"/>
                <w:szCs w:val="20"/>
                <w:lang w:val="cs-CZ"/>
              </w:rPr>
              <w:t>Španělsko</w:t>
            </w:r>
          </w:p>
        </w:tc>
        <w:tc>
          <w:tcPr>
            <w:tcW w:w="789" w:type="dxa"/>
            <w:shd w:val="clear" w:color="auto" w:fill="auto"/>
            <w:vAlign w:val="center"/>
          </w:tcPr>
          <w:p w14:paraId="0B60BE55" w14:textId="77777777" w:rsidR="00A16DDB" w:rsidRPr="00D95127" w:rsidRDefault="00A16DDB" w:rsidP="007A627A">
            <w:pPr>
              <w:tabs>
                <w:tab w:val="left" w:pos="1515"/>
              </w:tabs>
              <w:jc w:val="center"/>
              <w:rPr>
                <w:rFonts w:cs="Times New Roman"/>
                <w:b/>
                <w:sz w:val="20"/>
                <w:szCs w:val="20"/>
                <w:lang w:val="cs-CZ"/>
              </w:rPr>
            </w:pPr>
            <w:r w:rsidRPr="00D95127">
              <w:rPr>
                <w:rFonts w:cs="Times New Roman"/>
                <w:b/>
                <w:sz w:val="20"/>
                <w:szCs w:val="20"/>
                <w:lang w:val="cs-CZ"/>
              </w:rPr>
              <w:t>Itálie</w:t>
            </w:r>
          </w:p>
        </w:tc>
        <w:tc>
          <w:tcPr>
            <w:tcW w:w="870" w:type="dxa"/>
            <w:shd w:val="clear" w:color="auto" w:fill="auto"/>
            <w:vAlign w:val="center"/>
          </w:tcPr>
          <w:p w14:paraId="19727CCD" w14:textId="77777777" w:rsidR="00A16DDB" w:rsidRPr="00D95127" w:rsidRDefault="00A16DDB" w:rsidP="007A627A">
            <w:pPr>
              <w:tabs>
                <w:tab w:val="left" w:pos="1515"/>
              </w:tabs>
              <w:jc w:val="center"/>
              <w:rPr>
                <w:rFonts w:cs="Times New Roman"/>
                <w:b/>
                <w:sz w:val="20"/>
                <w:szCs w:val="20"/>
                <w:lang w:val="cs-CZ"/>
              </w:rPr>
            </w:pPr>
            <w:r w:rsidRPr="00D95127">
              <w:rPr>
                <w:rFonts w:cs="Times New Roman"/>
                <w:b/>
                <w:sz w:val="20"/>
                <w:szCs w:val="20"/>
                <w:lang w:val="cs-CZ"/>
              </w:rPr>
              <w:t>Dánsko</w:t>
            </w:r>
          </w:p>
        </w:tc>
        <w:tc>
          <w:tcPr>
            <w:tcW w:w="1026" w:type="dxa"/>
            <w:shd w:val="clear" w:color="auto" w:fill="auto"/>
            <w:vAlign w:val="center"/>
          </w:tcPr>
          <w:p w14:paraId="582A879B" w14:textId="77777777" w:rsidR="00A16DDB" w:rsidRPr="00D95127" w:rsidRDefault="00A16DDB" w:rsidP="007A627A">
            <w:pPr>
              <w:tabs>
                <w:tab w:val="left" w:pos="1515"/>
              </w:tabs>
              <w:jc w:val="center"/>
              <w:rPr>
                <w:rFonts w:cs="Times New Roman"/>
                <w:b/>
                <w:sz w:val="20"/>
                <w:szCs w:val="20"/>
                <w:lang w:val="cs-CZ"/>
              </w:rPr>
            </w:pPr>
            <w:r w:rsidRPr="00D95127">
              <w:rPr>
                <w:rFonts w:cs="Times New Roman"/>
                <w:b/>
                <w:sz w:val="20"/>
                <w:szCs w:val="20"/>
                <w:lang w:val="cs-CZ"/>
              </w:rPr>
              <w:t>Polsko</w:t>
            </w:r>
          </w:p>
        </w:tc>
      </w:tr>
      <w:tr w:rsidR="00A16DDB" w:rsidRPr="00D95127" w14:paraId="77997160" w14:textId="77777777" w:rsidTr="00103F69">
        <w:trPr>
          <w:trHeight w:val="256"/>
        </w:trPr>
        <w:tc>
          <w:tcPr>
            <w:tcW w:w="1838" w:type="dxa"/>
            <w:shd w:val="clear" w:color="auto" w:fill="auto"/>
          </w:tcPr>
          <w:p w14:paraId="2E8494D1" w14:textId="77777777" w:rsidR="00A16DDB" w:rsidRPr="00D95127" w:rsidRDefault="00A16DDB" w:rsidP="007F6BA1">
            <w:pPr>
              <w:tabs>
                <w:tab w:val="left" w:pos="1515"/>
              </w:tabs>
              <w:jc w:val="left"/>
              <w:rPr>
                <w:rFonts w:cs="Times New Roman"/>
                <w:b/>
                <w:sz w:val="20"/>
                <w:szCs w:val="20"/>
                <w:lang w:val="cs-CZ"/>
              </w:rPr>
            </w:pPr>
            <w:r w:rsidRPr="00D95127">
              <w:rPr>
                <w:rFonts w:cs="Times New Roman"/>
                <w:b/>
                <w:sz w:val="20"/>
                <w:szCs w:val="20"/>
                <w:lang w:val="cs-CZ"/>
              </w:rPr>
              <w:t>Celkové náklady včetně prac. nákladů</w:t>
            </w:r>
          </w:p>
        </w:tc>
        <w:tc>
          <w:tcPr>
            <w:tcW w:w="1276" w:type="dxa"/>
            <w:shd w:val="clear" w:color="auto" w:fill="auto"/>
            <w:vAlign w:val="center"/>
          </w:tcPr>
          <w:p w14:paraId="2F4DE5E0" w14:textId="77777777" w:rsidR="00A16DDB" w:rsidRPr="00D95127" w:rsidRDefault="00A16DDB" w:rsidP="007A627A">
            <w:pPr>
              <w:tabs>
                <w:tab w:val="left" w:pos="1515"/>
              </w:tabs>
              <w:jc w:val="center"/>
              <w:rPr>
                <w:rFonts w:cs="Times New Roman"/>
                <w:b/>
                <w:sz w:val="20"/>
                <w:szCs w:val="20"/>
                <w:lang w:val="cs-CZ"/>
              </w:rPr>
            </w:pPr>
            <w:r w:rsidRPr="00D95127">
              <w:rPr>
                <w:rFonts w:cs="Times New Roman"/>
                <w:b/>
                <w:sz w:val="20"/>
                <w:szCs w:val="20"/>
                <w:lang w:val="cs-CZ"/>
              </w:rPr>
              <w:t>87,3</w:t>
            </w:r>
          </w:p>
        </w:tc>
        <w:tc>
          <w:tcPr>
            <w:tcW w:w="1134" w:type="dxa"/>
            <w:shd w:val="clear" w:color="auto" w:fill="auto"/>
            <w:vAlign w:val="center"/>
          </w:tcPr>
          <w:p w14:paraId="5A7894F2" w14:textId="77777777" w:rsidR="00A16DDB" w:rsidRPr="00D95127" w:rsidRDefault="00A16DDB" w:rsidP="007A627A">
            <w:pPr>
              <w:tabs>
                <w:tab w:val="left" w:pos="1515"/>
              </w:tabs>
              <w:jc w:val="center"/>
              <w:rPr>
                <w:rFonts w:cs="Times New Roman"/>
                <w:b/>
                <w:sz w:val="20"/>
                <w:szCs w:val="20"/>
                <w:lang w:val="cs-CZ"/>
              </w:rPr>
            </w:pPr>
            <w:r w:rsidRPr="00D95127">
              <w:rPr>
                <w:rFonts w:cs="Times New Roman"/>
                <w:b/>
                <w:sz w:val="20"/>
                <w:szCs w:val="20"/>
                <w:lang w:val="cs-CZ"/>
              </w:rPr>
              <w:t>88,0</w:t>
            </w:r>
          </w:p>
        </w:tc>
        <w:tc>
          <w:tcPr>
            <w:tcW w:w="992" w:type="dxa"/>
            <w:shd w:val="clear" w:color="auto" w:fill="auto"/>
            <w:vAlign w:val="center"/>
          </w:tcPr>
          <w:p w14:paraId="5EF6E832" w14:textId="77777777" w:rsidR="00A16DDB" w:rsidRPr="00D95127" w:rsidRDefault="00A16DDB" w:rsidP="007A627A">
            <w:pPr>
              <w:tabs>
                <w:tab w:val="left" w:pos="1515"/>
              </w:tabs>
              <w:jc w:val="center"/>
              <w:rPr>
                <w:rFonts w:cs="Times New Roman"/>
                <w:b/>
                <w:sz w:val="20"/>
                <w:szCs w:val="20"/>
                <w:lang w:val="cs-CZ"/>
              </w:rPr>
            </w:pPr>
            <w:r w:rsidRPr="00D95127">
              <w:rPr>
                <w:rFonts w:cs="Times New Roman"/>
                <w:b/>
                <w:sz w:val="20"/>
                <w:szCs w:val="20"/>
                <w:lang w:val="cs-CZ"/>
              </w:rPr>
              <w:t>84,4</w:t>
            </w:r>
          </w:p>
        </w:tc>
        <w:tc>
          <w:tcPr>
            <w:tcW w:w="1134" w:type="dxa"/>
            <w:shd w:val="clear" w:color="auto" w:fill="auto"/>
            <w:vAlign w:val="center"/>
          </w:tcPr>
          <w:p w14:paraId="4136AFAA" w14:textId="77777777" w:rsidR="00A16DDB" w:rsidRPr="00D95127" w:rsidRDefault="00A16DDB" w:rsidP="007A627A">
            <w:pPr>
              <w:tabs>
                <w:tab w:val="left" w:pos="1515"/>
              </w:tabs>
              <w:jc w:val="center"/>
              <w:rPr>
                <w:rFonts w:cs="Times New Roman"/>
                <w:b/>
                <w:sz w:val="20"/>
                <w:szCs w:val="20"/>
                <w:lang w:val="cs-CZ"/>
              </w:rPr>
            </w:pPr>
            <w:r w:rsidRPr="00D95127">
              <w:rPr>
                <w:rFonts w:cs="Times New Roman"/>
                <w:b/>
                <w:sz w:val="20"/>
                <w:szCs w:val="20"/>
                <w:lang w:val="cs-CZ"/>
              </w:rPr>
              <w:t>94,0</w:t>
            </w:r>
          </w:p>
        </w:tc>
        <w:tc>
          <w:tcPr>
            <w:tcW w:w="1176" w:type="dxa"/>
            <w:shd w:val="clear" w:color="auto" w:fill="auto"/>
            <w:vAlign w:val="center"/>
          </w:tcPr>
          <w:p w14:paraId="69FDDD01" w14:textId="77777777" w:rsidR="00A16DDB" w:rsidRPr="00D95127" w:rsidRDefault="00A16DDB" w:rsidP="007A627A">
            <w:pPr>
              <w:tabs>
                <w:tab w:val="left" w:pos="1515"/>
              </w:tabs>
              <w:jc w:val="center"/>
              <w:rPr>
                <w:rFonts w:cs="Times New Roman"/>
                <w:b/>
                <w:sz w:val="20"/>
                <w:szCs w:val="20"/>
                <w:lang w:val="cs-CZ"/>
              </w:rPr>
            </w:pPr>
            <w:r w:rsidRPr="00D95127">
              <w:rPr>
                <w:rFonts w:cs="Times New Roman"/>
                <w:b/>
                <w:sz w:val="20"/>
                <w:szCs w:val="20"/>
                <w:lang w:val="cs-CZ"/>
              </w:rPr>
              <w:t>82,3</w:t>
            </w:r>
          </w:p>
        </w:tc>
        <w:tc>
          <w:tcPr>
            <w:tcW w:w="789" w:type="dxa"/>
            <w:shd w:val="clear" w:color="auto" w:fill="auto"/>
            <w:vAlign w:val="center"/>
          </w:tcPr>
          <w:p w14:paraId="4B145DCF" w14:textId="77777777" w:rsidR="00A16DDB" w:rsidRPr="00D95127" w:rsidRDefault="00A16DDB" w:rsidP="007A627A">
            <w:pPr>
              <w:tabs>
                <w:tab w:val="left" w:pos="1515"/>
              </w:tabs>
              <w:jc w:val="center"/>
              <w:rPr>
                <w:rFonts w:cs="Times New Roman"/>
                <w:b/>
                <w:sz w:val="20"/>
                <w:szCs w:val="20"/>
                <w:lang w:val="cs-CZ"/>
              </w:rPr>
            </w:pPr>
            <w:r w:rsidRPr="00D95127">
              <w:rPr>
                <w:rFonts w:cs="Times New Roman"/>
                <w:b/>
                <w:sz w:val="20"/>
                <w:szCs w:val="20"/>
                <w:lang w:val="cs-CZ"/>
              </w:rPr>
              <w:t>86,4</w:t>
            </w:r>
          </w:p>
        </w:tc>
        <w:tc>
          <w:tcPr>
            <w:tcW w:w="870" w:type="dxa"/>
            <w:shd w:val="clear" w:color="auto" w:fill="auto"/>
            <w:vAlign w:val="center"/>
          </w:tcPr>
          <w:p w14:paraId="675F9DFF" w14:textId="77777777" w:rsidR="00A16DDB" w:rsidRPr="00D95127" w:rsidRDefault="00A16DDB" w:rsidP="007A627A">
            <w:pPr>
              <w:tabs>
                <w:tab w:val="left" w:pos="1515"/>
              </w:tabs>
              <w:jc w:val="center"/>
              <w:rPr>
                <w:rFonts w:cs="Times New Roman"/>
                <w:b/>
                <w:sz w:val="20"/>
                <w:szCs w:val="20"/>
                <w:lang w:val="cs-CZ"/>
              </w:rPr>
            </w:pPr>
            <w:r w:rsidRPr="00D95127">
              <w:rPr>
                <w:rFonts w:cs="Times New Roman"/>
                <w:b/>
                <w:sz w:val="20"/>
                <w:szCs w:val="20"/>
                <w:lang w:val="cs-CZ"/>
              </w:rPr>
              <w:t>96,3</w:t>
            </w:r>
          </w:p>
        </w:tc>
        <w:tc>
          <w:tcPr>
            <w:tcW w:w="1026" w:type="dxa"/>
            <w:shd w:val="clear" w:color="auto" w:fill="auto"/>
            <w:vAlign w:val="center"/>
          </w:tcPr>
          <w:p w14:paraId="5A3D2AA2" w14:textId="77777777" w:rsidR="00A16DDB" w:rsidRPr="00D95127" w:rsidRDefault="00A16DDB" w:rsidP="007A627A">
            <w:pPr>
              <w:tabs>
                <w:tab w:val="left" w:pos="1515"/>
              </w:tabs>
              <w:jc w:val="center"/>
              <w:rPr>
                <w:rFonts w:cs="Times New Roman"/>
                <w:b/>
                <w:sz w:val="20"/>
                <w:szCs w:val="20"/>
                <w:lang w:val="cs-CZ"/>
              </w:rPr>
            </w:pPr>
            <w:r w:rsidRPr="00D95127">
              <w:rPr>
                <w:rFonts w:cs="Times New Roman"/>
                <w:b/>
                <w:sz w:val="20"/>
                <w:szCs w:val="20"/>
                <w:lang w:val="cs-CZ"/>
              </w:rPr>
              <w:t>82,9</w:t>
            </w:r>
          </w:p>
        </w:tc>
      </w:tr>
      <w:tr w:rsidR="00A16DDB" w:rsidRPr="00D95127" w14:paraId="50104A35" w14:textId="77777777" w:rsidTr="00103F69">
        <w:trPr>
          <w:trHeight w:val="256"/>
        </w:trPr>
        <w:tc>
          <w:tcPr>
            <w:tcW w:w="1838" w:type="dxa"/>
            <w:shd w:val="clear" w:color="auto" w:fill="auto"/>
          </w:tcPr>
          <w:p w14:paraId="549F58A0" w14:textId="77777777" w:rsidR="00A16DDB" w:rsidRPr="00D95127" w:rsidRDefault="00A16DDB" w:rsidP="007F6BA1">
            <w:pPr>
              <w:tabs>
                <w:tab w:val="left" w:pos="1515"/>
              </w:tabs>
              <w:jc w:val="left"/>
              <w:rPr>
                <w:rFonts w:cs="Times New Roman"/>
                <w:sz w:val="20"/>
                <w:szCs w:val="20"/>
                <w:lang w:val="cs-CZ"/>
              </w:rPr>
            </w:pPr>
            <w:r w:rsidRPr="00D95127">
              <w:rPr>
                <w:rFonts w:cs="Times New Roman"/>
                <w:sz w:val="20"/>
                <w:szCs w:val="20"/>
                <w:lang w:val="cs-CZ"/>
              </w:rPr>
              <w:t>Celkové náklady bez pracovních nákladů</w:t>
            </w:r>
          </w:p>
        </w:tc>
        <w:tc>
          <w:tcPr>
            <w:tcW w:w="1276" w:type="dxa"/>
            <w:shd w:val="clear" w:color="auto" w:fill="auto"/>
            <w:vAlign w:val="center"/>
          </w:tcPr>
          <w:p w14:paraId="0017C992"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82,7</w:t>
            </w:r>
          </w:p>
        </w:tc>
        <w:tc>
          <w:tcPr>
            <w:tcW w:w="1134" w:type="dxa"/>
            <w:shd w:val="clear" w:color="auto" w:fill="auto"/>
            <w:vAlign w:val="center"/>
          </w:tcPr>
          <w:p w14:paraId="2B9C988B"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83,5</w:t>
            </w:r>
          </w:p>
        </w:tc>
        <w:tc>
          <w:tcPr>
            <w:tcW w:w="992" w:type="dxa"/>
            <w:shd w:val="clear" w:color="auto" w:fill="auto"/>
            <w:vAlign w:val="center"/>
          </w:tcPr>
          <w:p w14:paraId="3194D04F"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80,2</w:t>
            </w:r>
          </w:p>
        </w:tc>
        <w:tc>
          <w:tcPr>
            <w:tcW w:w="1134" w:type="dxa"/>
            <w:shd w:val="clear" w:color="auto" w:fill="auto"/>
            <w:vAlign w:val="center"/>
          </w:tcPr>
          <w:p w14:paraId="35083693"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90,9</w:t>
            </w:r>
          </w:p>
        </w:tc>
        <w:tc>
          <w:tcPr>
            <w:tcW w:w="1176" w:type="dxa"/>
            <w:shd w:val="clear" w:color="auto" w:fill="auto"/>
            <w:vAlign w:val="center"/>
          </w:tcPr>
          <w:p w14:paraId="17227102"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78,7</w:t>
            </w:r>
          </w:p>
        </w:tc>
        <w:tc>
          <w:tcPr>
            <w:tcW w:w="789" w:type="dxa"/>
            <w:shd w:val="clear" w:color="auto" w:fill="auto"/>
            <w:vAlign w:val="center"/>
          </w:tcPr>
          <w:p w14:paraId="1F5617C5"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83,5</w:t>
            </w:r>
          </w:p>
        </w:tc>
        <w:tc>
          <w:tcPr>
            <w:tcW w:w="870" w:type="dxa"/>
            <w:shd w:val="clear" w:color="auto" w:fill="auto"/>
            <w:vAlign w:val="center"/>
          </w:tcPr>
          <w:p w14:paraId="44DAA354"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89,8</w:t>
            </w:r>
          </w:p>
        </w:tc>
        <w:tc>
          <w:tcPr>
            <w:tcW w:w="1026" w:type="dxa"/>
            <w:shd w:val="clear" w:color="auto" w:fill="auto"/>
            <w:vAlign w:val="center"/>
          </w:tcPr>
          <w:p w14:paraId="12B8A14A"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80,5</w:t>
            </w:r>
          </w:p>
        </w:tc>
      </w:tr>
      <w:tr w:rsidR="00A16DDB" w:rsidRPr="00D95127" w14:paraId="1B4EF9AD" w14:textId="77777777" w:rsidTr="00103F69">
        <w:trPr>
          <w:trHeight w:val="256"/>
        </w:trPr>
        <w:tc>
          <w:tcPr>
            <w:tcW w:w="1838" w:type="dxa"/>
            <w:shd w:val="clear" w:color="auto" w:fill="auto"/>
          </w:tcPr>
          <w:p w14:paraId="1BFBA12F" w14:textId="77777777" w:rsidR="00A16DDB" w:rsidRPr="00D95127" w:rsidRDefault="00A16DDB" w:rsidP="007F6BA1">
            <w:pPr>
              <w:tabs>
                <w:tab w:val="left" w:pos="1515"/>
              </w:tabs>
              <w:jc w:val="left"/>
              <w:rPr>
                <w:rFonts w:cs="Times New Roman"/>
                <w:sz w:val="20"/>
                <w:szCs w:val="20"/>
                <w:lang w:val="cs-CZ"/>
              </w:rPr>
            </w:pPr>
            <w:r w:rsidRPr="00D95127">
              <w:rPr>
                <w:rFonts w:cs="Times New Roman"/>
                <w:sz w:val="20"/>
                <w:szCs w:val="20"/>
                <w:lang w:val="cs-CZ"/>
              </w:rPr>
              <w:t>Cena nosnice ve věku 20 týdnů</w:t>
            </w:r>
          </w:p>
        </w:tc>
        <w:tc>
          <w:tcPr>
            <w:tcW w:w="1276" w:type="dxa"/>
            <w:shd w:val="clear" w:color="auto" w:fill="auto"/>
            <w:vAlign w:val="center"/>
          </w:tcPr>
          <w:p w14:paraId="1F6337F5"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17,7</w:t>
            </w:r>
          </w:p>
        </w:tc>
        <w:tc>
          <w:tcPr>
            <w:tcW w:w="1134" w:type="dxa"/>
            <w:shd w:val="clear" w:color="auto" w:fill="auto"/>
            <w:vAlign w:val="center"/>
          </w:tcPr>
          <w:p w14:paraId="3C66681A"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17,7</w:t>
            </w:r>
          </w:p>
        </w:tc>
        <w:tc>
          <w:tcPr>
            <w:tcW w:w="992" w:type="dxa"/>
            <w:shd w:val="clear" w:color="auto" w:fill="auto"/>
            <w:vAlign w:val="center"/>
          </w:tcPr>
          <w:p w14:paraId="3FB48CD4"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19,3</w:t>
            </w:r>
          </w:p>
        </w:tc>
        <w:tc>
          <w:tcPr>
            <w:tcW w:w="1134" w:type="dxa"/>
            <w:shd w:val="clear" w:color="auto" w:fill="auto"/>
            <w:vAlign w:val="center"/>
          </w:tcPr>
          <w:p w14:paraId="0C8B83A0"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21,7</w:t>
            </w:r>
          </w:p>
        </w:tc>
        <w:tc>
          <w:tcPr>
            <w:tcW w:w="1176" w:type="dxa"/>
            <w:shd w:val="clear" w:color="auto" w:fill="auto"/>
            <w:vAlign w:val="center"/>
          </w:tcPr>
          <w:p w14:paraId="5F454619"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16,2</w:t>
            </w:r>
          </w:p>
        </w:tc>
        <w:tc>
          <w:tcPr>
            <w:tcW w:w="789" w:type="dxa"/>
            <w:shd w:val="clear" w:color="auto" w:fill="auto"/>
            <w:vAlign w:val="center"/>
          </w:tcPr>
          <w:p w14:paraId="7F9F1707"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17,1</w:t>
            </w:r>
          </w:p>
        </w:tc>
        <w:tc>
          <w:tcPr>
            <w:tcW w:w="870" w:type="dxa"/>
            <w:shd w:val="clear" w:color="auto" w:fill="auto"/>
            <w:vAlign w:val="center"/>
          </w:tcPr>
          <w:p w14:paraId="1543619B"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21,4</w:t>
            </w:r>
          </w:p>
        </w:tc>
        <w:tc>
          <w:tcPr>
            <w:tcW w:w="1026" w:type="dxa"/>
            <w:shd w:val="clear" w:color="auto" w:fill="auto"/>
            <w:vAlign w:val="center"/>
          </w:tcPr>
          <w:p w14:paraId="550426BD"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18,6</w:t>
            </w:r>
          </w:p>
        </w:tc>
      </w:tr>
      <w:tr w:rsidR="00A16DDB" w:rsidRPr="00D95127" w14:paraId="1B3E6D83" w14:textId="77777777" w:rsidTr="00103F69">
        <w:trPr>
          <w:trHeight w:val="256"/>
        </w:trPr>
        <w:tc>
          <w:tcPr>
            <w:tcW w:w="1838" w:type="dxa"/>
            <w:shd w:val="clear" w:color="auto" w:fill="auto"/>
          </w:tcPr>
          <w:p w14:paraId="3FCD3398" w14:textId="77777777" w:rsidR="00A16DDB" w:rsidRPr="00D95127" w:rsidRDefault="00A16DDB" w:rsidP="007F6BA1">
            <w:pPr>
              <w:tabs>
                <w:tab w:val="left" w:pos="1515"/>
              </w:tabs>
              <w:jc w:val="left"/>
              <w:rPr>
                <w:rFonts w:cs="Times New Roman"/>
                <w:sz w:val="20"/>
                <w:szCs w:val="20"/>
                <w:lang w:val="cs-CZ"/>
              </w:rPr>
            </w:pPr>
            <w:r w:rsidRPr="00D95127">
              <w:rPr>
                <w:rFonts w:cs="Times New Roman"/>
                <w:sz w:val="20"/>
                <w:szCs w:val="20"/>
                <w:lang w:val="cs-CZ"/>
              </w:rPr>
              <w:t>Náklady na krmiva</w:t>
            </w:r>
          </w:p>
        </w:tc>
        <w:tc>
          <w:tcPr>
            <w:tcW w:w="1276" w:type="dxa"/>
            <w:shd w:val="clear" w:color="auto" w:fill="auto"/>
            <w:vAlign w:val="center"/>
          </w:tcPr>
          <w:p w14:paraId="3E412E94"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49</w:t>
            </w:r>
          </w:p>
        </w:tc>
        <w:tc>
          <w:tcPr>
            <w:tcW w:w="1134" w:type="dxa"/>
            <w:shd w:val="clear" w:color="auto" w:fill="auto"/>
            <w:vAlign w:val="center"/>
          </w:tcPr>
          <w:p w14:paraId="65A4ADDE"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50,2</w:t>
            </w:r>
          </w:p>
        </w:tc>
        <w:tc>
          <w:tcPr>
            <w:tcW w:w="992" w:type="dxa"/>
            <w:shd w:val="clear" w:color="auto" w:fill="auto"/>
            <w:vAlign w:val="center"/>
          </w:tcPr>
          <w:p w14:paraId="79AF1023"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48,5</w:t>
            </w:r>
          </w:p>
        </w:tc>
        <w:tc>
          <w:tcPr>
            <w:tcW w:w="1134" w:type="dxa"/>
            <w:shd w:val="clear" w:color="auto" w:fill="auto"/>
            <w:vAlign w:val="center"/>
          </w:tcPr>
          <w:p w14:paraId="4C0AFD89"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51,6</w:t>
            </w:r>
          </w:p>
        </w:tc>
        <w:tc>
          <w:tcPr>
            <w:tcW w:w="1176" w:type="dxa"/>
            <w:shd w:val="clear" w:color="auto" w:fill="auto"/>
            <w:vAlign w:val="center"/>
          </w:tcPr>
          <w:p w14:paraId="5CAD3D1F"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50,1</w:t>
            </w:r>
          </w:p>
        </w:tc>
        <w:tc>
          <w:tcPr>
            <w:tcW w:w="789" w:type="dxa"/>
            <w:shd w:val="clear" w:color="auto" w:fill="auto"/>
            <w:vAlign w:val="center"/>
          </w:tcPr>
          <w:p w14:paraId="7D0EAB9E"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52,5</w:t>
            </w:r>
          </w:p>
        </w:tc>
        <w:tc>
          <w:tcPr>
            <w:tcW w:w="870" w:type="dxa"/>
            <w:shd w:val="clear" w:color="auto" w:fill="auto"/>
            <w:vAlign w:val="center"/>
          </w:tcPr>
          <w:p w14:paraId="36DAD90A"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49,6</w:t>
            </w:r>
          </w:p>
        </w:tc>
        <w:tc>
          <w:tcPr>
            <w:tcW w:w="1026" w:type="dxa"/>
            <w:shd w:val="clear" w:color="auto" w:fill="auto"/>
            <w:vAlign w:val="center"/>
          </w:tcPr>
          <w:p w14:paraId="04C52C3A"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51,3</w:t>
            </w:r>
          </w:p>
        </w:tc>
      </w:tr>
      <w:tr w:rsidR="00A16DDB" w:rsidRPr="00D95127" w14:paraId="2A498EBA" w14:textId="77777777" w:rsidTr="00103F69">
        <w:trPr>
          <w:trHeight w:val="256"/>
        </w:trPr>
        <w:tc>
          <w:tcPr>
            <w:tcW w:w="1838" w:type="dxa"/>
            <w:shd w:val="clear" w:color="auto" w:fill="auto"/>
          </w:tcPr>
          <w:p w14:paraId="44FBF628" w14:textId="77777777" w:rsidR="00A16DDB" w:rsidRPr="00D95127" w:rsidRDefault="00A16DDB" w:rsidP="007F6BA1">
            <w:pPr>
              <w:tabs>
                <w:tab w:val="left" w:pos="1515"/>
              </w:tabs>
              <w:jc w:val="left"/>
              <w:rPr>
                <w:rFonts w:cs="Times New Roman"/>
                <w:sz w:val="20"/>
                <w:szCs w:val="20"/>
                <w:lang w:val="cs-CZ"/>
              </w:rPr>
            </w:pPr>
            <w:r w:rsidRPr="00D95127">
              <w:rPr>
                <w:rFonts w:cs="Times New Roman"/>
                <w:sz w:val="20"/>
                <w:szCs w:val="20"/>
                <w:lang w:val="cs-CZ"/>
              </w:rPr>
              <w:t>Ostatní náklady</w:t>
            </w:r>
          </w:p>
        </w:tc>
        <w:tc>
          <w:tcPr>
            <w:tcW w:w="1276" w:type="dxa"/>
            <w:shd w:val="clear" w:color="auto" w:fill="auto"/>
            <w:vAlign w:val="center"/>
          </w:tcPr>
          <w:p w14:paraId="111F45E2"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5,7</w:t>
            </w:r>
          </w:p>
        </w:tc>
        <w:tc>
          <w:tcPr>
            <w:tcW w:w="1134" w:type="dxa"/>
            <w:shd w:val="clear" w:color="auto" w:fill="auto"/>
            <w:vAlign w:val="center"/>
          </w:tcPr>
          <w:p w14:paraId="77C8B169"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5,7</w:t>
            </w:r>
          </w:p>
        </w:tc>
        <w:tc>
          <w:tcPr>
            <w:tcW w:w="992" w:type="dxa"/>
            <w:shd w:val="clear" w:color="auto" w:fill="auto"/>
            <w:vAlign w:val="center"/>
          </w:tcPr>
          <w:p w14:paraId="694AFFD4"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4,8</w:t>
            </w:r>
          </w:p>
        </w:tc>
        <w:tc>
          <w:tcPr>
            <w:tcW w:w="1134" w:type="dxa"/>
            <w:shd w:val="clear" w:color="auto" w:fill="auto"/>
            <w:vAlign w:val="center"/>
          </w:tcPr>
          <w:p w14:paraId="7D455D6D"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6,5</w:t>
            </w:r>
          </w:p>
        </w:tc>
        <w:tc>
          <w:tcPr>
            <w:tcW w:w="1176" w:type="dxa"/>
            <w:shd w:val="clear" w:color="auto" w:fill="auto"/>
            <w:vAlign w:val="center"/>
          </w:tcPr>
          <w:p w14:paraId="691E10A3"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5,8</w:t>
            </w:r>
          </w:p>
        </w:tc>
        <w:tc>
          <w:tcPr>
            <w:tcW w:w="789" w:type="dxa"/>
            <w:shd w:val="clear" w:color="auto" w:fill="auto"/>
            <w:vAlign w:val="center"/>
          </w:tcPr>
          <w:p w14:paraId="417128BD"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5,6</w:t>
            </w:r>
          </w:p>
        </w:tc>
        <w:tc>
          <w:tcPr>
            <w:tcW w:w="870" w:type="dxa"/>
            <w:shd w:val="clear" w:color="auto" w:fill="auto"/>
            <w:vAlign w:val="center"/>
          </w:tcPr>
          <w:p w14:paraId="2D34A73D"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6,6</w:t>
            </w:r>
          </w:p>
        </w:tc>
        <w:tc>
          <w:tcPr>
            <w:tcW w:w="1026" w:type="dxa"/>
            <w:shd w:val="clear" w:color="auto" w:fill="auto"/>
            <w:vAlign w:val="center"/>
          </w:tcPr>
          <w:p w14:paraId="58009B10"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4,6</w:t>
            </w:r>
          </w:p>
        </w:tc>
      </w:tr>
      <w:tr w:rsidR="00A16DDB" w:rsidRPr="00D95127" w14:paraId="3DA76B7E" w14:textId="77777777" w:rsidTr="00103F69">
        <w:trPr>
          <w:trHeight w:val="256"/>
        </w:trPr>
        <w:tc>
          <w:tcPr>
            <w:tcW w:w="1838" w:type="dxa"/>
            <w:shd w:val="clear" w:color="auto" w:fill="auto"/>
          </w:tcPr>
          <w:p w14:paraId="62F54E35" w14:textId="77777777" w:rsidR="00A16DDB" w:rsidRPr="00D95127" w:rsidRDefault="00A16DDB" w:rsidP="007F6BA1">
            <w:pPr>
              <w:tabs>
                <w:tab w:val="left" w:pos="1515"/>
              </w:tabs>
              <w:jc w:val="left"/>
              <w:rPr>
                <w:rFonts w:cs="Times New Roman"/>
                <w:sz w:val="20"/>
                <w:szCs w:val="20"/>
                <w:lang w:val="cs-CZ"/>
              </w:rPr>
            </w:pPr>
            <w:r w:rsidRPr="00D95127">
              <w:rPr>
                <w:rFonts w:cs="Times New Roman"/>
                <w:sz w:val="20"/>
                <w:szCs w:val="20"/>
                <w:lang w:val="cs-CZ"/>
              </w:rPr>
              <w:t>Pracovní náklady</w:t>
            </w:r>
          </w:p>
        </w:tc>
        <w:tc>
          <w:tcPr>
            <w:tcW w:w="1276" w:type="dxa"/>
            <w:shd w:val="clear" w:color="auto" w:fill="auto"/>
            <w:vAlign w:val="center"/>
          </w:tcPr>
          <w:p w14:paraId="77C642E2"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4,5</w:t>
            </w:r>
          </w:p>
        </w:tc>
        <w:tc>
          <w:tcPr>
            <w:tcW w:w="1134" w:type="dxa"/>
            <w:shd w:val="clear" w:color="auto" w:fill="auto"/>
            <w:vAlign w:val="center"/>
          </w:tcPr>
          <w:p w14:paraId="0C00CD11"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4,5</w:t>
            </w:r>
          </w:p>
        </w:tc>
        <w:tc>
          <w:tcPr>
            <w:tcW w:w="992" w:type="dxa"/>
            <w:shd w:val="clear" w:color="auto" w:fill="auto"/>
            <w:vAlign w:val="center"/>
          </w:tcPr>
          <w:p w14:paraId="15C7CD7C"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4,1</w:t>
            </w:r>
          </w:p>
        </w:tc>
        <w:tc>
          <w:tcPr>
            <w:tcW w:w="1134" w:type="dxa"/>
            <w:shd w:val="clear" w:color="auto" w:fill="auto"/>
            <w:vAlign w:val="center"/>
          </w:tcPr>
          <w:p w14:paraId="2D22CC64"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3,1</w:t>
            </w:r>
          </w:p>
        </w:tc>
        <w:tc>
          <w:tcPr>
            <w:tcW w:w="1176" w:type="dxa"/>
            <w:shd w:val="clear" w:color="auto" w:fill="auto"/>
            <w:vAlign w:val="center"/>
          </w:tcPr>
          <w:p w14:paraId="2B07D09A"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3,6</w:t>
            </w:r>
          </w:p>
        </w:tc>
        <w:tc>
          <w:tcPr>
            <w:tcW w:w="789" w:type="dxa"/>
            <w:shd w:val="clear" w:color="auto" w:fill="auto"/>
            <w:vAlign w:val="center"/>
          </w:tcPr>
          <w:p w14:paraId="65DA673B"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2,9</w:t>
            </w:r>
          </w:p>
        </w:tc>
        <w:tc>
          <w:tcPr>
            <w:tcW w:w="870" w:type="dxa"/>
            <w:shd w:val="clear" w:color="auto" w:fill="auto"/>
            <w:vAlign w:val="center"/>
          </w:tcPr>
          <w:p w14:paraId="06B7209F"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6,5</w:t>
            </w:r>
          </w:p>
        </w:tc>
        <w:tc>
          <w:tcPr>
            <w:tcW w:w="1026" w:type="dxa"/>
            <w:shd w:val="clear" w:color="auto" w:fill="auto"/>
            <w:vAlign w:val="center"/>
          </w:tcPr>
          <w:p w14:paraId="3A6B339A"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2,5</w:t>
            </w:r>
          </w:p>
        </w:tc>
      </w:tr>
      <w:tr w:rsidR="00A16DDB" w:rsidRPr="00D95127" w14:paraId="4F39CD93" w14:textId="77777777" w:rsidTr="00103F69">
        <w:trPr>
          <w:trHeight w:val="256"/>
        </w:trPr>
        <w:tc>
          <w:tcPr>
            <w:tcW w:w="1838" w:type="dxa"/>
            <w:shd w:val="clear" w:color="auto" w:fill="auto"/>
          </w:tcPr>
          <w:p w14:paraId="5AD3A4BA" w14:textId="77777777" w:rsidR="00A16DDB" w:rsidRPr="00D95127" w:rsidRDefault="00A16DDB" w:rsidP="007F6BA1">
            <w:pPr>
              <w:tabs>
                <w:tab w:val="left" w:pos="1515"/>
              </w:tabs>
              <w:jc w:val="left"/>
              <w:rPr>
                <w:rFonts w:cs="Times New Roman"/>
                <w:sz w:val="20"/>
                <w:szCs w:val="20"/>
                <w:lang w:val="cs-CZ"/>
              </w:rPr>
            </w:pPr>
            <w:r w:rsidRPr="00D95127">
              <w:rPr>
                <w:rFonts w:cs="Times New Roman"/>
                <w:sz w:val="20"/>
                <w:szCs w:val="20"/>
                <w:lang w:val="cs-CZ"/>
              </w:rPr>
              <w:t>Náklady na ustájení nosnic</w:t>
            </w:r>
          </w:p>
        </w:tc>
        <w:tc>
          <w:tcPr>
            <w:tcW w:w="1276" w:type="dxa"/>
            <w:shd w:val="clear" w:color="auto" w:fill="auto"/>
            <w:vAlign w:val="center"/>
          </w:tcPr>
          <w:p w14:paraId="04635941"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9,9</w:t>
            </w:r>
          </w:p>
        </w:tc>
        <w:tc>
          <w:tcPr>
            <w:tcW w:w="1134" w:type="dxa"/>
            <w:shd w:val="clear" w:color="auto" w:fill="auto"/>
            <w:vAlign w:val="center"/>
          </w:tcPr>
          <w:p w14:paraId="7263B261"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10,1</w:t>
            </w:r>
          </w:p>
        </w:tc>
        <w:tc>
          <w:tcPr>
            <w:tcW w:w="992" w:type="dxa"/>
            <w:shd w:val="clear" w:color="auto" w:fill="auto"/>
            <w:vAlign w:val="center"/>
          </w:tcPr>
          <w:p w14:paraId="75BF3409"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8,1</w:t>
            </w:r>
          </w:p>
        </w:tc>
        <w:tc>
          <w:tcPr>
            <w:tcW w:w="1134" w:type="dxa"/>
            <w:shd w:val="clear" w:color="auto" w:fill="auto"/>
            <w:vAlign w:val="center"/>
          </w:tcPr>
          <w:p w14:paraId="433C46C3"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10,7</w:t>
            </w:r>
          </w:p>
        </w:tc>
        <w:tc>
          <w:tcPr>
            <w:tcW w:w="1176" w:type="dxa"/>
            <w:shd w:val="clear" w:color="auto" w:fill="auto"/>
            <w:vAlign w:val="center"/>
          </w:tcPr>
          <w:p w14:paraId="7A738CAA"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7,2</w:t>
            </w:r>
          </w:p>
        </w:tc>
        <w:tc>
          <w:tcPr>
            <w:tcW w:w="789" w:type="dxa"/>
            <w:shd w:val="clear" w:color="auto" w:fill="auto"/>
            <w:vAlign w:val="center"/>
          </w:tcPr>
          <w:p w14:paraId="3DE85031"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7,2</w:t>
            </w:r>
          </w:p>
        </w:tc>
        <w:tc>
          <w:tcPr>
            <w:tcW w:w="870" w:type="dxa"/>
            <w:shd w:val="clear" w:color="auto" w:fill="auto"/>
            <w:vAlign w:val="center"/>
          </w:tcPr>
          <w:p w14:paraId="14593A26"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11,0</w:t>
            </w:r>
          </w:p>
        </w:tc>
        <w:tc>
          <w:tcPr>
            <w:tcW w:w="1026" w:type="dxa"/>
            <w:shd w:val="clear" w:color="auto" w:fill="auto"/>
            <w:vAlign w:val="center"/>
          </w:tcPr>
          <w:p w14:paraId="3E188F2F"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7,8</w:t>
            </w:r>
          </w:p>
        </w:tc>
      </w:tr>
      <w:tr w:rsidR="00A16DDB" w:rsidRPr="00D95127" w14:paraId="60B66A0B" w14:textId="77777777" w:rsidTr="00103F69">
        <w:trPr>
          <w:trHeight w:val="256"/>
        </w:trPr>
        <w:tc>
          <w:tcPr>
            <w:tcW w:w="1838" w:type="dxa"/>
            <w:shd w:val="clear" w:color="auto" w:fill="auto"/>
          </w:tcPr>
          <w:p w14:paraId="77904F86" w14:textId="77777777" w:rsidR="00A16DDB" w:rsidRPr="00D95127" w:rsidRDefault="00A16DDB" w:rsidP="007F6BA1">
            <w:pPr>
              <w:tabs>
                <w:tab w:val="left" w:pos="1515"/>
              </w:tabs>
              <w:jc w:val="left"/>
              <w:rPr>
                <w:rFonts w:cs="Times New Roman"/>
                <w:sz w:val="20"/>
                <w:szCs w:val="20"/>
                <w:lang w:val="cs-CZ"/>
              </w:rPr>
            </w:pPr>
            <w:r w:rsidRPr="00D95127">
              <w:rPr>
                <w:rFonts w:cs="Times New Roman"/>
                <w:sz w:val="20"/>
                <w:szCs w:val="20"/>
                <w:lang w:val="cs-CZ"/>
              </w:rPr>
              <w:t>Správní a režijní náklady</w:t>
            </w:r>
          </w:p>
        </w:tc>
        <w:tc>
          <w:tcPr>
            <w:tcW w:w="1276" w:type="dxa"/>
            <w:shd w:val="clear" w:color="auto" w:fill="auto"/>
            <w:vAlign w:val="center"/>
          </w:tcPr>
          <w:p w14:paraId="7647C0B0"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1,0</w:t>
            </w:r>
          </w:p>
        </w:tc>
        <w:tc>
          <w:tcPr>
            <w:tcW w:w="1134" w:type="dxa"/>
            <w:shd w:val="clear" w:color="auto" w:fill="auto"/>
            <w:vAlign w:val="center"/>
          </w:tcPr>
          <w:p w14:paraId="39B80744"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1,0</w:t>
            </w:r>
          </w:p>
        </w:tc>
        <w:tc>
          <w:tcPr>
            <w:tcW w:w="992" w:type="dxa"/>
            <w:shd w:val="clear" w:color="auto" w:fill="auto"/>
            <w:vAlign w:val="center"/>
          </w:tcPr>
          <w:p w14:paraId="63FB81C2"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0,8</w:t>
            </w:r>
          </w:p>
        </w:tc>
        <w:tc>
          <w:tcPr>
            <w:tcW w:w="1134" w:type="dxa"/>
            <w:shd w:val="clear" w:color="auto" w:fill="auto"/>
            <w:vAlign w:val="center"/>
          </w:tcPr>
          <w:p w14:paraId="42ADE94F"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0,9</w:t>
            </w:r>
          </w:p>
        </w:tc>
        <w:tc>
          <w:tcPr>
            <w:tcW w:w="1176" w:type="dxa"/>
            <w:shd w:val="clear" w:color="auto" w:fill="auto"/>
            <w:vAlign w:val="center"/>
          </w:tcPr>
          <w:p w14:paraId="24DC62E1"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0,8</w:t>
            </w:r>
          </w:p>
        </w:tc>
        <w:tc>
          <w:tcPr>
            <w:tcW w:w="789" w:type="dxa"/>
            <w:shd w:val="clear" w:color="auto" w:fill="auto"/>
            <w:vAlign w:val="center"/>
          </w:tcPr>
          <w:p w14:paraId="35CA09C9"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0,8</w:t>
            </w:r>
          </w:p>
        </w:tc>
        <w:tc>
          <w:tcPr>
            <w:tcW w:w="870" w:type="dxa"/>
            <w:shd w:val="clear" w:color="auto" w:fill="auto"/>
            <w:vAlign w:val="center"/>
          </w:tcPr>
          <w:p w14:paraId="22E638C4"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0,9</w:t>
            </w:r>
          </w:p>
        </w:tc>
        <w:tc>
          <w:tcPr>
            <w:tcW w:w="1026" w:type="dxa"/>
            <w:shd w:val="clear" w:color="auto" w:fill="auto"/>
            <w:vAlign w:val="center"/>
          </w:tcPr>
          <w:p w14:paraId="751C7B63"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0,7</w:t>
            </w:r>
          </w:p>
        </w:tc>
      </w:tr>
      <w:tr w:rsidR="00A16DDB" w:rsidRPr="00D95127" w14:paraId="525361F7" w14:textId="77777777" w:rsidTr="00103F69">
        <w:trPr>
          <w:trHeight w:val="256"/>
        </w:trPr>
        <w:tc>
          <w:tcPr>
            <w:tcW w:w="1838" w:type="dxa"/>
            <w:shd w:val="clear" w:color="auto" w:fill="auto"/>
          </w:tcPr>
          <w:p w14:paraId="510F032F" w14:textId="77777777" w:rsidR="00A16DDB" w:rsidRPr="00D95127" w:rsidRDefault="00A16DDB" w:rsidP="007F6BA1">
            <w:pPr>
              <w:tabs>
                <w:tab w:val="left" w:pos="1515"/>
              </w:tabs>
              <w:jc w:val="left"/>
              <w:rPr>
                <w:rFonts w:cs="Times New Roman"/>
                <w:sz w:val="20"/>
                <w:szCs w:val="20"/>
                <w:lang w:val="cs-CZ"/>
              </w:rPr>
            </w:pPr>
            <w:r w:rsidRPr="00D95127">
              <w:rPr>
                <w:rFonts w:cs="Times New Roman"/>
                <w:sz w:val="20"/>
                <w:szCs w:val="20"/>
                <w:lang w:val="cs-CZ"/>
              </w:rPr>
              <w:t>Likvidace živočišného odpadu</w:t>
            </w:r>
          </w:p>
        </w:tc>
        <w:tc>
          <w:tcPr>
            <w:tcW w:w="1276" w:type="dxa"/>
            <w:shd w:val="clear" w:color="auto" w:fill="auto"/>
            <w:vAlign w:val="center"/>
          </w:tcPr>
          <w:p w14:paraId="47F9FE16"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1,4</w:t>
            </w:r>
          </w:p>
        </w:tc>
        <w:tc>
          <w:tcPr>
            <w:tcW w:w="1134" w:type="dxa"/>
            <w:shd w:val="clear" w:color="auto" w:fill="auto"/>
            <w:vAlign w:val="center"/>
          </w:tcPr>
          <w:p w14:paraId="5C956DEE"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0,7</w:t>
            </w:r>
          </w:p>
        </w:tc>
        <w:tc>
          <w:tcPr>
            <w:tcW w:w="992" w:type="dxa"/>
            <w:shd w:val="clear" w:color="auto" w:fill="auto"/>
            <w:vAlign w:val="center"/>
          </w:tcPr>
          <w:p w14:paraId="6BA7186D"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0,0</w:t>
            </w:r>
          </w:p>
        </w:tc>
        <w:tc>
          <w:tcPr>
            <w:tcW w:w="1134" w:type="dxa"/>
            <w:shd w:val="clear" w:color="auto" w:fill="auto"/>
            <w:vAlign w:val="center"/>
          </w:tcPr>
          <w:p w14:paraId="04610D0E"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-0,6</w:t>
            </w:r>
          </w:p>
        </w:tc>
        <w:tc>
          <w:tcPr>
            <w:tcW w:w="1176" w:type="dxa"/>
            <w:shd w:val="clear" w:color="auto" w:fill="auto"/>
            <w:vAlign w:val="center"/>
          </w:tcPr>
          <w:p w14:paraId="1A3E8484"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-0,3</w:t>
            </w:r>
          </w:p>
        </w:tc>
        <w:tc>
          <w:tcPr>
            <w:tcW w:w="789" w:type="dxa"/>
            <w:shd w:val="clear" w:color="auto" w:fill="auto"/>
            <w:vAlign w:val="center"/>
          </w:tcPr>
          <w:p w14:paraId="6B6E78CB"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1,4</w:t>
            </w:r>
          </w:p>
        </w:tc>
        <w:tc>
          <w:tcPr>
            <w:tcW w:w="870" w:type="dxa"/>
            <w:shd w:val="clear" w:color="auto" w:fill="auto"/>
            <w:vAlign w:val="center"/>
          </w:tcPr>
          <w:p w14:paraId="081CF079"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0,4</w:t>
            </w:r>
          </w:p>
        </w:tc>
        <w:tc>
          <w:tcPr>
            <w:tcW w:w="1026" w:type="dxa"/>
            <w:shd w:val="clear" w:color="auto" w:fill="auto"/>
            <w:vAlign w:val="center"/>
          </w:tcPr>
          <w:p w14:paraId="5941F4A6"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-0,3</w:t>
            </w:r>
          </w:p>
        </w:tc>
      </w:tr>
      <w:tr w:rsidR="00A16DDB" w:rsidRPr="00D95127" w14:paraId="5AFDB0BA" w14:textId="77777777" w:rsidTr="00103F69">
        <w:trPr>
          <w:trHeight w:val="256"/>
        </w:trPr>
        <w:tc>
          <w:tcPr>
            <w:tcW w:w="1838" w:type="dxa"/>
            <w:shd w:val="clear" w:color="auto" w:fill="auto"/>
          </w:tcPr>
          <w:p w14:paraId="63E21C84" w14:textId="77777777" w:rsidR="00A16DDB" w:rsidRPr="00D95127" w:rsidRDefault="00A16DDB" w:rsidP="007F6BA1">
            <w:pPr>
              <w:tabs>
                <w:tab w:val="left" w:pos="1515"/>
              </w:tabs>
              <w:jc w:val="left"/>
              <w:rPr>
                <w:rFonts w:cs="Times New Roman"/>
                <w:sz w:val="20"/>
                <w:szCs w:val="20"/>
                <w:lang w:val="cs-CZ"/>
              </w:rPr>
            </w:pPr>
            <w:r w:rsidRPr="00D95127">
              <w:rPr>
                <w:rFonts w:cs="Times New Roman"/>
                <w:sz w:val="20"/>
                <w:szCs w:val="20"/>
                <w:lang w:val="cs-CZ"/>
              </w:rPr>
              <w:t>Tržby za prodej nosnic po snáškovém cyklu</w:t>
            </w:r>
          </w:p>
        </w:tc>
        <w:tc>
          <w:tcPr>
            <w:tcW w:w="1276" w:type="dxa"/>
            <w:shd w:val="clear" w:color="auto" w:fill="auto"/>
            <w:vAlign w:val="center"/>
          </w:tcPr>
          <w:p w14:paraId="746CE158"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-1,8</w:t>
            </w:r>
          </w:p>
        </w:tc>
        <w:tc>
          <w:tcPr>
            <w:tcW w:w="1134" w:type="dxa"/>
            <w:shd w:val="clear" w:color="auto" w:fill="auto"/>
            <w:vAlign w:val="center"/>
          </w:tcPr>
          <w:p w14:paraId="100DF4AB"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-1,8</w:t>
            </w:r>
          </w:p>
        </w:tc>
        <w:tc>
          <w:tcPr>
            <w:tcW w:w="992" w:type="dxa"/>
            <w:shd w:val="clear" w:color="auto" w:fill="auto"/>
            <w:vAlign w:val="center"/>
          </w:tcPr>
          <w:p w14:paraId="026FF5CD"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-1,4</w:t>
            </w:r>
          </w:p>
        </w:tc>
        <w:tc>
          <w:tcPr>
            <w:tcW w:w="1134" w:type="dxa"/>
            <w:shd w:val="clear" w:color="auto" w:fill="auto"/>
            <w:vAlign w:val="center"/>
          </w:tcPr>
          <w:p w14:paraId="1C357D5C"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0,0</w:t>
            </w:r>
          </w:p>
        </w:tc>
        <w:tc>
          <w:tcPr>
            <w:tcW w:w="1176" w:type="dxa"/>
            <w:shd w:val="clear" w:color="auto" w:fill="auto"/>
            <w:vAlign w:val="center"/>
          </w:tcPr>
          <w:p w14:paraId="4B16FBA1"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-1,0</w:t>
            </w:r>
          </w:p>
        </w:tc>
        <w:tc>
          <w:tcPr>
            <w:tcW w:w="789" w:type="dxa"/>
            <w:shd w:val="clear" w:color="auto" w:fill="auto"/>
            <w:vAlign w:val="center"/>
          </w:tcPr>
          <w:p w14:paraId="4BC02BBA"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-1,1</w:t>
            </w:r>
          </w:p>
        </w:tc>
        <w:tc>
          <w:tcPr>
            <w:tcW w:w="870" w:type="dxa"/>
            <w:shd w:val="clear" w:color="auto" w:fill="auto"/>
            <w:vAlign w:val="center"/>
          </w:tcPr>
          <w:p w14:paraId="265A490D"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0,0</w:t>
            </w:r>
          </w:p>
        </w:tc>
        <w:tc>
          <w:tcPr>
            <w:tcW w:w="1026" w:type="dxa"/>
            <w:shd w:val="clear" w:color="auto" w:fill="auto"/>
            <w:vAlign w:val="center"/>
          </w:tcPr>
          <w:p w14:paraId="70B14053" w14:textId="77777777" w:rsidR="00A16DDB" w:rsidRPr="00D95127" w:rsidRDefault="00A16DDB" w:rsidP="007A627A">
            <w:pPr>
              <w:tabs>
                <w:tab w:val="left" w:pos="1515"/>
              </w:tabs>
              <w:jc w:val="center"/>
              <w:rPr>
                <w:rFonts w:cs="Times New Roman"/>
                <w:sz w:val="20"/>
                <w:szCs w:val="20"/>
                <w:lang w:val="cs-CZ"/>
              </w:rPr>
            </w:pPr>
            <w:r w:rsidRPr="00D95127">
              <w:rPr>
                <w:rFonts w:cs="Times New Roman"/>
                <w:sz w:val="20"/>
                <w:szCs w:val="20"/>
                <w:lang w:val="cs-CZ"/>
              </w:rPr>
              <w:t>-2,3</w:t>
            </w:r>
          </w:p>
        </w:tc>
      </w:tr>
    </w:tbl>
    <w:p w14:paraId="5171C415" w14:textId="77777777" w:rsidR="00A16DDB" w:rsidRPr="00D95127" w:rsidRDefault="00A16DDB" w:rsidP="00103F69">
      <w:pPr>
        <w:pStyle w:val="UZEIZdroj"/>
      </w:pPr>
      <w:r w:rsidRPr="00D95127">
        <w:t>Zdroj: Wageningen Economic Research Report - Van Horne a Bondt (2019)</w:t>
      </w:r>
    </w:p>
    <w:p w14:paraId="147C44C8" w14:textId="77777777" w:rsidR="00A16DDB" w:rsidRPr="00D95127" w:rsidRDefault="00A16DDB" w:rsidP="00103F69">
      <w:pPr>
        <w:pStyle w:val="UZEINormaln"/>
      </w:pPr>
      <w:r w:rsidRPr="00D95127">
        <w:t xml:space="preserve">Rozdíly v nákladech na primární produkci jsou způsobeny zejména rozdíly v nákladech na krmivo, ceně mladých slepic, v nákladech na ustájení a v nákladech na likvidaci hnoje. Nizozemsko má relativně nízké výrobní náklady v důsledku dobrého výkonu s vysokou produkcí vajec. Stejně jako ve srovnání s vejci z obohacených klecí mají Dánsko a Velká Británie nejvyšší náklady na ustájení nosnic. Průměrné výrobní náklady v EU na základě těchto osmi zemí činí 87,7 eurocentů na kilogram vajec. </w:t>
      </w:r>
    </w:p>
    <w:p w14:paraId="7E675663" w14:textId="77777777" w:rsidR="00A16DDB" w:rsidRPr="00D95127" w:rsidRDefault="00A16DDB" w:rsidP="00103F69">
      <w:pPr>
        <w:pStyle w:val="UZEINormaln"/>
      </w:pPr>
      <w:r w:rsidRPr="00D95127">
        <w:t xml:space="preserve">V následující tabulce byly porovnány náklady jednotlivých členských zemí EU a ČR. Tyto země byly pro porovnání vybrány podle množství dovezených do ČR konzumních vajec a vaječných hmot. Náklady byly přepočítány na jednu nosnici a české koruny. Náklady na výrobu vajec za ČR pochází ze šetření ÚZEI. Jak je vidět z tabulky, výše nákladů dle jednotlivých nákladových položek se v členských zemích liší. ČR má nejvyšší cenu nosnice a pracovní náklady. Náklady na krmiva, které tvoří významnou část výrobních nákladů, jsou však jedny z nejnižších. Nejnižší jsou pak i náklady na ustájení nosnic v ČR. </w:t>
      </w:r>
    </w:p>
    <w:p w14:paraId="5D6A1AD6" w14:textId="61B6E534" w:rsidR="00A16DDB" w:rsidRPr="00D95127" w:rsidRDefault="00A16DDB" w:rsidP="00103F69">
      <w:pPr>
        <w:pStyle w:val="UZEITaB"/>
      </w:pPr>
      <w:bookmarkStart w:id="1103" w:name="_Toc81738541"/>
      <w:r w:rsidRPr="00D95127">
        <w:t>Produkce konzumních vajec v zemědělských podnicích a domácích hospodářstvích</w:t>
      </w:r>
      <w:bookmarkEnd w:id="1103"/>
    </w:p>
    <w:tbl>
      <w:tblPr>
        <w:tblW w:w="9209" w:type="dxa"/>
        <w:tblCellMar>
          <w:left w:w="70" w:type="dxa"/>
          <w:right w:w="70" w:type="dxa"/>
        </w:tblCellMar>
        <w:tblLook w:val="04A0" w:firstRow="1" w:lastRow="0" w:firstColumn="1" w:lastColumn="0" w:noHBand="0" w:noVBand="1"/>
      </w:tblPr>
      <w:tblGrid>
        <w:gridCol w:w="2122"/>
        <w:gridCol w:w="1275"/>
        <w:gridCol w:w="1276"/>
        <w:gridCol w:w="1559"/>
        <w:gridCol w:w="1418"/>
        <w:gridCol w:w="1559"/>
      </w:tblGrid>
      <w:tr w:rsidR="00A16DDB" w:rsidRPr="00D95127" w14:paraId="50D04F15" w14:textId="77777777" w:rsidTr="007A627A">
        <w:trPr>
          <w:trHeight w:val="300"/>
        </w:trPr>
        <w:tc>
          <w:tcPr>
            <w:tcW w:w="21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945BC8" w14:textId="77777777" w:rsidR="00A16DDB" w:rsidRPr="00D95127" w:rsidRDefault="00A16DDB" w:rsidP="007A627A">
            <w:pPr>
              <w:rPr>
                <w:rFonts w:eastAsia="Times New Roman" w:cs="Times New Roman"/>
                <w:color w:val="000000"/>
                <w:lang w:val="cs-CZ" w:eastAsia="cs-CZ"/>
              </w:rPr>
            </w:pPr>
            <w:r w:rsidRPr="00D95127">
              <w:rPr>
                <w:rFonts w:eastAsia="Times New Roman" w:cs="Times New Roman"/>
                <w:color w:val="000000"/>
                <w:lang w:val="cs-CZ" w:eastAsia="cs-CZ"/>
              </w:rPr>
              <w:t> </w:t>
            </w:r>
            <w:r w:rsidRPr="00D95127">
              <w:rPr>
                <w:rFonts w:cs="Times New Roman"/>
                <w:b/>
                <w:sz w:val="20"/>
                <w:szCs w:val="20"/>
                <w:lang w:val="cs-CZ"/>
              </w:rPr>
              <w:t>Nákladová položka</w:t>
            </w:r>
          </w:p>
        </w:tc>
        <w:tc>
          <w:tcPr>
            <w:tcW w:w="1275" w:type="dxa"/>
            <w:tcBorders>
              <w:top w:val="single" w:sz="4" w:space="0" w:color="auto"/>
              <w:left w:val="nil"/>
              <w:bottom w:val="single" w:sz="4" w:space="0" w:color="auto"/>
              <w:right w:val="single" w:sz="4" w:space="0" w:color="auto"/>
            </w:tcBorders>
            <w:shd w:val="clear" w:color="auto" w:fill="auto"/>
            <w:noWrap/>
            <w:vAlign w:val="bottom"/>
            <w:hideMark/>
          </w:tcPr>
          <w:p w14:paraId="3891F1E8" w14:textId="77777777" w:rsidR="00A16DDB" w:rsidRPr="00D95127" w:rsidRDefault="00A16DDB" w:rsidP="007A627A">
            <w:pPr>
              <w:rPr>
                <w:rFonts w:cs="Times New Roman"/>
                <w:b/>
                <w:sz w:val="20"/>
                <w:szCs w:val="20"/>
                <w:lang w:val="cs-CZ"/>
              </w:rPr>
            </w:pPr>
            <w:r w:rsidRPr="00D95127">
              <w:rPr>
                <w:rFonts w:cs="Times New Roman"/>
                <w:b/>
                <w:sz w:val="20"/>
                <w:szCs w:val="20"/>
                <w:lang w:val="cs-CZ"/>
              </w:rPr>
              <w:t>Polsko</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51FA1A7C" w14:textId="77777777" w:rsidR="00A16DDB" w:rsidRPr="00D95127" w:rsidRDefault="00A16DDB" w:rsidP="007A627A">
            <w:pPr>
              <w:rPr>
                <w:rFonts w:cs="Times New Roman"/>
                <w:b/>
                <w:sz w:val="20"/>
                <w:szCs w:val="20"/>
                <w:lang w:val="cs-CZ"/>
              </w:rPr>
            </w:pPr>
            <w:r w:rsidRPr="00D95127">
              <w:rPr>
                <w:rFonts w:cs="Times New Roman"/>
                <w:b/>
                <w:sz w:val="20"/>
                <w:szCs w:val="20"/>
                <w:lang w:val="cs-CZ"/>
              </w:rPr>
              <w:t>Nizozemsko</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14:paraId="02D6F2A6" w14:textId="77777777" w:rsidR="00A16DDB" w:rsidRPr="00D95127" w:rsidRDefault="00A16DDB" w:rsidP="007A627A">
            <w:pPr>
              <w:rPr>
                <w:rFonts w:cs="Times New Roman"/>
                <w:b/>
                <w:sz w:val="20"/>
                <w:szCs w:val="20"/>
                <w:lang w:val="cs-CZ"/>
              </w:rPr>
            </w:pPr>
            <w:r w:rsidRPr="00D95127">
              <w:rPr>
                <w:rFonts w:cs="Times New Roman"/>
                <w:b/>
                <w:sz w:val="20"/>
                <w:szCs w:val="20"/>
                <w:lang w:val="cs-CZ"/>
              </w:rPr>
              <w:t>Německo</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14:paraId="0B27777D" w14:textId="77777777" w:rsidR="00A16DDB" w:rsidRPr="00D95127" w:rsidRDefault="00A16DDB" w:rsidP="007A627A">
            <w:pPr>
              <w:rPr>
                <w:rFonts w:cs="Times New Roman"/>
                <w:b/>
                <w:sz w:val="20"/>
                <w:szCs w:val="20"/>
                <w:lang w:val="cs-CZ"/>
              </w:rPr>
            </w:pPr>
            <w:r w:rsidRPr="00D95127">
              <w:rPr>
                <w:rFonts w:cs="Times New Roman"/>
                <w:b/>
                <w:sz w:val="20"/>
                <w:szCs w:val="20"/>
                <w:lang w:val="cs-CZ"/>
              </w:rPr>
              <w:t>Francie</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14:paraId="041FBE33" w14:textId="77777777" w:rsidR="00A16DDB" w:rsidRPr="00D95127" w:rsidRDefault="00A16DDB" w:rsidP="007A627A">
            <w:pPr>
              <w:rPr>
                <w:rFonts w:cs="Times New Roman"/>
                <w:b/>
                <w:sz w:val="20"/>
                <w:szCs w:val="20"/>
                <w:lang w:val="cs-CZ"/>
              </w:rPr>
            </w:pPr>
            <w:r w:rsidRPr="00D95127">
              <w:rPr>
                <w:rFonts w:cs="Times New Roman"/>
                <w:b/>
                <w:sz w:val="20"/>
                <w:szCs w:val="20"/>
                <w:lang w:val="cs-CZ"/>
              </w:rPr>
              <w:t>Česká republika</w:t>
            </w:r>
          </w:p>
        </w:tc>
      </w:tr>
      <w:tr w:rsidR="00A16DDB" w:rsidRPr="00D95127" w14:paraId="2E14E1A4" w14:textId="77777777" w:rsidTr="007A627A">
        <w:trPr>
          <w:trHeight w:val="506"/>
        </w:trPr>
        <w:tc>
          <w:tcPr>
            <w:tcW w:w="2122" w:type="dxa"/>
            <w:tcBorders>
              <w:top w:val="nil"/>
              <w:left w:val="single" w:sz="4" w:space="0" w:color="auto"/>
              <w:bottom w:val="single" w:sz="4" w:space="0" w:color="auto"/>
              <w:right w:val="single" w:sz="4" w:space="0" w:color="auto"/>
            </w:tcBorders>
            <w:shd w:val="clear" w:color="auto" w:fill="auto"/>
            <w:vAlign w:val="center"/>
            <w:hideMark/>
          </w:tcPr>
          <w:p w14:paraId="6276BBC9" w14:textId="77777777" w:rsidR="00A16DDB" w:rsidRPr="00D95127" w:rsidRDefault="00A16DDB" w:rsidP="007A627A">
            <w:pPr>
              <w:keepNext/>
              <w:tabs>
                <w:tab w:val="left" w:pos="1515"/>
              </w:tabs>
              <w:rPr>
                <w:rFonts w:cs="Times New Roman"/>
                <w:sz w:val="20"/>
                <w:szCs w:val="20"/>
                <w:lang w:val="cs-CZ"/>
              </w:rPr>
            </w:pPr>
            <w:r w:rsidRPr="00D95127">
              <w:rPr>
                <w:rFonts w:cs="Times New Roman"/>
                <w:sz w:val="20"/>
                <w:szCs w:val="20"/>
                <w:lang w:val="cs-CZ"/>
              </w:rPr>
              <w:t>Cena nosnice ve věku 20 týdnů</w:t>
            </w:r>
          </w:p>
        </w:tc>
        <w:tc>
          <w:tcPr>
            <w:tcW w:w="1275" w:type="dxa"/>
            <w:tcBorders>
              <w:top w:val="nil"/>
              <w:left w:val="nil"/>
              <w:bottom w:val="single" w:sz="4" w:space="0" w:color="auto"/>
              <w:right w:val="single" w:sz="4" w:space="0" w:color="auto"/>
            </w:tcBorders>
            <w:shd w:val="clear" w:color="auto" w:fill="auto"/>
            <w:noWrap/>
            <w:vAlign w:val="bottom"/>
            <w:hideMark/>
          </w:tcPr>
          <w:p w14:paraId="000EFB32" w14:textId="77777777" w:rsidR="00A16DDB" w:rsidRPr="00D95127" w:rsidRDefault="00A16DDB" w:rsidP="007A627A">
            <w:pPr>
              <w:keepNext/>
              <w:tabs>
                <w:tab w:val="left" w:pos="1515"/>
              </w:tabs>
              <w:jc w:val="right"/>
              <w:rPr>
                <w:rFonts w:cs="Times New Roman"/>
                <w:sz w:val="20"/>
                <w:szCs w:val="20"/>
                <w:lang w:val="cs-CZ"/>
              </w:rPr>
            </w:pPr>
            <w:r w:rsidRPr="00D95127">
              <w:rPr>
                <w:rFonts w:cs="Times New Roman"/>
                <w:sz w:val="20"/>
                <w:szCs w:val="20"/>
                <w:lang w:val="cs-CZ"/>
              </w:rPr>
              <w:t>105,35</w:t>
            </w:r>
          </w:p>
        </w:tc>
        <w:tc>
          <w:tcPr>
            <w:tcW w:w="1276" w:type="dxa"/>
            <w:tcBorders>
              <w:top w:val="nil"/>
              <w:left w:val="nil"/>
              <w:bottom w:val="single" w:sz="4" w:space="0" w:color="auto"/>
              <w:right w:val="single" w:sz="4" w:space="0" w:color="auto"/>
            </w:tcBorders>
            <w:shd w:val="clear" w:color="auto" w:fill="auto"/>
            <w:noWrap/>
            <w:vAlign w:val="bottom"/>
            <w:hideMark/>
          </w:tcPr>
          <w:p w14:paraId="59C7533A" w14:textId="77777777" w:rsidR="00A16DDB" w:rsidRPr="00D95127" w:rsidRDefault="00A16DDB" w:rsidP="007A627A">
            <w:pPr>
              <w:keepNext/>
              <w:tabs>
                <w:tab w:val="left" w:pos="1515"/>
              </w:tabs>
              <w:jc w:val="right"/>
              <w:rPr>
                <w:rFonts w:cs="Times New Roman"/>
                <w:sz w:val="20"/>
                <w:szCs w:val="20"/>
                <w:lang w:val="cs-CZ"/>
              </w:rPr>
            </w:pPr>
            <w:r w:rsidRPr="00D95127">
              <w:rPr>
                <w:rFonts w:cs="Times New Roman"/>
                <w:sz w:val="20"/>
                <w:szCs w:val="20"/>
                <w:lang w:val="cs-CZ"/>
              </w:rPr>
              <w:t>109,86</w:t>
            </w:r>
          </w:p>
        </w:tc>
        <w:tc>
          <w:tcPr>
            <w:tcW w:w="1559" w:type="dxa"/>
            <w:tcBorders>
              <w:top w:val="nil"/>
              <w:left w:val="nil"/>
              <w:bottom w:val="single" w:sz="4" w:space="0" w:color="auto"/>
              <w:right w:val="single" w:sz="4" w:space="0" w:color="auto"/>
            </w:tcBorders>
            <w:shd w:val="clear" w:color="auto" w:fill="auto"/>
            <w:noWrap/>
            <w:vAlign w:val="bottom"/>
            <w:hideMark/>
          </w:tcPr>
          <w:p w14:paraId="4ED0BC66" w14:textId="77777777" w:rsidR="00A16DDB" w:rsidRPr="00D95127" w:rsidRDefault="00A16DDB" w:rsidP="007A627A">
            <w:pPr>
              <w:keepNext/>
              <w:tabs>
                <w:tab w:val="left" w:pos="1515"/>
              </w:tabs>
              <w:jc w:val="right"/>
              <w:rPr>
                <w:rFonts w:cs="Times New Roman"/>
                <w:sz w:val="20"/>
                <w:szCs w:val="20"/>
                <w:lang w:val="cs-CZ"/>
              </w:rPr>
            </w:pPr>
            <w:r w:rsidRPr="00D95127">
              <w:rPr>
                <w:rFonts w:cs="Times New Roman"/>
                <w:sz w:val="20"/>
                <w:szCs w:val="20"/>
                <w:lang w:val="cs-CZ"/>
              </w:rPr>
              <w:t>109,86</w:t>
            </w:r>
          </w:p>
        </w:tc>
        <w:tc>
          <w:tcPr>
            <w:tcW w:w="1418" w:type="dxa"/>
            <w:tcBorders>
              <w:top w:val="nil"/>
              <w:left w:val="nil"/>
              <w:bottom w:val="single" w:sz="4" w:space="0" w:color="auto"/>
              <w:right w:val="single" w:sz="4" w:space="0" w:color="auto"/>
            </w:tcBorders>
            <w:shd w:val="clear" w:color="auto" w:fill="auto"/>
            <w:noWrap/>
            <w:vAlign w:val="bottom"/>
            <w:hideMark/>
          </w:tcPr>
          <w:p w14:paraId="38D884D9" w14:textId="77777777" w:rsidR="00A16DDB" w:rsidRPr="00D95127" w:rsidRDefault="00A16DDB" w:rsidP="007A627A">
            <w:pPr>
              <w:keepNext/>
              <w:tabs>
                <w:tab w:val="left" w:pos="1515"/>
              </w:tabs>
              <w:jc w:val="right"/>
              <w:rPr>
                <w:rFonts w:cs="Times New Roman"/>
                <w:sz w:val="20"/>
                <w:szCs w:val="20"/>
                <w:lang w:val="cs-CZ"/>
              </w:rPr>
            </w:pPr>
            <w:r w:rsidRPr="00D95127">
              <w:rPr>
                <w:rFonts w:cs="Times New Roman"/>
                <w:sz w:val="20"/>
                <w:szCs w:val="20"/>
                <w:lang w:val="cs-CZ"/>
              </w:rPr>
              <w:t>104,82</w:t>
            </w:r>
          </w:p>
        </w:tc>
        <w:tc>
          <w:tcPr>
            <w:tcW w:w="1559" w:type="dxa"/>
            <w:tcBorders>
              <w:top w:val="nil"/>
              <w:left w:val="nil"/>
              <w:bottom w:val="single" w:sz="4" w:space="0" w:color="auto"/>
              <w:right w:val="single" w:sz="4" w:space="0" w:color="auto"/>
            </w:tcBorders>
            <w:shd w:val="clear" w:color="auto" w:fill="auto"/>
            <w:noWrap/>
            <w:vAlign w:val="bottom"/>
            <w:hideMark/>
          </w:tcPr>
          <w:p w14:paraId="656D52F8" w14:textId="77777777" w:rsidR="00A16DDB" w:rsidRPr="00D95127" w:rsidRDefault="00A16DDB" w:rsidP="007A627A">
            <w:pPr>
              <w:keepNext/>
              <w:tabs>
                <w:tab w:val="left" w:pos="1515"/>
              </w:tabs>
              <w:jc w:val="right"/>
              <w:rPr>
                <w:rFonts w:cs="Times New Roman"/>
                <w:sz w:val="20"/>
                <w:szCs w:val="20"/>
                <w:lang w:val="cs-CZ"/>
              </w:rPr>
            </w:pPr>
            <w:r w:rsidRPr="00D95127">
              <w:rPr>
                <w:rFonts w:cs="Times New Roman"/>
                <w:sz w:val="20"/>
                <w:szCs w:val="20"/>
                <w:lang w:val="cs-CZ"/>
              </w:rPr>
              <w:t>125,16</w:t>
            </w:r>
          </w:p>
        </w:tc>
      </w:tr>
      <w:tr w:rsidR="00A16DDB" w:rsidRPr="00D95127" w14:paraId="6C18C9FD" w14:textId="77777777" w:rsidTr="007A627A">
        <w:trPr>
          <w:trHeight w:val="287"/>
        </w:trPr>
        <w:tc>
          <w:tcPr>
            <w:tcW w:w="2122" w:type="dxa"/>
            <w:tcBorders>
              <w:top w:val="nil"/>
              <w:left w:val="single" w:sz="4" w:space="0" w:color="auto"/>
              <w:bottom w:val="single" w:sz="4" w:space="0" w:color="auto"/>
              <w:right w:val="single" w:sz="4" w:space="0" w:color="auto"/>
            </w:tcBorders>
            <w:shd w:val="clear" w:color="auto" w:fill="auto"/>
            <w:vAlign w:val="center"/>
            <w:hideMark/>
          </w:tcPr>
          <w:p w14:paraId="7221197B" w14:textId="77777777" w:rsidR="00A16DDB" w:rsidRPr="00D95127" w:rsidRDefault="00A16DDB" w:rsidP="007A627A">
            <w:pPr>
              <w:keepNext/>
              <w:tabs>
                <w:tab w:val="left" w:pos="1515"/>
              </w:tabs>
              <w:rPr>
                <w:rFonts w:cs="Times New Roman"/>
                <w:sz w:val="20"/>
                <w:szCs w:val="20"/>
                <w:lang w:val="cs-CZ"/>
              </w:rPr>
            </w:pPr>
            <w:r w:rsidRPr="00D95127">
              <w:rPr>
                <w:rFonts w:cs="Times New Roman"/>
                <w:sz w:val="20"/>
                <w:szCs w:val="20"/>
                <w:lang w:val="cs-CZ"/>
              </w:rPr>
              <w:t>Náklady na krmiva</w:t>
            </w:r>
          </w:p>
        </w:tc>
        <w:tc>
          <w:tcPr>
            <w:tcW w:w="1275" w:type="dxa"/>
            <w:tcBorders>
              <w:top w:val="nil"/>
              <w:left w:val="nil"/>
              <w:bottom w:val="single" w:sz="4" w:space="0" w:color="auto"/>
              <w:right w:val="single" w:sz="4" w:space="0" w:color="auto"/>
            </w:tcBorders>
            <w:shd w:val="clear" w:color="auto" w:fill="auto"/>
            <w:noWrap/>
            <w:vAlign w:val="bottom"/>
            <w:hideMark/>
          </w:tcPr>
          <w:p w14:paraId="7ADB79C4" w14:textId="77777777" w:rsidR="00A16DDB" w:rsidRPr="00D95127" w:rsidRDefault="00A16DDB" w:rsidP="007A627A">
            <w:pPr>
              <w:keepNext/>
              <w:tabs>
                <w:tab w:val="left" w:pos="1515"/>
              </w:tabs>
              <w:jc w:val="right"/>
              <w:rPr>
                <w:rFonts w:cs="Times New Roman"/>
                <w:sz w:val="20"/>
                <w:szCs w:val="20"/>
                <w:lang w:val="cs-CZ"/>
              </w:rPr>
            </w:pPr>
            <w:r w:rsidRPr="00D95127">
              <w:rPr>
                <w:rFonts w:cs="Times New Roman"/>
                <w:sz w:val="20"/>
                <w:szCs w:val="20"/>
                <w:lang w:val="cs-CZ"/>
              </w:rPr>
              <w:t>290,55</w:t>
            </w:r>
          </w:p>
        </w:tc>
        <w:tc>
          <w:tcPr>
            <w:tcW w:w="1276" w:type="dxa"/>
            <w:tcBorders>
              <w:top w:val="nil"/>
              <w:left w:val="nil"/>
              <w:bottom w:val="single" w:sz="4" w:space="0" w:color="auto"/>
              <w:right w:val="single" w:sz="4" w:space="0" w:color="auto"/>
            </w:tcBorders>
            <w:shd w:val="clear" w:color="auto" w:fill="auto"/>
            <w:noWrap/>
            <w:vAlign w:val="bottom"/>
            <w:hideMark/>
          </w:tcPr>
          <w:p w14:paraId="50DB5E98" w14:textId="77777777" w:rsidR="00A16DDB" w:rsidRPr="00D95127" w:rsidRDefault="00A16DDB" w:rsidP="007A627A">
            <w:pPr>
              <w:keepNext/>
              <w:tabs>
                <w:tab w:val="left" w:pos="1515"/>
              </w:tabs>
              <w:jc w:val="right"/>
              <w:rPr>
                <w:rFonts w:cs="Times New Roman"/>
                <w:sz w:val="20"/>
                <w:szCs w:val="20"/>
                <w:lang w:val="cs-CZ"/>
              </w:rPr>
            </w:pPr>
            <w:r w:rsidRPr="00D95127">
              <w:rPr>
                <w:rFonts w:cs="Times New Roman"/>
                <w:sz w:val="20"/>
                <w:szCs w:val="20"/>
                <w:lang w:val="cs-CZ"/>
              </w:rPr>
              <w:t>304,14</w:t>
            </w:r>
          </w:p>
        </w:tc>
        <w:tc>
          <w:tcPr>
            <w:tcW w:w="1559" w:type="dxa"/>
            <w:tcBorders>
              <w:top w:val="nil"/>
              <w:left w:val="nil"/>
              <w:bottom w:val="single" w:sz="4" w:space="0" w:color="auto"/>
              <w:right w:val="single" w:sz="4" w:space="0" w:color="auto"/>
            </w:tcBorders>
            <w:shd w:val="clear" w:color="auto" w:fill="auto"/>
            <w:noWrap/>
            <w:vAlign w:val="bottom"/>
            <w:hideMark/>
          </w:tcPr>
          <w:p w14:paraId="0AC8D9F1" w14:textId="77777777" w:rsidR="00A16DDB" w:rsidRPr="00D95127" w:rsidRDefault="00A16DDB" w:rsidP="007A627A">
            <w:pPr>
              <w:keepNext/>
              <w:tabs>
                <w:tab w:val="left" w:pos="1515"/>
              </w:tabs>
              <w:jc w:val="right"/>
              <w:rPr>
                <w:rFonts w:cs="Times New Roman"/>
                <w:sz w:val="20"/>
                <w:szCs w:val="20"/>
                <w:lang w:val="cs-CZ"/>
              </w:rPr>
            </w:pPr>
            <w:r w:rsidRPr="00D95127">
              <w:rPr>
                <w:rFonts w:cs="Times New Roman"/>
                <w:sz w:val="20"/>
                <w:szCs w:val="20"/>
                <w:lang w:val="cs-CZ"/>
              </w:rPr>
              <w:t>311,59</w:t>
            </w:r>
          </w:p>
        </w:tc>
        <w:tc>
          <w:tcPr>
            <w:tcW w:w="1418" w:type="dxa"/>
            <w:tcBorders>
              <w:top w:val="nil"/>
              <w:left w:val="nil"/>
              <w:bottom w:val="single" w:sz="4" w:space="0" w:color="auto"/>
              <w:right w:val="single" w:sz="4" w:space="0" w:color="auto"/>
            </w:tcBorders>
            <w:shd w:val="clear" w:color="auto" w:fill="auto"/>
            <w:noWrap/>
            <w:vAlign w:val="bottom"/>
            <w:hideMark/>
          </w:tcPr>
          <w:p w14:paraId="565DBB88" w14:textId="77777777" w:rsidR="00A16DDB" w:rsidRPr="00D95127" w:rsidRDefault="00A16DDB" w:rsidP="007A627A">
            <w:pPr>
              <w:keepNext/>
              <w:tabs>
                <w:tab w:val="left" w:pos="1515"/>
              </w:tabs>
              <w:jc w:val="right"/>
              <w:rPr>
                <w:rFonts w:cs="Times New Roman"/>
                <w:sz w:val="20"/>
                <w:szCs w:val="20"/>
                <w:lang w:val="cs-CZ"/>
              </w:rPr>
            </w:pPr>
            <w:r w:rsidRPr="00D95127">
              <w:rPr>
                <w:rFonts w:cs="Times New Roman"/>
                <w:sz w:val="20"/>
                <w:szCs w:val="20"/>
                <w:lang w:val="cs-CZ"/>
              </w:rPr>
              <w:t>263,41</w:t>
            </w:r>
          </w:p>
        </w:tc>
        <w:tc>
          <w:tcPr>
            <w:tcW w:w="1559" w:type="dxa"/>
            <w:tcBorders>
              <w:top w:val="nil"/>
              <w:left w:val="nil"/>
              <w:bottom w:val="single" w:sz="4" w:space="0" w:color="auto"/>
              <w:right w:val="single" w:sz="4" w:space="0" w:color="auto"/>
            </w:tcBorders>
            <w:shd w:val="clear" w:color="auto" w:fill="auto"/>
            <w:noWrap/>
            <w:vAlign w:val="bottom"/>
            <w:hideMark/>
          </w:tcPr>
          <w:p w14:paraId="64F02719" w14:textId="77777777" w:rsidR="00A16DDB" w:rsidRPr="00D95127" w:rsidRDefault="00A16DDB" w:rsidP="007A627A">
            <w:pPr>
              <w:keepNext/>
              <w:tabs>
                <w:tab w:val="left" w:pos="1515"/>
              </w:tabs>
              <w:jc w:val="right"/>
              <w:rPr>
                <w:rFonts w:cs="Times New Roman"/>
                <w:sz w:val="20"/>
                <w:szCs w:val="20"/>
                <w:lang w:val="cs-CZ"/>
              </w:rPr>
            </w:pPr>
            <w:r w:rsidRPr="00D95127">
              <w:rPr>
                <w:rFonts w:cs="Times New Roman"/>
                <w:sz w:val="20"/>
                <w:szCs w:val="20"/>
                <w:lang w:val="cs-CZ"/>
              </w:rPr>
              <w:t>266,90</w:t>
            </w:r>
          </w:p>
        </w:tc>
      </w:tr>
      <w:tr w:rsidR="00A16DDB" w:rsidRPr="00D95127" w14:paraId="26CA0D72" w14:textId="77777777" w:rsidTr="007A627A">
        <w:trPr>
          <w:trHeight w:val="262"/>
        </w:trPr>
        <w:tc>
          <w:tcPr>
            <w:tcW w:w="2122" w:type="dxa"/>
            <w:tcBorders>
              <w:top w:val="nil"/>
              <w:left w:val="single" w:sz="4" w:space="0" w:color="auto"/>
              <w:bottom w:val="single" w:sz="4" w:space="0" w:color="auto"/>
              <w:right w:val="single" w:sz="4" w:space="0" w:color="auto"/>
            </w:tcBorders>
            <w:shd w:val="clear" w:color="auto" w:fill="auto"/>
            <w:vAlign w:val="center"/>
            <w:hideMark/>
          </w:tcPr>
          <w:p w14:paraId="0E09DBEF" w14:textId="77777777" w:rsidR="00A16DDB" w:rsidRPr="00D95127" w:rsidRDefault="00A16DDB" w:rsidP="007A627A">
            <w:pPr>
              <w:keepNext/>
              <w:tabs>
                <w:tab w:val="left" w:pos="1515"/>
              </w:tabs>
              <w:rPr>
                <w:rFonts w:cs="Times New Roman"/>
                <w:sz w:val="20"/>
                <w:szCs w:val="20"/>
                <w:lang w:val="cs-CZ"/>
              </w:rPr>
            </w:pPr>
            <w:r w:rsidRPr="00D95127">
              <w:rPr>
                <w:rFonts w:cs="Times New Roman"/>
                <w:sz w:val="20"/>
                <w:szCs w:val="20"/>
                <w:lang w:val="cs-CZ"/>
              </w:rPr>
              <w:t>Pracovní náklady</w:t>
            </w:r>
          </w:p>
        </w:tc>
        <w:tc>
          <w:tcPr>
            <w:tcW w:w="1275" w:type="dxa"/>
            <w:tcBorders>
              <w:top w:val="nil"/>
              <w:left w:val="nil"/>
              <w:bottom w:val="single" w:sz="4" w:space="0" w:color="auto"/>
              <w:right w:val="single" w:sz="4" w:space="0" w:color="auto"/>
            </w:tcBorders>
            <w:shd w:val="clear" w:color="auto" w:fill="auto"/>
            <w:noWrap/>
            <w:vAlign w:val="bottom"/>
            <w:hideMark/>
          </w:tcPr>
          <w:p w14:paraId="2B471E64" w14:textId="77777777" w:rsidR="00A16DDB" w:rsidRPr="00D95127" w:rsidRDefault="00A16DDB" w:rsidP="007A627A">
            <w:pPr>
              <w:keepNext/>
              <w:tabs>
                <w:tab w:val="left" w:pos="1515"/>
              </w:tabs>
              <w:jc w:val="right"/>
              <w:rPr>
                <w:rFonts w:cs="Times New Roman"/>
                <w:sz w:val="20"/>
                <w:szCs w:val="20"/>
                <w:lang w:val="cs-CZ"/>
              </w:rPr>
            </w:pPr>
            <w:r w:rsidRPr="00D95127">
              <w:rPr>
                <w:rFonts w:cs="Times New Roman"/>
                <w:sz w:val="20"/>
                <w:szCs w:val="20"/>
                <w:lang w:val="cs-CZ"/>
              </w:rPr>
              <w:t>14,16</w:t>
            </w:r>
          </w:p>
        </w:tc>
        <w:tc>
          <w:tcPr>
            <w:tcW w:w="1276" w:type="dxa"/>
            <w:tcBorders>
              <w:top w:val="nil"/>
              <w:left w:val="nil"/>
              <w:bottom w:val="single" w:sz="4" w:space="0" w:color="auto"/>
              <w:right w:val="single" w:sz="4" w:space="0" w:color="auto"/>
            </w:tcBorders>
            <w:shd w:val="clear" w:color="auto" w:fill="auto"/>
            <w:noWrap/>
            <w:vAlign w:val="bottom"/>
            <w:hideMark/>
          </w:tcPr>
          <w:p w14:paraId="6265AF81" w14:textId="77777777" w:rsidR="00A16DDB" w:rsidRPr="00D95127" w:rsidRDefault="00A16DDB" w:rsidP="007A627A">
            <w:pPr>
              <w:keepNext/>
              <w:tabs>
                <w:tab w:val="left" w:pos="1515"/>
              </w:tabs>
              <w:jc w:val="right"/>
              <w:rPr>
                <w:rFonts w:cs="Times New Roman"/>
                <w:sz w:val="20"/>
                <w:szCs w:val="20"/>
                <w:lang w:val="cs-CZ"/>
              </w:rPr>
            </w:pPr>
            <w:r w:rsidRPr="00D95127">
              <w:rPr>
                <w:rFonts w:cs="Times New Roman"/>
                <w:sz w:val="20"/>
                <w:szCs w:val="20"/>
                <w:lang w:val="cs-CZ"/>
              </w:rPr>
              <w:t>27,93</w:t>
            </w:r>
          </w:p>
        </w:tc>
        <w:tc>
          <w:tcPr>
            <w:tcW w:w="1559" w:type="dxa"/>
            <w:tcBorders>
              <w:top w:val="nil"/>
              <w:left w:val="nil"/>
              <w:bottom w:val="single" w:sz="4" w:space="0" w:color="auto"/>
              <w:right w:val="single" w:sz="4" w:space="0" w:color="auto"/>
            </w:tcBorders>
            <w:shd w:val="clear" w:color="auto" w:fill="auto"/>
            <w:noWrap/>
            <w:vAlign w:val="bottom"/>
            <w:hideMark/>
          </w:tcPr>
          <w:p w14:paraId="720AC525" w14:textId="77777777" w:rsidR="00A16DDB" w:rsidRPr="00D95127" w:rsidRDefault="00A16DDB" w:rsidP="007A627A">
            <w:pPr>
              <w:keepNext/>
              <w:tabs>
                <w:tab w:val="left" w:pos="1515"/>
              </w:tabs>
              <w:jc w:val="right"/>
              <w:rPr>
                <w:rFonts w:cs="Times New Roman"/>
                <w:sz w:val="20"/>
                <w:szCs w:val="20"/>
                <w:lang w:val="cs-CZ"/>
              </w:rPr>
            </w:pPr>
            <w:r w:rsidRPr="00D95127">
              <w:rPr>
                <w:rFonts w:cs="Times New Roman"/>
                <w:sz w:val="20"/>
                <w:szCs w:val="20"/>
                <w:lang w:val="cs-CZ"/>
              </w:rPr>
              <w:t>27,93</w:t>
            </w:r>
          </w:p>
        </w:tc>
        <w:tc>
          <w:tcPr>
            <w:tcW w:w="1418" w:type="dxa"/>
            <w:tcBorders>
              <w:top w:val="nil"/>
              <w:left w:val="nil"/>
              <w:bottom w:val="single" w:sz="4" w:space="0" w:color="auto"/>
              <w:right w:val="single" w:sz="4" w:space="0" w:color="auto"/>
            </w:tcBorders>
            <w:shd w:val="clear" w:color="auto" w:fill="auto"/>
            <w:noWrap/>
            <w:vAlign w:val="bottom"/>
            <w:hideMark/>
          </w:tcPr>
          <w:p w14:paraId="223A221E" w14:textId="77777777" w:rsidR="00A16DDB" w:rsidRPr="00D95127" w:rsidRDefault="00A16DDB" w:rsidP="007A627A">
            <w:pPr>
              <w:keepNext/>
              <w:tabs>
                <w:tab w:val="left" w:pos="1515"/>
              </w:tabs>
              <w:jc w:val="right"/>
              <w:rPr>
                <w:rFonts w:cs="Times New Roman"/>
                <w:sz w:val="20"/>
                <w:szCs w:val="20"/>
                <w:lang w:val="cs-CZ"/>
              </w:rPr>
            </w:pPr>
            <w:r w:rsidRPr="00D95127">
              <w:rPr>
                <w:rFonts w:cs="Times New Roman"/>
                <w:sz w:val="20"/>
                <w:szCs w:val="20"/>
                <w:lang w:val="cs-CZ"/>
              </w:rPr>
              <w:t>22,27</w:t>
            </w:r>
          </w:p>
        </w:tc>
        <w:tc>
          <w:tcPr>
            <w:tcW w:w="1559" w:type="dxa"/>
            <w:tcBorders>
              <w:top w:val="nil"/>
              <w:left w:val="nil"/>
              <w:bottom w:val="single" w:sz="4" w:space="0" w:color="auto"/>
              <w:right w:val="single" w:sz="4" w:space="0" w:color="auto"/>
            </w:tcBorders>
            <w:shd w:val="clear" w:color="auto" w:fill="auto"/>
            <w:noWrap/>
            <w:vAlign w:val="bottom"/>
            <w:hideMark/>
          </w:tcPr>
          <w:p w14:paraId="2B3B8E2D" w14:textId="77777777" w:rsidR="00A16DDB" w:rsidRPr="00D95127" w:rsidRDefault="00A16DDB" w:rsidP="007A627A">
            <w:pPr>
              <w:keepNext/>
              <w:tabs>
                <w:tab w:val="left" w:pos="1515"/>
              </w:tabs>
              <w:jc w:val="right"/>
              <w:rPr>
                <w:rFonts w:cs="Times New Roman"/>
                <w:sz w:val="20"/>
                <w:szCs w:val="20"/>
                <w:lang w:val="cs-CZ"/>
              </w:rPr>
            </w:pPr>
            <w:r w:rsidRPr="00D95127">
              <w:rPr>
                <w:rFonts w:cs="Times New Roman"/>
                <w:sz w:val="20"/>
                <w:szCs w:val="20"/>
                <w:lang w:val="cs-CZ"/>
              </w:rPr>
              <w:t>79,29</w:t>
            </w:r>
          </w:p>
        </w:tc>
      </w:tr>
      <w:tr w:rsidR="00A16DDB" w:rsidRPr="00D95127" w14:paraId="130497F3" w14:textId="77777777" w:rsidTr="007A627A">
        <w:trPr>
          <w:trHeight w:val="421"/>
        </w:trPr>
        <w:tc>
          <w:tcPr>
            <w:tcW w:w="2122" w:type="dxa"/>
            <w:tcBorders>
              <w:top w:val="nil"/>
              <w:left w:val="single" w:sz="4" w:space="0" w:color="auto"/>
              <w:bottom w:val="single" w:sz="4" w:space="0" w:color="auto"/>
              <w:right w:val="single" w:sz="4" w:space="0" w:color="auto"/>
            </w:tcBorders>
            <w:shd w:val="clear" w:color="auto" w:fill="auto"/>
            <w:vAlign w:val="center"/>
            <w:hideMark/>
          </w:tcPr>
          <w:p w14:paraId="307291A0" w14:textId="77777777" w:rsidR="00A16DDB" w:rsidRPr="00D95127" w:rsidRDefault="00A16DDB" w:rsidP="007A627A">
            <w:pPr>
              <w:keepNext/>
              <w:tabs>
                <w:tab w:val="left" w:pos="1515"/>
              </w:tabs>
              <w:rPr>
                <w:rFonts w:cs="Times New Roman"/>
                <w:sz w:val="20"/>
                <w:szCs w:val="20"/>
                <w:lang w:val="cs-CZ"/>
              </w:rPr>
            </w:pPr>
            <w:r w:rsidRPr="00D95127">
              <w:rPr>
                <w:rFonts w:cs="Times New Roman"/>
                <w:sz w:val="20"/>
                <w:szCs w:val="20"/>
                <w:lang w:val="cs-CZ"/>
              </w:rPr>
              <w:t>Náklady na ustájení nosnic</w:t>
            </w:r>
          </w:p>
        </w:tc>
        <w:tc>
          <w:tcPr>
            <w:tcW w:w="1275" w:type="dxa"/>
            <w:tcBorders>
              <w:top w:val="nil"/>
              <w:left w:val="nil"/>
              <w:bottom w:val="single" w:sz="4" w:space="0" w:color="auto"/>
              <w:right w:val="single" w:sz="4" w:space="0" w:color="auto"/>
            </w:tcBorders>
            <w:shd w:val="clear" w:color="auto" w:fill="auto"/>
            <w:noWrap/>
            <w:vAlign w:val="bottom"/>
            <w:hideMark/>
          </w:tcPr>
          <w:p w14:paraId="36497E58" w14:textId="77777777" w:rsidR="00A16DDB" w:rsidRPr="00D95127" w:rsidRDefault="00A16DDB" w:rsidP="007A627A">
            <w:pPr>
              <w:keepNext/>
              <w:tabs>
                <w:tab w:val="left" w:pos="1515"/>
              </w:tabs>
              <w:jc w:val="right"/>
              <w:rPr>
                <w:rFonts w:cs="Times New Roman"/>
                <w:sz w:val="20"/>
                <w:szCs w:val="20"/>
                <w:lang w:val="cs-CZ"/>
              </w:rPr>
            </w:pPr>
            <w:r w:rsidRPr="00D95127">
              <w:rPr>
                <w:rFonts w:cs="Times New Roman"/>
                <w:sz w:val="20"/>
                <w:szCs w:val="20"/>
                <w:lang w:val="cs-CZ"/>
              </w:rPr>
              <w:t>44,18</w:t>
            </w:r>
          </w:p>
        </w:tc>
        <w:tc>
          <w:tcPr>
            <w:tcW w:w="1276" w:type="dxa"/>
            <w:tcBorders>
              <w:top w:val="nil"/>
              <w:left w:val="nil"/>
              <w:bottom w:val="single" w:sz="4" w:space="0" w:color="auto"/>
              <w:right w:val="single" w:sz="4" w:space="0" w:color="auto"/>
            </w:tcBorders>
            <w:shd w:val="clear" w:color="auto" w:fill="auto"/>
            <w:noWrap/>
            <w:vAlign w:val="bottom"/>
            <w:hideMark/>
          </w:tcPr>
          <w:p w14:paraId="3C80B9EE" w14:textId="77777777" w:rsidR="00A16DDB" w:rsidRPr="00D95127" w:rsidRDefault="00A16DDB" w:rsidP="007A627A">
            <w:pPr>
              <w:keepNext/>
              <w:tabs>
                <w:tab w:val="left" w:pos="1515"/>
              </w:tabs>
              <w:jc w:val="right"/>
              <w:rPr>
                <w:rFonts w:cs="Times New Roman"/>
                <w:sz w:val="20"/>
                <w:szCs w:val="20"/>
                <w:lang w:val="cs-CZ"/>
              </w:rPr>
            </w:pPr>
            <w:r w:rsidRPr="00D95127">
              <w:rPr>
                <w:rFonts w:cs="Times New Roman"/>
                <w:sz w:val="20"/>
                <w:szCs w:val="20"/>
                <w:lang w:val="cs-CZ"/>
              </w:rPr>
              <w:t>61,45</w:t>
            </w:r>
          </w:p>
        </w:tc>
        <w:tc>
          <w:tcPr>
            <w:tcW w:w="1559" w:type="dxa"/>
            <w:tcBorders>
              <w:top w:val="nil"/>
              <w:left w:val="nil"/>
              <w:bottom w:val="single" w:sz="4" w:space="0" w:color="auto"/>
              <w:right w:val="single" w:sz="4" w:space="0" w:color="auto"/>
            </w:tcBorders>
            <w:shd w:val="clear" w:color="auto" w:fill="auto"/>
            <w:noWrap/>
            <w:vAlign w:val="bottom"/>
            <w:hideMark/>
          </w:tcPr>
          <w:p w14:paraId="3169AFA3" w14:textId="77777777" w:rsidR="00A16DDB" w:rsidRPr="00D95127" w:rsidRDefault="00A16DDB" w:rsidP="007A627A">
            <w:pPr>
              <w:keepNext/>
              <w:tabs>
                <w:tab w:val="left" w:pos="1515"/>
              </w:tabs>
              <w:jc w:val="right"/>
              <w:rPr>
                <w:rFonts w:cs="Times New Roman"/>
                <w:sz w:val="20"/>
                <w:szCs w:val="20"/>
                <w:lang w:val="cs-CZ"/>
              </w:rPr>
            </w:pPr>
            <w:r w:rsidRPr="00D95127">
              <w:rPr>
                <w:rFonts w:cs="Times New Roman"/>
                <w:sz w:val="20"/>
                <w:szCs w:val="20"/>
                <w:lang w:val="cs-CZ"/>
              </w:rPr>
              <w:t>62,69</w:t>
            </w:r>
          </w:p>
        </w:tc>
        <w:tc>
          <w:tcPr>
            <w:tcW w:w="1418" w:type="dxa"/>
            <w:tcBorders>
              <w:top w:val="nil"/>
              <w:left w:val="nil"/>
              <w:bottom w:val="single" w:sz="4" w:space="0" w:color="auto"/>
              <w:right w:val="single" w:sz="4" w:space="0" w:color="auto"/>
            </w:tcBorders>
            <w:shd w:val="clear" w:color="auto" w:fill="auto"/>
            <w:noWrap/>
            <w:vAlign w:val="bottom"/>
            <w:hideMark/>
          </w:tcPr>
          <w:p w14:paraId="3E83C154" w14:textId="77777777" w:rsidR="00A16DDB" w:rsidRPr="00D95127" w:rsidRDefault="00A16DDB" w:rsidP="007A627A">
            <w:pPr>
              <w:keepNext/>
              <w:tabs>
                <w:tab w:val="left" w:pos="1515"/>
              </w:tabs>
              <w:jc w:val="right"/>
              <w:rPr>
                <w:rFonts w:cs="Times New Roman"/>
                <w:sz w:val="20"/>
                <w:szCs w:val="20"/>
                <w:lang w:val="cs-CZ"/>
              </w:rPr>
            </w:pPr>
            <w:r w:rsidRPr="00D95127">
              <w:rPr>
                <w:rFonts w:cs="Times New Roman"/>
                <w:sz w:val="20"/>
                <w:szCs w:val="20"/>
                <w:lang w:val="cs-CZ"/>
              </w:rPr>
              <w:t>43,99</w:t>
            </w:r>
          </w:p>
        </w:tc>
        <w:tc>
          <w:tcPr>
            <w:tcW w:w="1559" w:type="dxa"/>
            <w:tcBorders>
              <w:top w:val="nil"/>
              <w:left w:val="nil"/>
              <w:bottom w:val="single" w:sz="4" w:space="0" w:color="auto"/>
              <w:right w:val="single" w:sz="4" w:space="0" w:color="auto"/>
            </w:tcBorders>
            <w:shd w:val="clear" w:color="auto" w:fill="auto"/>
            <w:noWrap/>
            <w:vAlign w:val="bottom"/>
            <w:hideMark/>
          </w:tcPr>
          <w:p w14:paraId="5F9C876F" w14:textId="77777777" w:rsidR="00A16DDB" w:rsidRPr="00D95127" w:rsidRDefault="00A16DDB" w:rsidP="007A627A">
            <w:pPr>
              <w:keepNext/>
              <w:tabs>
                <w:tab w:val="left" w:pos="1515"/>
              </w:tabs>
              <w:jc w:val="right"/>
              <w:rPr>
                <w:rFonts w:cs="Times New Roman"/>
                <w:sz w:val="20"/>
                <w:szCs w:val="20"/>
                <w:lang w:val="cs-CZ"/>
              </w:rPr>
            </w:pPr>
            <w:r w:rsidRPr="00D95127">
              <w:rPr>
                <w:rFonts w:cs="Times New Roman"/>
                <w:sz w:val="20"/>
                <w:szCs w:val="20"/>
                <w:lang w:val="cs-CZ"/>
              </w:rPr>
              <w:t>28,73</w:t>
            </w:r>
          </w:p>
        </w:tc>
      </w:tr>
    </w:tbl>
    <w:p w14:paraId="32460AF6" w14:textId="77777777" w:rsidR="00A16DDB" w:rsidRPr="00D95127" w:rsidRDefault="00A16DDB" w:rsidP="00103F69">
      <w:pPr>
        <w:pStyle w:val="UZEIZdroj"/>
      </w:pPr>
      <w:r w:rsidRPr="00D95127">
        <w:t>Zdroj: Wageningen Economic Research Report - Van Horne a Bondt (2019), Nákladové šetření ÚZEI</w:t>
      </w:r>
    </w:p>
    <w:p w14:paraId="441F565C" w14:textId="77777777" w:rsidR="00A16DDB" w:rsidRPr="00D95127" w:rsidRDefault="00A16DDB" w:rsidP="00A44EFA">
      <w:pPr>
        <w:pStyle w:val="UZEINormaln"/>
      </w:pPr>
      <w:bookmarkStart w:id="1104" w:name="_Hlk22133923"/>
      <w:r w:rsidRPr="00D95127">
        <w:rPr>
          <w:b/>
        </w:rPr>
        <w:t>Politika obchodních řetězců.</w:t>
      </w:r>
      <w:r w:rsidRPr="00D95127">
        <w:t xml:space="preserve"> Obchodní řetězce v ČR jsou zaměřeny primárně na cenu, takže nakupují a prodávají vejce z dovozu, jejichž ceny jsou nižší ve srovnání s českými vejci. Spotřebitel se často při koupi vajec řídí nikoliv kvalitou a jejich původem, ale cenou vajec. Podíl prodaných vajec zahraničního původu v obchodních řetězcích dle údajů AC Nielsen za I. pololetí 2018 činí 45 %.</w:t>
      </w:r>
    </w:p>
    <w:bookmarkEnd w:id="1104"/>
    <w:p w14:paraId="0140DCD8" w14:textId="77777777" w:rsidR="00A16DDB" w:rsidRPr="00D95127" w:rsidRDefault="00A16DDB" w:rsidP="00A44EFA">
      <w:pPr>
        <w:pStyle w:val="UZEINormaln"/>
      </w:pPr>
      <w:r w:rsidRPr="00D95127">
        <w:t xml:space="preserve">Některé obchodní řetězce již ohlásily ukončení prodeje vajec slepic chovaných v klecích, většinou od roku 2025. Přechod na chov nosnic bez klecí by v Česku stál čtyři až šest miliard korun (ze slov předsedkyně Českomoravské drůbežářské unie Gabriely Dlouhé). Problém je závažný z hlediska nepřipravenosti producentů, kteří před několika lety museli investovat do obohacených klecí. V současné době téměř 65 % nosnic se chová v obohacených klecích (viz následující graf). </w:t>
      </w:r>
    </w:p>
    <w:p w14:paraId="306500A5" w14:textId="6CF78BA7" w:rsidR="00A16DDB" w:rsidRPr="00D95127" w:rsidRDefault="00A16DDB" w:rsidP="00A44EFA">
      <w:pPr>
        <w:pStyle w:val="UZEIGraf"/>
      </w:pPr>
      <w:bookmarkStart w:id="1105" w:name="_Toc81738834"/>
      <w:r w:rsidRPr="00D95127">
        <w:t>Technologie chovu nosnic v ČR v roce 2020</w:t>
      </w:r>
      <w:bookmarkEnd w:id="1105"/>
    </w:p>
    <w:p w14:paraId="2DD679EF" w14:textId="77777777" w:rsidR="00A16DDB" w:rsidRPr="00D95127" w:rsidRDefault="00A16DDB" w:rsidP="00A16DDB">
      <w:pPr>
        <w:rPr>
          <w:rFonts w:cs="Times New Roman"/>
          <w:lang w:val="cs-CZ"/>
        </w:rPr>
      </w:pPr>
      <w:r w:rsidRPr="00D95127">
        <w:rPr>
          <w:rFonts w:cs="Times New Roman"/>
          <w:noProof/>
          <w:lang w:val="cs-CZ"/>
        </w:rPr>
        <w:drawing>
          <wp:inline distT="0" distB="0" distL="0" distR="0" wp14:anchorId="2B69B8D3" wp14:editId="11E43EE3">
            <wp:extent cx="6115050" cy="3381375"/>
            <wp:effectExtent l="0" t="0" r="0" b="9525"/>
            <wp:docPr id="231" name="Graf 231">
              <a:extLst xmlns:a="http://schemas.openxmlformats.org/drawingml/2006/main">
                <a:ext uri="{FF2B5EF4-FFF2-40B4-BE49-F238E27FC236}">
                  <a16:creationId xmlns:a16="http://schemas.microsoft.com/office/drawing/2014/main" id="{2DAF0B85-F414-4EBD-B984-1290830B2B3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p>
    <w:p w14:paraId="18108973" w14:textId="77777777" w:rsidR="00A16DDB" w:rsidRPr="00D95127" w:rsidRDefault="00A16DDB" w:rsidP="00A44EFA">
      <w:pPr>
        <w:pStyle w:val="UZEIZdroj"/>
      </w:pPr>
      <w:r w:rsidRPr="00D95127">
        <w:t>Zdroj: ÚED Ústřední evidence drůbeže Ústrašice, stav k 31.12.2020</w:t>
      </w:r>
    </w:p>
    <w:p w14:paraId="4D75C4C6" w14:textId="77777777" w:rsidR="00A16DDB" w:rsidRPr="00D95127" w:rsidRDefault="00A16DDB" w:rsidP="00A44EFA">
      <w:pPr>
        <w:pStyle w:val="UZEINormaln"/>
      </w:pPr>
      <w:r w:rsidRPr="00D95127">
        <w:t xml:space="preserve">Vývoj stavů nosnic v ČR v jednotlivých systémech chovu od roku 2012, kdy od </w:t>
      </w:r>
      <w:r w:rsidRPr="00D95127">
        <w:rPr>
          <w:u w:val="single"/>
        </w:rPr>
        <w:t>1. 1. 2012 vstoupil v platnost zákaz chovu nosnic v neobohacených klecích</w:t>
      </w:r>
      <w:r w:rsidRPr="00D95127">
        <w:t>, dle směrnice Rady č. 74/1999, kterou se stanoví minimální požadavky na ochranu nosnic.</w:t>
      </w:r>
    </w:p>
    <w:p w14:paraId="3A0AC6C5" w14:textId="4331AE07" w:rsidR="00A16DDB" w:rsidRPr="00D95127" w:rsidRDefault="00A16DDB" w:rsidP="00A44EFA">
      <w:pPr>
        <w:pStyle w:val="UZEITaB"/>
        <w:ind w:left="1134" w:hanging="1134"/>
      </w:pPr>
      <w:r w:rsidRPr="00D95127">
        <w:t xml:space="preserve"> </w:t>
      </w:r>
      <w:bookmarkStart w:id="1106" w:name="_Toc81738542"/>
      <w:r w:rsidRPr="00D95127">
        <w:t>Zastoupení typů technologií v ustájení nosnic</w:t>
      </w:r>
      <w:bookmarkEnd w:id="1106"/>
    </w:p>
    <w:tbl>
      <w:tblPr>
        <w:tblW w:w="9208" w:type="dxa"/>
        <w:tblCellMar>
          <w:left w:w="70" w:type="dxa"/>
          <w:right w:w="70" w:type="dxa"/>
        </w:tblCellMar>
        <w:tblLook w:val="04A0" w:firstRow="1" w:lastRow="0" w:firstColumn="1" w:lastColumn="0" w:noHBand="0" w:noVBand="1"/>
      </w:tblPr>
      <w:tblGrid>
        <w:gridCol w:w="943"/>
        <w:gridCol w:w="1063"/>
        <w:gridCol w:w="943"/>
        <w:gridCol w:w="869"/>
        <w:gridCol w:w="943"/>
        <w:gridCol w:w="758"/>
        <w:gridCol w:w="930"/>
        <w:gridCol w:w="771"/>
        <w:gridCol w:w="930"/>
        <w:gridCol w:w="912"/>
        <w:gridCol w:w="146"/>
      </w:tblGrid>
      <w:tr w:rsidR="00A16DDB" w:rsidRPr="00D95127" w14:paraId="76C0443B" w14:textId="77777777" w:rsidTr="007A627A">
        <w:trPr>
          <w:gridAfter w:val="1"/>
          <w:wAfter w:w="146" w:type="dxa"/>
          <w:trHeight w:val="615"/>
        </w:trPr>
        <w:tc>
          <w:tcPr>
            <w:tcW w:w="94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A7845D6" w14:textId="63EE242C" w:rsidR="00A16DDB" w:rsidRPr="00D95127" w:rsidRDefault="00A16DDB" w:rsidP="007A627A">
            <w:pPr>
              <w:rPr>
                <w:rFonts w:eastAsia="Times New Roman" w:cs="Times New Roman"/>
                <w:b/>
                <w:bCs/>
                <w:color w:val="000000"/>
                <w:sz w:val="20"/>
                <w:szCs w:val="20"/>
                <w:lang w:val="cs-CZ" w:eastAsia="cs-CZ"/>
              </w:rPr>
            </w:pPr>
            <w:r w:rsidRPr="00D95127">
              <w:rPr>
                <w:rFonts w:eastAsia="Times New Roman" w:cs="Times New Roman"/>
                <w:b/>
                <w:bCs/>
                <w:color w:val="000000"/>
                <w:sz w:val="20"/>
                <w:szCs w:val="20"/>
                <w:lang w:val="cs-CZ" w:eastAsia="cs-CZ"/>
              </w:rPr>
              <w:t>Značení vajec:</w:t>
            </w:r>
          </w:p>
        </w:tc>
        <w:tc>
          <w:tcPr>
            <w:tcW w:w="1063" w:type="dxa"/>
            <w:tcBorders>
              <w:top w:val="single" w:sz="8" w:space="0" w:color="auto"/>
              <w:left w:val="nil"/>
              <w:bottom w:val="single" w:sz="8" w:space="0" w:color="auto"/>
              <w:right w:val="single" w:sz="8" w:space="0" w:color="auto"/>
            </w:tcBorders>
            <w:shd w:val="clear" w:color="auto" w:fill="auto"/>
            <w:vAlign w:val="center"/>
            <w:hideMark/>
          </w:tcPr>
          <w:p w14:paraId="031C0D85" w14:textId="77777777" w:rsidR="00A16DDB" w:rsidRPr="00D95127" w:rsidRDefault="00A16DDB" w:rsidP="007A627A">
            <w:pPr>
              <w:jc w:val="center"/>
              <w:rPr>
                <w:rFonts w:eastAsia="Times New Roman" w:cs="Times New Roman"/>
                <w:b/>
                <w:bCs/>
                <w:color w:val="000000"/>
                <w:sz w:val="20"/>
                <w:szCs w:val="20"/>
                <w:lang w:val="cs-CZ" w:eastAsia="cs-CZ"/>
              </w:rPr>
            </w:pPr>
            <w:r w:rsidRPr="00D95127">
              <w:rPr>
                <w:rFonts w:eastAsia="Times New Roman" w:cs="Times New Roman"/>
                <w:b/>
                <w:bCs/>
                <w:color w:val="000000"/>
                <w:sz w:val="20"/>
                <w:szCs w:val="20"/>
                <w:lang w:val="cs-CZ" w:eastAsia="cs-CZ"/>
              </w:rPr>
              <w:t>Stavy nosnic:</w:t>
            </w:r>
          </w:p>
        </w:tc>
        <w:tc>
          <w:tcPr>
            <w:tcW w:w="1812" w:type="dxa"/>
            <w:gridSpan w:val="2"/>
            <w:tcBorders>
              <w:top w:val="single" w:sz="8" w:space="0" w:color="auto"/>
              <w:left w:val="nil"/>
              <w:bottom w:val="single" w:sz="8" w:space="0" w:color="auto"/>
              <w:right w:val="single" w:sz="8" w:space="0" w:color="auto"/>
            </w:tcBorders>
            <w:shd w:val="clear" w:color="auto" w:fill="auto"/>
            <w:vAlign w:val="center"/>
            <w:hideMark/>
          </w:tcPr>
          <w:p w14:paraId="663F5492" w14:textId="77777777" w:rsidR="00A16DDB" w:rsidRPr="00D95127" w:rsidRDefault="00A16DDB" w:rsidP="007A627A">
            <w:pPr>
              <w:jc w:val="center"/>
              <w:rPr>
                <w:rFonts w:eastAsia="Times New Roman" w:cs="Times New Roman"/>
                <w:b/>
                <w:bCs/>
                <w:color w:val="000000"/>
                <w:sz w:val="20"/>
                <w:szCs w:val="20"/>
                <w:lang w:val="cs-CZ" w:eastAsia="cs-CZ"/>
              </w:rPr>
            </w:pPr>
            <w:r w:rsidRPr="00D95127">
              <w:rPr>
                <w:rFonts w:eastAsia="Times New Roman" w:cs="Times New Roman"/>
                <w:b/>
                <w:bCs/>
                <w:color w:val="000000"/>
                <w:sz w:val="20"/>
                <w:szCs w:val="20"/>
                <w:lang w:val="cs-CZ" w:eastAsia="cs-CZ"/>
              </w:rPr>
              <w:t>3</w:t>
            </w:r>
          </w:p>
        </w:tc>
        <w:tc>
          <w:tcPr>
            <w:tcW w:w="1701" w:type="dxa"/>
            <w:gridSpan w:val="2"/>
            <w:tcBorders>
              <w:top w:val="single" w:sz="8" w:space="0" w:color="auto"/>
              <w:left w:val="nil"/>
              <w:bottom w:val="single" w:sz="8" w:space="0" w:color="auto"/>
              <w:right w:val="single" w:sz="8" w:space="0" w:color="auto"/>
            </w:tcBorders>
            <w:shd w:val="clear" w:color="auto" w:fill="auto"/>
            <w:vAlign w:val="center"/>
            <w:hideMark/>
          </w:tcPr>
          <w:p w14:paraId="269C5A28" w14:textId="77777777" w:rsidR="00A16DDB" w:rsidRPr="00D95127" w:rsidRDefault="00A16DDB" w:rsidP="007A627A">
            <w:pPr>
              <w:jc w:val="center"/>
              <w:rPr>
                <w:rFonts w:eastAsia="Times New Roman" w:cs="Times New Roman"/>
                <w:b/>
                <w:bCs/>
                <w:color w:val="000000"/>
                <w:sz w:val="20"/>
                <w:szCs w:val="20"/>
                <w:lang w:val="cs-CZ" w:eastAsia="cs-CZ"/>
              </w:rPr>
            </w:pPr>
            <w:r w:rsidRPr="00D95127">
              <w:rPr>
                <w:rFonts w:eastAsia="Times New Roman" w:cs="Times New Roman"/>
                <w:b/>
                <w:bCs/>
                <w:color w:val="000000"/>
                <w:sz w:val="20"/>
                <w:szCs w:val="20"/>
                <w:lang w:val="cs-CZ" w:eastAsia="cs-CZ"/>
              </w:rPr>
              <w:t>2</w:t>
            </w:r>
          </w:p>
        </w:tc>
        <w:tc>
          <w:tcPr>
            <w:tcW w:w="1701" w:type="dxa"/>
            <w:gridSpan w:val="2"/>
            <w:tcBorders>
              <w:top w:val="single" w:sz="8" w:space="0" w:color="auto"/>
              <w:left w:val="nil"/>
              <w:bottom w:val="single" w:sz="8" w:space="0" w:color="auto"/>
              <w:right w:val="single" w:sz="8" w:space="0" w:color="auto"/>
            </w:tcBorders>
            <w:shd w:val="clear" w:color="auto" w:fill="auto"/>
            <w:vAlign w:val="center"/>
            <w:hideMark/>
          </w:tcPr>
          <w:p w14:paraId="573B7756" w14:textId="77777777" w:rsidR="00A16DDB" w:rsidRPr="00D95127" w:rsidRDefault="00A16DDB" w:rsidP="007A627A">
            <w:pPr>
              <w:jc w:val="center"/>
              <w:rPr>
                <w:rFonts w:eastAsia="Times New Roman" w:cs="Times New Roman"/>
                <w:b/>
                <w:bCs/>
                <w:color w:val="000000"/>
                <w:sz w:val="20"/>
                <w:szCs w:val="20"/>
                <w:lang w:val="cs-CZ" w:eastAsia="cs-CZ"/>
              </w:rPr>
            </w:pPr>
            <w:r w:rsidRPr="00D95127">
              <w:rPr>
                <w:rFonts w:eastAsia="Times New Roman" w:cs="Times New Roman"/>
                <w:b/>
                <w:bCs/>
                <w:color w:val="000000"/>
                <w:sz w:val="20"/>
                <w:szCs w:val="20"/>
                <w:lang w:val="cs-CZ" w:eastAsia="cs-CZ"/>
              </w:rPr>
              <w:t>1</w:t>
            </w:r>
          </w:p>
        </w:tc>
        <w:tc>
          <w:tcPr>
            <w:tcW w:w="1842" w:type="dxa"/>
            <w:gridSpan w:val="2"/>
            <w:tcBorders>
              <w:top w:val="single" w:sz="8" w:space="0" w:color="auto"/>
              <w:left w:val="nil"/>
              <w:bottom w:val="single" w:sz="8" w:space="0" w:color="auto"/>
              <w:right w:val="single" w:sz="8" w:space="0" w:color="auto"/>
            </w:tcBorders>
            <w:shd w:val="clear" w:color="auto" w:fill="auto"/>
            <w:vAlign w:val="center"/>
            <w:hideMark/>
          </w:tcPr>
          <w:p w14:paraId="1F5E1109" w14:textId="77777777" w:rsidR="00A16DDB" w:rsidRPr="00D95127" w:rsidRDefault="00A16DDB" w:rsidP="007A627A">
            <w:pPr>
              <w:jc w:val="center"/>
              <w:rPr>
                <w:rFonts w:eastAsia="Times New Roman" w:cs="Times New Roman"/>
                <w:b/>
                <w:bCs/>
                <w:color w:val="000000"/>
                <w:sz w:val="20"/>
                <w:szCs w:val="20"/>
                <w:lang w:val="cs-CZ" w:eastAsia="cs-CZ"/>
              </w:rPr>
            </w:pPr>
            <w:r w:rsidRPr="00D95127">
              <w:rPr>
                <w:rFonts w:eastAsia="Times New Roman" w:cs="Times New Roman"/>
                <w:b/>
                <w:bCs/>
                <w:color w:val="000000"/>
                <w:sz w:val="20"/>
                <w:szCs w:val="20"/>
                <w:lang w:val="cs-CZ" w:eastAsia="cs-CZ"/>
              </w:rPr>
              <w:t>0</w:t>
            </w:r>
          </w:p>
        </w:tc>
      </w:tr>
      <w:tr w:rsidR="00A16DDB" w:rsidRPr="00D95127" w14:paraId="7D65F21E" w14:textId="77777777" w:rsidTr="007A627A">
        <w:trPr>
          <w:gridAfter w:val="1"/>
          <w:wAfter w:w="146" w:type="dxa"/>
          <w:trHeight w:val="458"/>
        </w:trPr>
        <w:tc>
          <w:tcPr>
            <w:tcW w:w="943" w:type="dxa"/>
            <w:vMerge w:val="restart"/>
            <w:tcBorders>
              <w:top w:val="nil"/>
              <w:left w:val="single" w:sz="8" w:space="0" w:color="auto"/>
              <w:bottom w:val="single" w:sz="8" w:space="0" w:color="auto"/>
              <w:right w:val="single" w:sz="8" w:space="0" w:color="auto"/>
            </w:tcBorders>
            <w:shd w:val="clear" w:color="auto" w:fill="auto"/>
            <w:vAlign w:val="center"/>
            <w:hideMark/>
          </w:tcPr>
          <w:p w14:paraId="490693F4" w14:textId="77777777" w:rsidR="00A16DDB" w:rsidRPr="00D95127" w:rsidRDefault="00A16DDB" w:rsidP="007A627A">
            <w:pPr>
              <w:rPr>
                <w:rFonts w:eastAsia="Times New Roman" w:cs="Times New Roman"/>
                <w:b/>
                <w:bCs/>
                <w:color w:val="000000"/>
                <w:sz w:val="20"/>
                <w:szCs w:val="20"/>
                <w:lang w:val="cs-CZ" w:eastAsia="cs-CZ"/>
              </w:rPr>
            </w:pPr>
            <w:r w:rsidRPr="00D95127">
              <w:rPr>
                <w:rFonts w:eastAsia="Times New Roman" w:cs="Times New Roman"/>
                <w:b/>
                <w:bCs/>
                <w:color w:val="000000"/>
                <w:sz w:val="20"/>
                <w:szCs w:val="20"/>
                <w:lang w:val="cs-CZ" w:eastAsia="cs-CZ"/>
              </w:rPr>
              <w:t>Techno logie:</w:t>
            </w:r>
          </w:p>
        </w:tc>
        <w:tc>
          <w:tcPr>
            <w:tcW w:w="1063" w:type="dxa"/>
            <w:vMerge w:val="restart"/>
            <w:tcBorders>
              <w:top w:val="nil"/>
              <w:left w:val="single" w:sz="8" w:space="0" w:color="auto"/>
              <w:bottom w:val="single" w:sz="8" w:space="0" w:color="auto"/>
              <w:right w:val="single" w:sz="8" w:space="0" w:color="auto"/>
            </w:tcBorders>
            <w:shd w:val="clear" w:color="auto" w:fill="auto"/>
            <w:vAlign w:val="center"/>
            <w:hideMark/>
          </w:tcPr>
          <w:p w14:paraId="1C66CFAF"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 </w:t>
            </w:r>
          </w:p>
        </w:tc>
        <w:tc>
          <w:tcPr>
            <w:tcW w:w="1812"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2F3A3076"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Obohacené klece</w:t>
            </w:r>
          </w:p>
        </w:tc>
        <w:tc>
          <w:tcPr>
            <w:tcW w:w="1701"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6661E812"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 xml:space="preserve">Voliéry a podlahové chovy </w:t>
            </w:r>
          </w:p>
        </w:tc>
        <w:tc>
          <w:tcPr>
            <w:tcW w:w="1701"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5510E623"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 xml:space="preserve">Voliéry a podlahové chovy + </w:t>
            </w:r>
            <w:r w:rsidRPr="00D95127">
              <w:rPr>
                <w:rFonts w:eastAsia="Times New Roman" w:cs="Times New Roman"/>
                <w:b/>
                <w:bCs/>
                <w:color w:val="000000"/>
                <w:sz w:val="20"/>
                <w:szCs w:val="20"/>
                <w:lang w:val="cs-CZ" w:eastAsia="cs-CZ"/>
              </w:rPr>
              <w:t>venkovní výběh</w:t>
            </w:r>
            <w:r w:rsidRPr="00D95127">
              <w:rPr>
                <w:rFonts w:eastAsia="Times New Roman" w:cs="Times New Roman"/>
                <w:color w:val="000000"/>
                <w:sz w:val="20"/>
                <w:szCs w:val="20"/>
                <w:lang w:val="cs-CZ" w:eastAsia="cs-CZ"/>
              </w:rPr>
              <w:t xml:space="preserve"> </w:t>
            </w:r>
          </w:p>
        </w:tc>
        <w:tc>
          <w:tcPr>
            <w:tcW w:w="1842"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0459A044"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 xml:space="preserve">Bio – voliéry  a podlahové chovy + </w:t>
            </w:r>
            <w:r w:rsidRPr="00D95127">
              <w:rPr>
                <w:rFonts w:eastAsia="Times New Roman" w:cs="Times New Roman"/>
                <w:b/>
                <w:bCs/>
                <w:color w:val="000000"/>
                <w:sz w:val="20"/>
                <w:szCs w:val="20"/>
                <w:lang w:val="cs-CZ" w:eastAsia="cs-CZ"/>
              </w:rPr>
              <w:t>venkovní výběh</w:t>
            </w:r>
            <w:r w:rsidRPr="00D95127">
              <w:rPr>
                <w:rFonts w:eastAsia="Times New Roman" w:cs="Times New Roman"/>
                <w:color w:val="000000"/>
                <w:sz w:val="20"/>
                <w:szCs w:val="20"/>
                <w:lang w:val="cs-CZ" w:eastAsia="cs-CZ"/>
              </w:rPr>
              <w:t xml:space="preserve"> </w:t>
            </w:r>
          </w:p>
        </w:tc>
      </w:tr>
      <w:tr w:rsidR="00A16DDB" w:rsidRPr="00D95127" w14:paraId="73A4F06F" w14:textId="77777777" w:rsidTr="007A627A">
        <w:trPr>
          <w:trHeight w:val="315"/>
        </w:trPr>
        <w:tc>
          <w:tcPr>
            <w:tcW w:w="943" w:type="dxa"/>
            <w:vMerge/>
            <w:tcBorders>
              <w:top w:val="nil"/>
              <w:left w:val="single" w:sz="8" w:space="0" w:color="auto"/>
              <w:bottom w:val="single" w:sz="8" w:space="0" w:color="auto"/>
              <w:right w:val="single" w:sz="8" w:space="0" w:color="auto"/>
            </w:tcBorders>
            <w:vAlign w:val="center"/>
            <w:hideMark/>
          </w:tcPr>
          <w:p w14:paraId="4B06698D" w14:textId="77777777" w:rsidR="00A16DDB" w:rsidRPr="00D95127" w:rsidRDefault="00A16DDB" w:rsidP="007A627A">
            <w:pPr>
              <w:rPr>
                <w:rFonts w:eastAsia="Times New Roman" w:cs="Times New Roman"/>
                <w:b/>
                <w:bCs/>
                <w:color w:val="000000"/>
                <w:sz w:val="20"/>
                <w:szCs w:val="20"/>
                <w:lang w:val="cs-CZ" w:eastAsia="cs-CZ"/>
              </w:rPr>
            </w:pPr>
          </w:p>
        </w:tc>
        <w:tc>
          <w:tcPr>
            <w:tcW w:w="1063" w:type="dxa"/>
            <w:vMerge/>
            <w:tcBorders>
              <w:top w:val="nil"/>
              <w:left w:val="single" w:sz="8" w:space="0" w:color="auto"/>
              <w:bottom w:val="single" w:sz="8" w:space="0" w:color="auto"/>
              <w:right w:val="single" w:sz="8" w:space="0" w:color="auto"/>
            </w:tcBorders>
            <w:vAlign w:val="center"/>
            <w:hideMark/>
          </w:tcPr>
          <w:p w14:paraId="500C1B6A" w14:textId="77777777" w:rsidR="00A16DDB" w:rsidRPr="00D95127" w:rsidRDefault="00A16DDB" w:rsidP="007A627A">
            <w:pPr>
              <w:rPr>
                <w:rFonts w:eastAsia="Times New Roman" w:cs="Times New Roman"/>
                <w:color w:val="000000"/>
                <w:sz w:val="20"/>
                <w:szCs w:val="20"/>
                <w:lang w:val="cs-CZ" w:eastAsia="cs-CZ"/>
              </w:rPr>
            </w:pPr>
          </w:p>
        </w:tc>
        <w:tc>
          <w:tcPr>
            <w:tcW w:w="1812" w:type="dxa"/>
            <w:gridSpan w:val="2"/>
            <w:vMerge/>
            <w:tcBorders>
              <w:top w:val="single" w:sz="8" w:space="0" w:color="auto"/>
              <w:left w:val="single" w:sz="8" w:space="0" w:color="auto"/>
              <w:bottom w:val="single" w:sz="8" w:space="0" w:color="000000"/>
              <w:right w:val="single" w:sz="8" w:space="0" w:color="000000"/>
            </w:tcBorders>
            <w:vAlign w:val="center"/>
            <w:hideMark/>
          </w:tcPr>
          <w:p w14:paraId="7B849F80" w14:textId="77777777" w:rsidR="00A16DDB" w:rsidRPr="00D95127" w:rsidRDefault="00A16DDB" w:rsidP="007A627A">
            <w:pPr>
              <w:rPr>
                <w:rFonts w:eastAsia="Times New Roman" w:cs="Times New Roman"/>
                <w:color w:val="000000"/>
                <w:sz w:val="20"/>
                <w:szCs w:val="20"/>
                <w:lang w:val="cs-CZ" w:eastAsia="cs-CZ"/>
              </w:rPr>
            </w:pPr>
          </w:p>
        </w:tc>
        <w:tc>
          <w:tcPr>
            <w:tcW w:w="1701" w:type="dxa"/>
            <w:gridSpan w:val="2"/>
            <w:vMerge/>
            <w:tcBorders>
              <w:top w:val="single" w:sz="8" w:space="0" w:color="auto"/>
              <w:left w:val="single" w:sz="8" w:space="0" w:color="auto"/>
              <w:bottom w:val="single" w:sz="8" w:space="0" w:color="000000"/>
              <w:right w:val="single" w:sz="8" w:space="0" w:color="000000"/>
            </w:tcBorders>
            <w:vAlign w:val="center"/>
            <w:hideMark/>
          </w:tcPr>
          <w:p w14:paraId="29E7E438" w14:textId="77777777" w:rsidR="00A16DDB" w:rsidRPr="00D95127" w:rsidRDefault="00A16DDB" w:rsidP="007A627A">
            <w:pPr>
              <w:rPr>
                <w:rFonts w:eastAsia="Times New Roman" w:cs="Times New Roman"/>
                <w:color w:val="000000"/>
                <w:sz w:val="20"/>
                <w:szCs w:val="20"/>
                <w:lang w:val="cs-CZ" w:eastAsia="cs-CZ"/>
              </w:rPr>
            </w:pPr>
          </w:p>
        </w:tc>
        <w:tc>
          <w:tcPr>
            <w:tcW w:w="1701" w:type="dxa"/>
            <w:gridSpan w:val="2"/>
            <w:vMerge/>
            <w:tcBorders>
              <w:top w:val="single" w:sz="8" w:space="0" w:color="auto"/>
              <w:left w:val="single" w:sz="8" w:space="0" w:color="auto"/>
              <w:bottom w:val="single" w:sz="8" w:space="0" w:color="000000"/>
              <w:right w:val="single" w:sz="8" w:space="0" w:color="000000"/>
            </w:tcBorders>
            <w:vAlign w:val="center"/>
            <w:hideMark/>
          </w:tcPr>
          <w:p w14:paraId="402AEF6B" w14:textId="77777777" w:rsidR="00A16DDB" w:rsidRPr="00D95127" w:rsidRDefault="00A16DDB" w:rsidP="007A627A">
            <w:pPr>
              <w:rPr>
                <w:rFonts w:eastAsia="Times New Roman" w:cs="Times New Roman"/>
                <w:color w:val="000000"/>
                <w:sz w:val="20"/>
                <w:szCs w:val="20"/>
                <w:lang w:val="cs-CZ" w:eastAsia="cs-CZ"/>
              </w:rPr>
            </w:pPr>
          </w:p>
        </w:tc>
        <w:tc>
          <w:tcPr>
            <w:tcW w:w="1842" w:type="dxa"/>
            <w:gridSpan w:val="2"/>
            <w:vMerge/>
            <w:tcBorders>
              <w:top w:val="single" w:sz="8" w:space="0" w:color="auto"/>
              <w:left w:val="single" w:sz="8" w:space="0" w:color="auto"/>
              <w:bottom w:val="single" w:sz="8" w:space="0" w:color="000000"/>
              <w:right w:val="single" w:sz="8" w:space="0" w:color="000000"/>
            </w:tcBorders>
            <w:vAlign w:val="center"/>
            <w:hideMark/>
          </w:tcPr>
          <w:p w14:paraId="4A2FA2C1" w14:textId="77777777" w:rsidR="00A16DDB" w:rsidRPr="00D95127" w:rsidRDefault="00A16DDB" w:rsidP="007A627A">
            <w:pPr>
              <w:rPr>
                <w:rFonts w:eastAsia="Times New Roman" w:cs="Times New Roman"/>
                <w:color w:val="000000"/>
                <w:sz w:val="20"/>
                <w:szCs w:val="20"/>
                <w:lang w:val="cs-CZ" w:eastAsia="cs-CZ"/>
              </w:rPr>
            </w:pPr>
          </w:p>
        </w:tc>
        <w:tc>
          <w:tcPr>
            <w:tcW w:w="146" w:type="dxa"/>
            <w:tcBorders>
              <w:top w:val="nil"/>
              <w:left w:val="nil"/>
              <w:bottom w:val="nil"/>
              <w:right w:val="nil"/>
            </w:tcBorders>
            <w:shd w:val="clear" w:color="auto" w:fill="auto"/>
            <w:noWrap/>
            <w:vAlign w:val="bottom"/>
            <w:hideMark/>
          </w:tcPr>
          <w:p w14:paraId="20839983" w14:textId="77777777" w:rsidR="00A16DDB" w:rsidRPr="00D95127" w:rsidRDefault="00A16DDB" w:rsidP="007A627A">
            <w:pPr>
              <w:rPr>
                <w:rFonts w:eastAsia="Times New Roman" w:cs="Times New Roman"/>
                <w:color w:val="000000"/>
                <w:sz w:val="20"/>
                <w:szCs w:val="20"/>
                <w:lang w:val="cs-CZ" w:eastAsia="cs-CZ"/>
              </w:rPr>
            </w:pPr>
          </w:p>
        </w:tc>
      </w:tr>
      <w:tr w:rsidR="00A16DDB" w:rsidRPr="00D95127" w14:paraId="54CD73BB" w14:textId="77777777" w:rsidTr="007A627A">
        <w:trPr>
          <w:trHeight w:val="315"/>
        </w:trPr>
        <w:tc>
          <w:tcPr>
            <w:tcW w:w="943" w:type="dxa"/>
            <w:tcBorders>
              <w:top w:val="nil"/>
              <w:left w:val="single" w:sz="8" w:space="0" w:color="auto"/>
              <w:bottom w:val="single" w:sz="8" w:space="0" w:color="auto"/>
              <w:right w:val="single" w:sz="8" w:space="0" w:color="auto"/>
            </w:tcBorders>
            <w:shd w:val="clear" w:color="auto" w:fill="auto"/>
            <w:vAlign w:val="center"/>
            <w:hideMark/>
          </w:tcPr>
          <w:p w14:paraId="19A8B4DC" w14:textId="77777777" w:rsidR="00A16DDB" w:rsidRPr="00D95127" w:rsidRDefault="00A16DDB" w:rsidP="007A627A">
            <w:pPr>
              <w:rPr>
                <w:rFonts w:eastAsia="Times New Roman" w:cs="Times New Roman"/>
                <w:b/>
                <w:bCs/>
                <w:color w:val="000000"/>
                <w:sz w:val="20"/>
                <w:szCs w:val="20"/>
                <w:lang w:val="cs-CZ" w:eastAsia="cs-CZ"/>
              </w:rPr>
            </w:pPr>
            <w:r w:rsidRPr="00D95127">
              <w:rPr>
                <w:rFonts w:eastAsia="Times New Roman" w:cs="Times New Roman"/>
                <w:b/>
                <w:bCs/>
                <w:color w:val="000000"/>
                <w:sz w:val="20"/>
                <w:szCs w:val="20"/>
                <w:lang w:val="cs-CZ" w:eastAsia="cs-CZ"/>
              </w:rPr>
              <w:t>Rok:</w:t>
            </w:r>
          </w:p>
        </w:tc>
        <w:tc>
          <w:tcPr>
            <w:tcW w:w="1063" w:type="dxa"/>
            <w:tcBorders>
              <w:top w:val="nil"/>
              <w:left w:val="nil"/>
              <w:bottom w:val="single" w:sz="8" w:space="0" w:color="auto"/>
              <w:right w:val="single" w:sz="8" w:space="0" w:color="auto"/>
            </w:tcBorders>
            <w:shd w:val="clear" w:color="auto" w:fill="auto"/>
            <w:vAlign w:val="center"/>
            <w:hideMark/>
          </w:tcPr>
          <w:p w14:paraId="782F0A00" w14:textId="77777777" w:rsidR="00A16DDB" w:rsidRPr="00D95127" w:rsidRDefault="00A16DDB" w:rsidP="007A627A">
            <w:pPr>
              <w:jc w:val="center"/>
              <w:rPr>
                <w:rFonts w:eastAsia="Times New Roman" w:cs="Times New Roman"/>
                <w:b/>
                <w:bCs/>
                <w:color w:val="000000"/>
                <w:sz w:val="20"/>
                <w:szCs w:val="20"/>
                <w:lang w:val="cs-CZ" w:eastAsia="cs-CZ"/>
              </w:rPr>
            </w:pPr>
            <w:r w:rsidRPr="00D95127">
              <w:rPr>
                <w:rFonts w:eastAsia="Times New Roman" w:cs="Times New Roman"/>
                <w:b/>
                <w:bCs/>
                <w:color w:val="000000"/>
                <w:sz w:val="20"/>
                <w:szCs w:val="20"/>
                <w:lang w:val="cs-CZ" w:eastAsia="cs-CZ"/>
              </w:rPr>
              <w:t>Celkem:</w:t>
            </w:r>
          </w:p>
        </w:tc>
        <w:tc>
          <w:tcPr>
            <w:tcW w:w="943" w:type="dxa"/>
            <w:tcBorders>
              <w:top w:val="nil"/>
              <w:left w:val="nil"/>
              <w:bottom w:val="single" w:sz="8" w:space="0" w:color="auto"/>
              <w:right w:val="single" w:sz="8" w:space="0" w:color="auto"/>
            </w:tcBorders>
            <w:shd w:val="clear" w:color="auto" w:fill="auto"/>
            <w:vAlign w:val="center"/>
            <w:hideMark/>
          </w:tcPr>
          <w:p w14:paraId="3F9F970A"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ks</w:t>
            </w:r>
          </w:p>
        </w:tc>
        <w:tc>
          <w:tcPr>
            <w:tcW w:w="869" w:type="dxa"/>
            <w:tcBorders>
              <w:top w:val="nil"/>
              <w:left w:val="nil"/>
              <w:bottom w:val="single" w:sz="8" w:space="0" w:color="auto"/>
              <w:right w:val="single" w:sz="8" w:space="0" w:color="auto"/>
            </w:tcBorders>
            <w:shd w:val="clear" w:color="auto" w:fill="auto"/>
            <w:vAlign w:val="center"/>
            <w:hideMark/>
          </w:tcPr>
          <w:p w14:paraId="687229FB"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w:t>
            </w:r>
          </w:p>
        </w:tc>
        <w:tc>
          <w:tcPr>
            <w:tcW w:w="943" w:type="dxa"/>
            <w:tcBorders>
              <w:top w:val="nil"/>
              <w:left w:val="nil"/>
              <w:bottom w:val="single" w:sz="8" w:space="0" w:color="auto"/>
              <w:right w:val="single" w:sz="8" w:space="0" w:color="auto"/>
            </w:tcBorders>
            <w:shd w:val="clear" w:color="auto" w:fill="auto"/>
            <w:vAlign w:val="center"/>
            <w:hideMark/>
          </w:tcPr>
          <w:p w14:paraId="7EC169BB"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ks</w:t>
            </w:r>
          </w:p>
        </w:tc>
        <w:tc>
          <w:tcPr>
            <w:tcW w:w="758" w:type="dxa"/>
            <w:tcBorders>
              <w:top w:val="nil"/>
              <w:left w:val="nil"/>
              <w:bottom w:val="single" w:sz="8" w:space="0" w:color="auto"/>
              <w:right w:val="single" w:sz="8" w:space="0" w:color="auto"/>
            </w:tcBorders>
            <w:shd w:val="clear" w:color="auto" w:fill="auto"/>
            <w:vAlign w:val="center"/>
            <w:hideMark/>
          </w:tcPr>
          <w:p w14:paraId="5D022C2F"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w:t>
            </w:r>
          </w:p>
        </w:tc>
        <w:tc>
          <w:tcPr>
            <w:tcW w:w="930" w:type="dxa"/>
            <w:tcBorders>
              <w:top w:val="nil"/>
              <w:left w:val="nil"/>
              <w:bottom w:val="single" w:sz="8" w:space="0" w:color="auto"/>
              <w:right w:val="single" w:sz="8" w:space="0" w:color="auto"/>
            </w:tcBorders>
            <w:shd w:val="clear" w:color="auto" w:fill="auto"/>
            <w:vAlign w:val="center"/>
            <w:hideMark/>
          </w:tcPr>
          <w:p w14:paraId="3765EDA7"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ks</w:t>
            </w:r>
          </w:p>
        </w:tc>
        <w:tc>
          <w:tcPr>
            <w:tcW w:w="771" w:type="dxa"/>
            <w:tcBorders>
              <w:top w:val="nil"/>
              <w:left w:val="nil"/>
              <w:bottom w:val="single" w:sz="8" w:space="0" w:color="auto"/>
              <w:right w:val="single" w:sz="8" w:space="0" w:color="auto"/>
            </w:tcBorders>
            <w:shd w:val="clear" w:color="auto" w:fill="auto"/>
            <w:vAlign w:val="center"/>
            <w:hideMark/>
          </w:tcPr>
          <w:p w14:paraId="5C5AECB1"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w:t>
            </w:r>
          </w:p>
        </w:tc>
        <w:tc>
          <w:tcPr>
            <w:tcW w:w="930" w:type="dxa"/>
            <w:tcBorders>
              <w:top w:val="nil"/>
              <w:left w:val="nil"/>
              <w:bottom w:val="single" w:sz="8" w:space="0" w:color="auto"/>
              <w:right w:val="single" w:sz="8" w:space="0" w:color="auto"/>
            </w:tcBorders>
            <w:shd w:val="clear" w:color="auto" w:fill="auto"/>
            <w:vAlign w:val="center"/>
            <w:hideMark/>
          </w:tcPr>
          <w:p w14:paraId="27373804"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ks</w:t>
            </w:r>
          </w:p>
        </w:tc>
        <w:tc>
          <w:tcPr>
            <w:tcW w:w="912" w:type="dxa"/>
            <w:tcBorders>
              <w:top w:val="nil"/>
              <w:left w:val="nil"/>
              <w:bottom w:val="single" w:sz="8" w:space="0" w:color="auto"/>
              <w:right w:val="single" w:sz="8" w:space="0" w:color="auto"/>
            </w:tcBorders>
            <w:shd w:val="clear" w:color="auto" w:fill="auto"/>
            <w:vAlign w:val="center"/>
            <w:hideMark/>
          </w:tcPr>
          <w:p w14:paraId="0C6CB2A5" w14:textId="77777777" w:rsidR="00A16DDB" w:rsidRPr="00D95127" w:rsidRDefault="00A16DDB" w:rsidP="007A627A">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w:t>
            </w:r>
          </w:p>
        </w:tc>
        <w:tc>
          <w:tcPr>
            <w:tcW w:w="146" w:type="dxa"/>
            <w:vAlign w:val="center"/>
            <w:hideMark/>
          </w:tcPr>
          <w:p w14:paraId="410E1877" w14:textId="77777777" w:rsidR="00A16DDB" w:rsidRPr="00D95127" w:rsidRDefault="00A16DDB" w:rsidP="007A627A">
            <w:pPr>
              <w:rPr>
                <w:rFonts w:eastAsia="Times New Roman" w:cs="Times New Roman"/>
                <w:sz w:val="20"/>
                <w:szCs w:val="20"/>
                <w:lang w:val="cs-CZ" w:eastAsia="cs-CZ"/>
              </w:rPr>
            </w:pPr>
          </w:p>
        </w:tc>
      </w:tr>
      <w:tr w:rsidR="00A16DDB" w:rsidRPr="00D95127" w14:paraId="1922557E" w14:textId="77777777" w:rsidTr="007A627A">
        <w:trPr>
          <w:trHeight w:val="315"/>
        </w:trPr>
        <w:tc>
          <w:tcPr>
            <w:tcW w:w="943" w:type="dxa"/>
            <w:tcBorders>
              <w:top w:val="nil"/>
              <w:left w:val="single" w:sz="8" w:space="0" w:color="auto"/>
              <w:bottom w:val="single" w:sz="8" w:space="0" w:color="auto"/>
              <w:right w:val="single" w:sz="8" w:space="0" w:color="auto"/>
            </w:tcBorders>
            <w:shd w:val="clear" w:color="auto" w:fill="auto"/>
            <w:vAlign w:val="center"/>
            <w:hideMark/>
          </w:tcPr>
          <w:p w14:paraId="68DDB95A"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2012</w:t>
            </w:r>
          </w:p>
        </w:tc>
        <w:tc>
          <w:tcPr>
            <w:tcW w:w="1063" w:type="dxa"/>
            <w:tcBorders>
              <w:top w:val="nil"/>
              <w:left w:val="nil"/>
              <w:bottom w:val="single" w:sz="8" w:space="0" w:color="auto"/>
              <w:right w:val="single" w:sz="8" w:space="0" w:color="auto"/>
            </w:tcBorders>
            <w:shd w:val="clear" w:color="auto" w:fill="auto"/>
            <w:vAlign w:val="center"/>
            <w:hideMark/>
          </w:tcPr>
          <w:p w14:paraId="1D1CAB88"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4195,3</w:t>
            </w:r>
          </w:p>
        </w:tc>
        <w:tc>
          <w:tcPr>
            <w:tcW w:w="943" w:type="dxa"/>
            <w:tcBorders>
              <w:top w:val="nil"/>
              <w:left w:val="nil"/>
              <w:bottom w:val="single" w:sz="8" w:space="0" w:color="auto"/>
              <w:right w:val="single" w:sz="8" w:space="0" w:color="auto"/>
            </w:tcBorders>
            <w:shd w:val="clear" w:color="auto" w:fill="auto"/>
            <w:vAlign w:val="center"/>
            <w:hideMark/>
          </w:tcPr>
          <w:p w14:paraId="6FED4137"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3496,5</w:t>
            </w:r>
          </w:p>
        </w:tc>
        <w:tc>
          <w:tcPr>
            <w:tcW w:w="869" w:type="dxa"/>
            <w:tcBorders>
              <w:top w:val="nil"/>
              <w:left w:val="nil"/>
              <w:bottom w:val="single" w:sz="8" w:space="0" w:color="auto"/>
              <w:right w:val="single" w:sz="8" w:space="0" w:color="auto"/>
            </w:tcBorders>
            <w:shd w:val="clear" w:color="auto" w:fill="auto"/>
            <w:vAlign w:val="center"/>
            <w:hideMark/>
          </w:tcPr>
          <w:p w14:paraId="7BEBDFC0"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83,34</w:t>
            </w:r>
          </w:p>
        </w:tc>
        <w:tc>
          <w:tcPr>
            <w:tcW w:w="943" w:type="dxa"/>
            <w:tcBorders>
              <w:top w:val="nil"/>
              <w:left w:val="nil"/>
              <w:bottom w:val="single" w:sz="8" w:space="0" w:color="auto"/>
              <w:right w:val="single" w:sz="8" w:space="0" w:color="auto"/>
            </w:tcBorders>
            <w:shd w:val="clear" w:color="auto" w:fill="auto"/>
            <w:vAlign w:val="center"/>
            <w:hideMark/>
          </w:tcPr>
          <w:p w14:paraId="22F3C3DC"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693,4</w:t>
            </w:r>
          </w:p>
        </w:tc>
        <w:tc>
          <w:tcPr>
            <w:tcW w:w="758" w:type="dxa"/>
            <w:tcBorders>
              <w:top w:val="nil"/>
              <w:left w:val="nil"/>
              <w:bottom w:val="single" w:sz="8" w:space="0" w:color="auto"/>
              <w:right w:val="single" w:sz="8" w:space="0" w:color="auto"/>
            </w:tcBorders>
            <w:shd w:val="clear" w:color="auto" w:fill="auto"/>
            <w:vAlign w:val="center"/>
            <w:hideMark/>
          </w:tcPr>
          <w:p w14:paraId="7CAD932E"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16,53</w:t>
            </w:r>
          </w:p>
        </w:tc>
        <w:tc>
          <w:tcPr>
            <w:tcW w:w="930" w:type="dxa"/>
            <w:tcBorders>
              <w:top w:val="nil"/>
              <w:left w:val="nil"/>
              <w:bottom w:val="single" w:sz="8" w:space="0" w:color="auto"/>
              <w:right w:val="single" w:sz="8" w:space="0" w:color="auto"/>
            </w:tcBorders>
            <w:shd w:val="clear" w:color="auto" w:fill="auto"/>
            <w:vAlign w:val="center"/>
            <w:hideMark/>
          </w:tcPr>
          <w:p w14:paraId="29F437C2"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2,0</w:t>
            </w:r>
          </w:p>
        </w:tc>
        <w:tc>
          <w:tcPr>
            <w:tcW w:w="771" w:type="dxa"/>
            <w:tcBorders>
              <w:top w:val="nil"/>
              <w:left w:val="nil"/>
              <w:bottom w:val="single" w:sz="8" w:space="0" w:color="auto"/>
              <w:right w:val="single" w:sz="8" w:space="0" w:color="auto"/>
            </w:tcBorders>
            <w:shd w:val="clear" w:color="auto" w:fill="auto"/>
            <w:vAlign w:val="center"/>
            <w:hideMark/>
          </w:tcPr>
          <w:p w14:paraId="190BE49F"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0,05</w:t>
            </w:r>
          </w:p>
        </w:tc>
        <w:tc>
          <w:tcPr>
            <w:tcW w:w="930" w:type="dxa"/>
            <w:tcBorders>
              <w:top w:val="nil"/>
              <w:left w:val="nil"/>
              <w:bottom w:val="single" w:sz="8" w:space="0" w:color="auto"/>
              <w:right w:val="single" w:sz="8" w:space="0" w:color="auto"/>
            </w:tcBorders>
            <w:shd w:val="clear" w:color="auto" w:fill="auto"/>
            <w:vAlign w:val="center"/>
            <w:hideMark/>
          </w:tcPr>
          <w:p w14:paraId="784E64C0"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3,4</w:t>
            </w:r>
          </w:p>
        </w:tc>
        <w:tc>
          <w:tcPr>
            <w:tcW w:w="912" w:type="dxa"/>
            <w:tcBorders>
              <w:top w:val="nil"/>
              <w:left w:val="nil"/>
              <w:bottom w:val="single" w:sz="8" w:space="0" w:color="auto"/>
              <w:right w:val="single" w:sz="8" w:space="0" w:color="auto"/>
            </w:tcBorders>
            <w:shd w:val="clear" w:color="auto" w:fill="auto"/>
            <w:vAlign w:val="center"/>
            <w:hideMark/>
          </w:tcPr>
          <w:p w14:paraId="727C1468"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0,08</w:t>
            </w:r>
          </w:p>
        </w:tc>
        <w:tc>
          <w:tcPr>
            <w:tcW w:w="146" w:type="dxa"/>
            <w:vAlign w:val="center"/>
            <w:hideMark/>
          </w:tcPr>
          <w:p w14:paraId="1D27C0F6" w14:textId="77777777" w:rsidR="00A16DDB" w:rsidRPr="00D95127" w:rsidRDefault="00A16DDB" w:rsidP="007A627A">
            <w:pPr>
              <w:rPr>
                <w:rFonts w:eastAsia="Times New Roman" w:cs="Times New Roman"/>
                <w:sz w:val="20"/>
                <w:szCs w:val="20"/>
                <w:lang w:val="cs-CZ" w:eastAsia="cs-CZ"/>
              </w:rPr>
            </w:pPr>
          </w:p>
        </w:tc>
      </w:tr>
      <w:tr w:rsidR="00A16DDB" w:rsidRPr="00D95127" w14:paraId="4B218A46" w14:textId="77777777" w:rsidTr="007A627A">
        <w:trPr>
          <w:trHeight w:val="315"/>
        </w:trPr>
        <w:tc>
          <w:tcPr>
            <w:tcW w:w="943" w:type="dxa"/>
            <w:tcBorders>
              <w:top w:val="nil"/>
              <w:left w:val="single" w:sz="8" w:space="0" w:color="auto"/>
              <w:bottom w:val="single" w:sz="8" w:space="0" w:color="auto"/>
              <w:right w:val="single" w:sz="8" w:space="0" w:color="auto"/>
            </w:tcBorders>
            <w:shd w:val="clear" w:color="auto" w:fill="auto"/>
            <w:vAlign w:val="center"/>
            <w:hideMark/>
          </w:tcPr>
          <w:p w14:paraId="5536781F"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2013</w:t>
            </w:r>
          </w:p>
        </w:tc>
        <w:tc>
          <w:tcPr>
            <w:tcW w:w="1063" w:type="dxa"/>
            <w:tcBorders>
              <w:top w:val="nil"/>
              <w:left w:val="nil"/>
              <w:bottom w:val="single" w:sz="8" w:space="0" w:color="auto"/>
              <w:right w:val="single" w:sz="8" w:space="0" w:color="auto"/>
            </w:tcBorders>
            <w:shd w:val="clear" w:color="auto" w:fill="auto"/>
            <w:vAlign w:val="center"/>
            <w:hideMark/>
          </w:tcPr>
          <w:p w14:paraId="25AB23B1"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4269,0</w:t>
            </w:r>
          </w:p>
        </w:tc>
        <w:tc>
          <w:tcPr>
            <w:tcW w:w="943" w:type="dxa"/>
            <w:tcBorders>
              <w:top w:val="nil"/>
              <w:left w:val="nil"/>
              <w:bottom w:val="single" w:sz="8" w:space="0" w:color="auto"/>
              <w:right w:val="single" w:sz="8" w:space="0" w:color="auto"/>
            </w:tcBorders>
            <w:shd w:val="clear" w:color="auto" w:fill="auto"/>
            <w:vAlign w:val="center"/>
            <w:hideMark/>
          </w:tcPr>
          <w:p w14:paraId="3184FC64"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3812,6</w:t>
            </w:r>
          </w:p>
        </w:tc>
        <w:tc>
          <w:tcPr>
            <w:tcW w:w="869" w:type="dxa"/>
            <w:tcBorders>
              <w:top w:val="nil"/>
              <w:left w:val="nil"/>
              <w:bottom w:val="single" w:sz="8" w:space="0" w:color="auto"/>
              <w:right w:val="single" w:sz="8" w:space="0" w:color="auto"/>
            </w:tcBorders>
            <w:shd w:val="clear" w:color="auto" w:fill="auto"/>
            <w:vAlign w:val="center"/>
            <w:hideMark/>
          </w:tcPr>
          <w:p w14:paraId="55D35FEB"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89,31</w:t>
            </w:r>
          </w:p>
        </w:tc>
        <w:tc>
          <w:tcPr>
            <w:tcW w:w="943" w:type="dxa"/>
            <w:tcBorders>
              <w:top w:val="nil"/>
              <w:left w:val="nil"/>
              <w:bottom w:val="single" w:sz="8" w:space="0" w:color="auto"/>
              <w:right w:val="single" w:sz="8" w:space="0" w:color="auto"/>
            </w:tcBorders>
            <w:shd w:val="clear" w:color="auto" w:fill="auto"/>
            <w:vAlign w:val="center"/>
            <w:hideMark/>
          </w:tcPr>
          <w:p w14:paraId="2913A12D"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446,9</w:t>
            </w:r>
          </w:p>
        </w:tc>
        <w:tc>
          <w:tcPr>
            <w:tcW w:w="758" w:type="dxa"/>
            <w:tcBorders>
              <w:top w:val="nil"/>
              <w:left w:val="nil"/>
              <w:bottom w:val="single" w:sz="8" w:space="0" w:color="auto"/>
              <w:right w:val="single" w:sz="8" w:space="0" w:color="auto"/>
            </w:tcBorders>
            <w:shd w:val="clear" w:color="auto" w:fill="auto"/>
            <w:vAlign w:val="center"/>
            <w:hideMark/>
          </w:tcPr>
          <w:p w14:paraId="711AF6EA"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10,47</w:t>
            </w:r>
          </w:p>
        </w:tc>
        <w:tc>
          <w:tcPr>
            <w:tcW w:w="930" w:type="dxa"/>
            <w:tcBorders>
              <w:top w:val="nil"/>
              <w:left w:val="nil"/>
              <w:bottom w:val="single" w:sz="8" w:space="0" w:color="auto"/>
              <w:right w:val="single" w:sz="8" w:space="0" w:color="auto"/>
            </w:tcBorders>
            <w:shd w:val="clear" w:color="auto" w:fill="auto"/>
            <w:vAlign w:val="center"/>
            <w:hideMark/>
          </w:tcPr>
          <w:p w14:paraId="327F585C"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1,1</w:t>
            </w:r>
          </w:p>
        </w:tc>
        <w:tc>
          <w:tcPr>
            <w:tcW w:w="771" w:type="dxa"/>
            <w:tcBorders>
              <w:top w:val="nil"/>
              <w:left w:val="nil"/>
              <w:bottom w:val="single" w:sz="8" w:space="0" w:color="auto"/>
              <w:right w:val="single" w:sz="8" w:space="0" w:color="auto"/>
            </w:tcBorders>
            <w:shd w:val="clear" w:color="auto" w:fill="auto"/>
            <w:vAlign w:val="center"/>
            <w:hideMark/>
          </w:tcPr>
          <w:p w14:paraId="5A6D83E2"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0,03</w:t>
            </w:r>
          </w:p>
        </w:tc>
        <w:tc>
          <w:tcPr>
            <w:tcW w:w="930" w:type="dxa"/>
            <w:tcBorders>
              <w:top w:val="nil"/>
              <w:left w:val="nil"/>
              <w:bottom w:val="single" w:sz="8" w:space="0" w:color="auto"/>
              <w:right w:val="single" w:sz="8" w:space="0" w:color="auto"/>
            </w:tcBorders>
            <w:shd w:val="clear" w:color="auto" w:fill="auto"/>
            <w:vAlign w:val="center"/>
            <w:hideMark/>
          </w:tcPr>
          <w:p w14:paraId="3669535D"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8,3</w:t>
            </w:r>
          </w:p>
        </w:tc>
        <w:tc>
          <w:tcPr>
            <w:tcW w:w="912" w:type="dxa"/>
            <w:tcBorders>
              <w:top w:val="nil"/>
              <w:left w:val="nil"/>
              <w:bottom w:val="single" w:sz="8" w:space="0" w:color="auto"/>
              <w:right w:val="single" w:sz="8" w:space="0" w:color="auto"/>
            </w:tcBorders>
            <w:shd w:val="clear" w:color="auto" w:fill="auto"/>
            <w:vAlign w:val="center"/>
            <w:hideMark/>
          </w:tcPr>
          <w:p w14:paraId="01AFDD99"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0,19</w:t>
            </w:r>
          </w:p>
        </w:tc>
        <w:tc>
          <w:tcPr>
            <w:tcW w:w="146" w:type="dxa"/>
            <w:vAlign w:val="center"/>
            <w:hideMark/>
          </w:tcPr>
          <w:p w14:paraId="52D4DCA5" w14:textId="77777777" w:rsidR="00A16DDB" w:rsidRPr="00D95127" w:rsidRDefault="00A16DDB" w:rsidP="007A627A">
            <w:pPr>
              <w:rPr>
                <w:rFonts w:eastAsia="Times New Roman" w:cs="Times New Roman"/>
                <w:sz w:val="20"/>
                <w:szCs w:val="20"/>
                <w:lang w:val="cs-CZ" w:eastAsia="cs-CZ"/>
              </w:rPr>
            </w:pPr>
          </w:p>
        </w:tc>
      </w:tr>
      <w:tr w:rsidR="00A16DDB" w:rsidRPr="00D95127" w14:paraId="6E82B7AA" w14:textId="77777777" w:rsidTr="007A627A">
        <w:trPr>
          <w:trHeight w:val="315"/>
        </w:trPr>
        <w:tc>
          <w:tcPr>
            <w:tcW w:w="943" w:type="dxa"/>
            <w:tcBorders>
              <w:top w:val="nil"/>
              <w:left w:val="single" w:sz="8" w:space="0" w:color="auto"/>
              <w:bottom w:val="single" w:sz="8" w:space="0" w:color="auto"/>
              <w:right w:val="single" w:sz="8" w:space="0" w:color="auto"/>
            </w:tcBorders>
            <w:shd w:val="clear" w:color="auto" w:fill="auto"/>
            <w:vAlign w:val="center"/>
            <w:hideMark/>
          </w:tcPr>
          <w:p w14:paraId="60C27239"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2014</w:t>
            </w:r>
          </w:p>
        </w:tc>
        <w:tc>
          <w:tcPr>
            <w:tcW w:w="1063" w:type="dxa"/>
            <w:tcBorders>
              <w:top w:val="nil"/>
              <w:left w:val="nil"/>
              <w:bottom w:val="single" w:sz="8" w:space="0" w:color="auto"/>
              <w:right w:val="single" w:sz="8" w:space="0" w:color="auto"/>
            </w:tcBorders>
            <w:shd w:val="clear" w:color="auto" w:fill="auto"/>
            <w:vAlign w:val="center"/>
            <w:hideMark/>
          </w:tcPr>
          <w:p w14:paraId="1EA4E9E6"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4211,6</w:t>
            </w:r>
          </w:p>
        </w:tc>
        <w:tc>
          <w:tcPr>
            <w:tcW w:w="943" w:type="dxa"/>
            <w:tcBorders>
              <w:top w:val="nil"/>
              <w:left w:val="nil"/>
              <w:bottom w:val="single" w:sz="8" w:space="0" w:color="auto"/>
              <w:right w:val="single" w:sz="8" w:space="0" w:color="auto"/>
            </w:tcBorders>
            <w:shd w:val="clear" w:color="auto" w:fill="auto"/>
            <w:vAlign w:val="center"/>
            <w:hideMark/>
          </w:tcPr>
          <w:p w14:paraId="37ADD354"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3602,6</w:t>
            </w:r>
          </w:p>
        </w:tc>
        <w:tc>
          <w:tcPr>
            <w:tcW w:w="869" w:type="dxa"/>
            <w:tcBorders>
              <w:top w:val="nil"/>
              <w:left w:val="nil"/>
              <w:bottom w:val="single" w:sz="8" w:space="0" w:color="auto"/>
              <w:right w:val="single" w:sz="8" w:space="0" w:color="auto"/>
            </w:tcBorders>
            <w:shd w:val="clear" w:color="auto" w:fill="auto"/>
            <w:vAlign w:val="center"/>
            <w:hideMark/>
          </w:tcPr>
          <w:p w14:paraId="22910EE4"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85,54</w:t>
            </w:r>
          </w:p>
        </w:tc>
        <w:tc>
          <w:tcPr>
            <w:tcW w:w="943" w:type="dxa"/>
            <w:tcBorders>
              <w:top w:val="nil"/>
              <w:left w:val="nil"/>
              <w:bottom w:val="single" w:sz="8" w:space="0" w:color="auto"/>
              <w:right w:val="single" w:sz="8" w:space="0" w:color="auto"/>
            </w:tcBorders>
            <w:shd w:val="clear" w:color="auto" w:fill="auto"/>
            <w:vAlign w:val="center"/>
            <w:hideMark/>
          </w:tcPr>
          <w:p w14:paraId="31F4FE58"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590,5</w:t>
            </w:r>
          </w:p>
        </w:tc>
        <w:tc>
          <w:tcPr>
            <w:tcW w:w="758" w:type="dxa"/>
            <w:tcBorders>
              <w:top w:val="nil"/>
              <w:left w:val="nil"/>
              <w:bottom w:val="single" w:sz="8" w:space="0" w:color="auto"/>
              <w:right w:val="single" w:sz="8" w:space="0" w:color="auto"/>
            </w:tcBorders>
            <w:shd w:val="clear" w:color="auto" w:fill="auto"/>
            <w:vAlign w:val="center"/>
            <w:hideMark/>
          </w:tcPr>
          <w:p w14:paraId="1ECE54AE"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14,02</w:t>
            </w:r>
          </w:p>
        </w:tc>
        <w:tc>
          <w:tcPr>
            <w:tcW w:w="930" w:type="dxa"/>
            <w:tcBorders>
              <w:top w:val="nil"/>
              <w:left w:val="nil"/>
              <w:bottom w:val="single" w:sz="8" w:space="0" w:color="auto"/>
              <w:right w:val="single" w:sz="8" w:space="0" w:color="auto"/>
            </w:tcBorders>
            <w:shd w:val="clear" w:color="auto" w:fill="auto"/>
            <w:vAlign w:val="center"/>
            <w:hideMark/>
          </w:tcPr>
          <w:p w14:paraId="6C936176"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6,8</w:t>
            </w:r>
          </w:p>
        </w:tc>
        <w:tc>
          <w:tcPr>
            <w:tcW w:w="771" w:type="dxa"/>
            <w:tcBorders>
              <w:top w:val="nil"/>
              <w:left w:val="nil"/>
              <w:bottom w:val="single" w:sz="8" w:space="0" w:color="auto"/>
              <w:right w:val="single" w:sz="8" w:space="0" w:color="auto"/>
            </w:tcBorders>
            <w:shd w:val="clear" w:color="auto" w:fill="auto"/>
            <w:vAlign w:val="center"/>
            <w:hideMark/>
          </w:tcPr>
          <w:p w14:paraId="6D0EEC4B"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0,16</w:t>
            </w:r>
          </w:p>
        </w:tc>
        <w:tc>
          <w:tcPr>
            <w:tcW w:w="930" w:type="dxa"/>
            <w:tcBorders>
              <w:top w:val="nil"/>
              <w:left w:val="nil"/>
              <w:bottom w:val="single" w:sz="8" w:space="0" w:color="auto"/>
              <w:right w:val="single" w:sz="8" w:space="0" w:color="auto"/>
            </w:tcBorders>
            <w:shd w:val="clear" w:color="auto" w:fill="auto"/>
            <w:vAlign w:val="center"/>
            <w:hideMark/>
          </w:tcPr>
          <w:p w14:paraId="708BDFF8"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11,7</w:t>
            </w:r>
          </w:p>
        </w:tc>
        <w:tc>
          <w:tcPr>
            <w:tcW w:w="912" w:type="dxa"/>
            <w:tcBorders>
              <w:top w:val="nil"/>
              <w:left w:val="nil"/>
              <w:bottom w:val="single" w:sz="8" w:space="0" w:color="auto"/>
              <w:right w:val="single" w:sz="8" w:space="0" w:color="auto"/>
            </w:tcBorders>
            <w:shd w:val="clear" w:color="auto" w:fill="auto"/>
            <w:vAlign w:val="center"/>
            <w:hideMark/>
          </w:tcPr>
          <w:p w14:paraId="411C2E7F"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0,28</w:t>
            </w:r>
          </w:p>
        </w:tc>
        <w:tc>
          <w:tcPr>
            <w:tcW w:w="146" w:type="dxa"/>
            <w:vAlign w:val="center"/>
            <w:hideMark/>
          </w:tcPr>
          <w:p w14:paraId="71308C49" w14:textId="77777777" w:rsidR="00A16DDB" w:rsidRPr="00D95127" w:rsidRDefault="00A16DDB" w:rsidP="007A627A">
            <w:pPr>
              <w:rPr>
                <w:rFonts w:eastAsia="Times New Roman" w:cs="Times New Roman"/>
                <w:sz w:val="20"/>
                <w:szCs w:val="20"/>
                <w:lang w:val="cs-CZ" w:eastAsia="cs-CZ"/>
              </w:rPr>
            </w:pPr>
          </w:p>
        </w:tc>
      </w:tr>
      <w:tr w:rsidR="00A16DDB" w:rsidRPr="00D95127" w14:paraId="25B95C1D" w14:textId="77777777" w:rsidTr="007A627A">
        <w:trPr>
          <w:trHeight w:val="315"/>
        </w:trPr>
        <w:tc>
          <w:tcPr>
            <w:tcW w:w="943" w:type="dxa"/>
            <w:tcBorders>
              <w:top w:val="nil"/>
              <w:left w:val="single" w:sz="8" w:space="0" w:color="auto"/>
              <w:bottom w:val="single" w:sz="8" w:space="0" w:color="auto"/>
              <w:right w:val="single" w:sz="8" w:space="0" w:color="auto"/>
            </w:tcBorders>
            <w:shd w:val="clear" w:color="auto" w:fill="auto"/>
            <w:vAlign w:val="center"/>
            <w:hideMark/>
          </w:tcPr>
          <w:p w14:paraId="27CCEB5F"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2015</w:t>
            </w:r>
          </w:p>
        </w:tc>
        <w:tc>
          <w:tcPr>
            <w:tcW w:w="1063" w:type="dxa"/>
            <w:tcBorders>
              <w:top w:val="nil"/>
              <w:left w:val="nil"/>
              <w:bottom w:val="single" w:sz="8" w:space="0" w:color="auto"/>
              <w:right w:val="single" w:sz="8" w:space="0" w:color="auto"/>
            </w:tcBorders>
            <w:shd w:val="clear" w:color="auto" w:fill="auto"/>
            <w:vAlign w:val="center"/>
            <w:hideMark/>
          </w:tcPr>
          <w:p w14:paraId="7B6E63AA"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4156,9</w:t>
            </w:r>
          </w:p>
        </w:tc>
        <w:tc>
          <w:tcPr>
            <w:tcW w:w="943" w:type="dxa"/>
            <w:tcBorders>
              <w:top w:val="nil"/>
              <w:left w:val="nil"/>
              <w:bottom w:val="single" w:sz="8" w:space="0" w:color="auto"/>
              <w:right w:val="single" w:sz="8" w:space="0" w:color="auto"/>
            </w:tcBorders>
            <w:shd w:val="clear" w:color="auto" w:fill="auto"/>
            <w:vAlign w:val="center"/>
            <w:hideMark/>
          </w:tcPr>
          <w:p w14:paraId="54F26DE3"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3578,8</w:t>
            </w:r>
          </w:p>
        </w:tc>
        <w:tc>
          <w:tcPr>
            <w:tcW w:w="869" w:type="dxa"/>
            <w:tcBorders>
              <w:top w:val="nil"/>
              <w:left w:val="nil"/>
              <w:bottom w:val="single" w:sz="8" w:space="0" w:color="auto"/>
              <w:right w:val="single" w:sz="8" w:space="0" w:color="auto"/>
            </w:tcBorders>
            <w:shd w:val="clear" w:color="auto" w:fill="auto"/>
            <w:vAlign w:val="center"/>
            <w:hideMark/>
          </w:tcPr>
          <w:p w14:paraId="736E847D"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86,09</w:t>
            </w:r>
          </w:p>
        </w:tc>
        <w:tc>
          <w:tcPr>
            <w:tcW w:w="943" w:type="dxa"/>
            <w:tcBorders>
              <w:top w:val="nil"/>
              <w:left w:val="nil"/>
              <w:bottom w:val="single" w:sz="8" w:space="0" w:color="auto"/>
              <w:right w:val="single" w:sz="8" w:space="0" w:color="auto"/>
            </w:tcBorders>
            <w:shd w:val="clear" w:color="auto" w:fill="auto"/>
            <w:vAlign w:val="center"/>
            <w:hideMark/>
          </w:tcPr>
          <w:p w14:paraId="71DDA63E"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560,4</w:t>
            </w:r>
          </w:p>
        </w:tc>
        <w:tc>
          <w:tcPr>
            <w:tcW w:w="758" w:type="dxa"/>
            <w:tcBorders>
              <w:top w:val="nil"/>
              <w:left w:val="nil"/>
              <w:bottom w:val="single" w:sz="8" w:space="0" w:color="auto"/>
              <w:right w:val="single" w:sz="8" w:space="0" w:color="auto"/>
            </w:tcBorders>
            <w:shd w:val="clear" w:color="auto" w:fill="auto"/>
            <w:vAlign w:val="center"/>
            <w:hideMark/>
          </w:tcPr>
          <w:p w14:paraId="5F3F9C05"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13,48</w:t>
            </w:r>
          </w:p>
        </w:tc>
        <w:tc>
          <w:tcPr>
            <w:tcW w:w="930" w:type="dxa"/>
            <w:tcBorders>
              <w:top w:val="nil"/>
              <w:left w:val="nil"/>
              <w:bottom w:val="single" w:sz="8" w:space="0" w:color="auto"/>
              <w:right w:val="single" w:sz="8" w:space="0" w:color="auto"/>
            </w:tcBorders>
            <w:shd w:val="clear" w:color="auto" w:fill="auto"/>
            <w:vAlign w:val="center"/>
            <w:hideMark/>
          </w:tcPr>
          <w:p w14:paraId="265163A1"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3,5</w:t>
            </w:r>
          </w:p>
        </w:tc>
        <w:tc>
          <w:tcPr>
            <w:tcW w:w="771" w:type="dxa"/>
            <w:tcBorders>
              <w:top w:val="nil"/>
              <w:left w:val="nil"/>
              <w:bottom w:val="single" w:sz="8" w:space="0" w:color="auto"/>
              <w:right w:val="single" w:sz="8" w:space="0" w:color="auto"/>
            </w:tcBorders>
            <w:shd w:val="clear" w:color="auto" w:fill="auto"/>
            <w:vAlign w:val="center"/>
            <w:hideMark/>
          </w:tcPr>
          <w:p w14:paraId="1B67DBFA"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0,08</w:t>
            </w:r>
          </w:p>
        </w:tc>
        <w:tc>
          <w:tcPr>
            <w:tcW w:w="930" w:type="dxa"/>
            <w:tcBorders>
              <w:top w:val="nil"/>
              <w:left w:val="nil"/>
              <w:bottom w:val="single" w:sz="8" w:space="0" w:color="auto"/>
              <w:right w:val="single" w:sz="8" w:space="0" w:color="auto"/>
            </w:tcBorders>
            <w:shd w:val="clear" w:color="auto" w:fill="auto"/>
            <w:vAlign w:val="center"/>
            <w:hideMark/>
          </w:tcPr>
          <w:p w14:paraId="7A6EBA0B"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14,1</w:t>
            </w:r>
          </w:p>
        </w:tc>
        <w:tc>
          <w:tcPr>
            <w:tcW w:w="912" w:type="dxa"/>
            <w:tcBorders>
              <w:top w:val="nil"/>
              <w:left w:val="nil"/>
              <w:bottom w:val="single" w:sz="8" w:space="0" w:color="auto"/>
              <w:right w:val="single" w:sz="8" w:space="0" w:color="auto"/>
            </w:tcBorders>
            <w:shd w:val="clear" w:color="auto" w:fill="auto"/>
            <w:vAlign w:val="center"/>
            <w:hideMark/>
          </w:tcPr>
          <w:p w14:paraId="04E428FE"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0,34</w:t>
            </w:r>
          </w:p>
        </w:tc>
        <w:tc>
          <w:tcPr>
            <w:tcW w:w="146" w:type="dxa"/>
            <w:vAlign w:val="center"/>
            <w:hideMark/>
          </w:tcPr>
          <w:p w14:paraId="40054874" w14:textId="77777777" w:rsidR="00A16DDB" w:rsidRPr="00D95127" w:rsidRDefault="00A16DDB" w:rsidP="007A627A">
            <w:pPr>
              <w:rPr>
                <w:rFonts w:eastAsia="Times New Roman" w:cs="Times New Roman"/>
                <w:sz w:val="20"/>
                <w:szCs w:val="20"/>
                <w:lang w:val="cs-CZ" w:eastAsia="cs-CZ"/>
              </w:rPr>
            </w:pPr>
          </w:p>
        </w:tc>
      </w:tr>
      <w:tr w:rsidR="00A16DDB" w:rsidRPr="00D95127" w14:paraId="1E9BCE47" w14:textId="77777777" w:rsidTr="007A627A">
        <w:trPr>
          <w:trHeight w:val="315"/>
        </w:trPr>
        <w:tc>
          <w:tcPr>
            <w:tcW w:w="943" w:type="dxa"/>
            <w:tcBorders>
              <w:top w:val="nil"/>
              <w:left w:val="single" w:sz="8" w:space="0" w:color="auto"/>
              <w:bottom w:val="single" w:sz="8" w:space="0" w:color="auto"/>
              <w:right w:val="single" w:sz="8" w:space="0" w:color="auto"/>
            </w:tcBorders>
            <w:shd w:val="clear" w:color="auto" w:fill="auto"/>
            <w:vAlign w:val="center"/>
            <w:hideMark/>
          </w:tcPr>
          <w:p w14:paraId="530F936F"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2016</w:t>
            </w:r>
          </w:p>
        </w:tc>
        <w:tc>
          <w:tcPr>
            <w:tcW w:w="1063" w:type="dxa"/>
            <w:tcBorders>
              <w:top w:val="nil"/>
              <w:left w:val="nil"/>
              <w:bottom w:val="single" w:sz="8" w:space="0" w:color="auto"/>
              <w:right w:val="single" w:sz="8" w:space="0" w:color="auto"/>
            </w:tcBorders>
            <w:shd w:val="clear" w:color="auto" w:fill="auto"/>
            <w:vAlign w:val="center"/>
            <w:hideMark/>
          </w:tcPr>
          <w:p w14:paraId="1797ED6E"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4373,6</w:t>
            </w:r>
          </w:p>
        </w:tc>
        <w:tc>
          <w:tcPr>
            <w:tcW w:w="943" w:type="dxa"/>
            <w:tcBorders>
              <w:top w:val="nil"/>
              <w:left w:val="nil"/>
              <w:bottom w:val="single" w:sz="8" w:space="0" w:color="auto"/>
              <w:right w:val="single" w:sz="8" w:space="0" w:color="auto"/>
            </w:tcBorders>
            <w:shd w:val="clear" w:color="auto" w:fill="auto"/>
            <w:vAlign w:val="center"/>
            <w:hideMark/>
          </w:tcPr>
          <w:p w14:paraId="3A7C6236"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3947,0</w:t>
            </w:r>
          </w:p>
        </w:tc>
        <w:tc>
          <w:tcPr>
            <w:tcW w:w="869" w:type="dxa"/>
            <w:tcBorders>
              <w:top w:val="nil"/>
              <w:left w:val="nil"/>
              <w:bottom w:val="single" w:sz="8" w:space="0" w:color="auto"/>
              <w:right w:val="single" w:sz="8" w:space="0" w:color="auto"/>
            </w:tcBorders>
            <w:shd w:val="clear" w:color="auto" w:fill="auto"/>
            <w:vAlign w:val="center"/>
            <w:hideMark/>
          </w:tcPr>
          <w:p w14:paraId="50D095DF"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90,00</w:t>
            </w:r>
          </w:p>
        </w:tc>
        <w:tc>
          <w:tcPr>
            <w:tcW w:w="943" w:type="dxa"/>
            <w:tcBorders>
              <w:top w:val="nil"/>
              <w:left w:val="nil"/>
              <w:bottom w:val="single" w:sz="8" w:space="0" w:color="auto"/>
              <w:right w:val="single" w:sz="8" w:space="0" w:color="auto"/>
            </w:tcBorders>
            <w:shd w:val="clear" w:color="auto" w:fill="auto"/>
            <w:vAlign w:val="center"/>
            <w:hideMark/>
          </w:tcPr>
          <w:p w14:paraId="6D126732"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416,8</w:t>
            </w:r>
          </w:p>
        </w:tc>
        <w:tc>
          <w:tcPr>
            <w:tcW w:w="758" w:type="dxa"/>
            <w:tcBorders>
              <w:top w:val="nil"/>
              <w:left w:val="nil"/>
              <w:bottom w:val="single" w:sz="8" w:space="0" w:color="auto"/>
              <w:right w:val="single" w:sz="8" w:space="0" w:color="auto"/>
            </w:tcBorders>
            <w:shd w:val="clear" w:color="auto" w:fill="auto"/>
            <w:vAlign w:val="center"/>
            <w:hideMark/>
          </w:tcPr>
          <w:p w14:paraId="760DEB89"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9,53</w:t>
            </w:r>
          </w:p>
        </w:tc>
        <w:tc>
          <w:tcPr>
            <w:tcW w:w="930" w:type="dxa"/>
            <w:tcBorders>
              <w:top w:val="nil"/>
              <w:left w:val="nil"/>
              <w:bottom w:val="single" w:sz="8" w:space="0" w:color="auto"/>
              <w:right w:val="single" w:sz="8" w:space="0" w:color="auto"/>
            </w:tcBorders>
            <w:shd w:val="clear" w:color="auto" w:fill="auto"/>
            <w:vAlign w:val="center"/>
            <w:hideMark/>
          </w:tcPr>
          <w:p w14:paraId="0F11E913"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3,4</w:t>
            </w:r>
          </w:p>
        </w:tc>
        <w:tc>
          <w:tcPr>
            <w:tcW w:w="771" w:type="dxa"/>
            <w:tcBorders>
              <w:top w:val="nil"/>
              <w:left w:val="nil"/>
              <w:bottom w:val="single" w:sz="8" w:space="0" w:color="auto"/>
              <w:right w:val="single" w:sz="8" w:space="0" w:color="auto"/>
            </w:tcBorders>
            <w:shd w:val="clear" w:color="auto" w:fill="auto"/>
            <w:vAlign w:val="center"/>
            <w:hideMark/>
          </w:tcPr>
          <w:p w14:paraId="3D272C95"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0,08</w:t>
            </w:r>
          </w:p>
        </w:tc>
        <w:tc>
          <w:tcPr>
            <w:tcW w:w="930" w:type="dxa"/>
            <w:tcBorders>
              <w:top w:val="nil"/>
              <w:left w:val="nil"/>
              <w:bottom w:val="single" w:sz="8" w:space="0" w:color="auto"/>
              <w:right w:val="single" w:sz="8" w:space="0" w:color="auto"/>
            </w:tcBorders>
            <w:shd w:val="clear" w:color="auto" w:fill="auto"/>
            <w:vAlign w:val="center"/>
            <w:hideMark/>
          </w:tcPr>
          <w:p w14:paraId="22E63030"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6,3</w:t>
            </w:r>
          </w:p>
        </w:tc>
        <w:tc>
          <w:tcPr>
            <w:tcW w:w="912" w:type="dxa"/>
            <w:tcBorders>
              <w:top w:val="nil"/>
              <w:left w:val="nil"/>
              <w:bottom w:val="single" w:sz="8" w:space="0" w:color="auto"/>
              <w:right w:val="single" w:sz="8" w:space="0" w:color="auto"/>
            </w:tcBorders>
            <w:shd w:val="clear" w:color="auto" w:fill="auto"/>
            <w:vAlign w:val="center"/>
            <w:hideMark/>
          </w:tcPr>
          <w:p w14:paraId="73D37607"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0,15</w:t>
            </w:r>
          </w:p>
        </w:tc>
        <w:tc>
          <w:tcPr>
            <w:tcW w:w="146" w:type="dxa"/>
            <w:vAlign w:val="center"/>
            <w:hideMark/>
          </w:tcPr>
          <w:p w14:paraId="1263ED85" w14:textId="77777777" w:rsidR="00A16DDB" w:rsidRPr="00D95127" w:rsidRDefault="00A16DDB" w:rsidP="007A627A">
            <w:pPr>
              <w:rPr>
                <w:rFonts w:eastAsia="Times New Roman" w:cs="Times New Roman"/>
                <w:sz w:val="20"/>
                <w:szCs w:val="20"/>
                <w:lang w:val="cs-CZ" w:eastAsia="cs-CZ"/>
              </w:rPr>
            </w:pPr>
          </w:p>
        </w:tc>
      </w:tr>
      <w:tr w:rsidR="00A16DDB" w:rsidRPr="00D95127" w14:paraId="240312B2" w14:textId="77777777" w:rsidTr="007A627A">
        <w:trPr>
          <w:trHeight w:val="315"/>
        </w:trPr>
        <w:tc>
          <w:tcPr>
            <w:tcW w:w="943" w:type="dxa"/>
            <w:tcBorders>
              <w:top w:val="nil"/>
              <w:left w:val="single" w:sz="8" w:space="0" w:color="auto"/>
              <w:bottom w:val="single" w:sz="8" w:space="0" w:color="auto"/>
              <w:right w:val="single" w:sz="8" w:space="0" w:color="auto"/>
            </w:tcBorders>
            <w:shd w:val="clear" w:color="auto" w:fill="auto"/>
            <w:vAlign w:val="center"/>
            <w:hideMark/>
          </w:tcPr>
          <w:p w14:paraId="5A452DCB"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2017</w:t>
            </w:r>
          </w:p>
        </w:tc>
        <w:tc>
          <w:tcPr>
            <w:tcW w:w="1063" w:type="dxa"/>
            <w:tcBorders>
              <w:top w:val="nil"/>
              <w:left w:val="nil"/>
              <w:bottom w:val="single" w:sz="8" w:space="0" w:color="auto"/>
              <w:right w:val="single" w:sz="8" w:space="0" w:color="auto"/>
            </w:tcBorders>
            <w:shd w:val="clear" w:color="auto" w:fill="auto"/>
            <w:vAlign w:val="center"/>
            <w:hideMark/>
          </w:tcPr>
          <w:p w14:paraId="2AFAA0D6"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4859,0</w:t>
            </w:r>
          </w:p>
        </w:tc>
        <w:tc>
          <w:tcPr>
            <w:tcW w:w="943" w:type="dxa"/>
            <w:tcBorders>
              <w:top w:val="nil"/>
              <w:left w:val="nil"/>
              <w:bottom w:val="single" w:sz="8" w:space="0" w:color="auto"/>
              <w:right w:val="single" w:sz="8" w:space="0" w:color="auto"/>
            </w:tcBorders>
            <w:shd w:val="clear" w:color="auto" w:fill="auto"/>
            <w:vAlign w:val="center"/>
            <w:hideMark/>
          </w:tcPr>
          <w:p w14:paraId="6BF8EE48"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4255,3</w:t>
            </w:r>
          </w:p>
        </w:tc>
        <w:tc>
          <w:tcPr>
            <w:tcW w:w="869" w:type="dxa"/>
            <w:tcBorders>
              <w:top w:val="nil"/>
              <w:left w:val="nil"/>
              <w:bottom w:val="single" w:sz="8" w:space="0" w:color="auto"/>
              <w:right w:val="single" w:sz="8" w:space="0" w:color="auto"/>
            </w:tcBorders>
            <w:shd w:val="clear" w:color="auto" w:fill="auto"/>
            <w:vAlign w:val="center"/>
            <w:hideMark/>
          </w:tcPr>
          <w:p w14:paraId="47DA375E"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87,58</w:t>
            </w:r>
          </w:p>
        </w:tc>
        <w:tc>
          <w:tcPr>
            <w:tcW w:w="943" w:type="dxa"/>
            <w:tcBorders>
              <w:top w:val="nil"/>
              <w:left w:val="nil"/>
              <w:bottom w:val="single" w:sz="8" w:space="0" w:color="auto"/>
              <w:right w:val="single" w:sz="8" w:space="0" w:color="auto"/>
            </w:tcBorders>
            <w:shd w:val="clear" w:color="auto" w:fill="auto"/>
            <w:vAlign w:val="center"/>
            <w:hideMark/>
          </w:tcPr>
          <w:p w14:paraId="198AEAB1"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580,6</w:t>
            </w:r>
          </w:p>
        </w:tc>
        <w:tc>
          <w:tcPr>
            <w:tcW w:w="758" w:type="dxa"/>
            <w:tcBorders>
              <w:top w:val="nil"/>
              <w:left w:val="nil"/>
              <w:bottom w:val="single" w:sz="8" w:space="0" w:color="auto"/>
              <w:right w:val="single" w:sz="8" w:space="0" w:color="auto"/>
            </w:tcBorders>
            <w:shd w:val="clear" w:color="auto" w:fill="auto"/>
            <w:vAlign w:val="center"/>
            <w:hideMark/>
          </w:tcPr>
          <w:p w14:paraId="015A3E1A"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11,95</w:t>
            </w:r>
          </w:p>
        </w:tc>
        <w:tc>
          <w:tcPr>
            <w:tcW w:w="930" w:type="dxa"/>
            <w:tcBorders>
              <w:top w:val="nil"/>
              <w:left w:val="nil"/>
              <w:bottom w:val="single" w:sz="8" w:space="0" w:color="auto"/>
              <w:right w:val="single" w:sz="8" w:space="0" w:color="auto"/>
            </w:tcBorders>
            <w:shd w:val="clear" w:color="auto" w:fill="auto"/>
            <w:vAlign w:val="center"/>
            <w:hideMark/>
          </w:tcPr>
          <w:p w14:paraId="7E0D2EF4"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8,4</w:t>
            </w:r>
          </w:p>
        </w:tc>
        <w:tc>
          <w:tcPr>
            <w:tcW w:w="771" w:type="dxa"/>
            <w:tcBorders>
              <w:top w:val="nil"/>
              <w:left w:val="nil"/>
              <w:bottom w:val="single" w:sz="8" w:space="0" w:color="auto"/>
              <w:right w:val="single" w:sz="8" w:space="0" w:color="auto"/>
            </w:tcBorders>
            <w:shd w:val="clear" w:color="auto" w:fill="auto"/>
            <w:vAlign w:val="center"/>
            <w:hideMark/>
          </w:tcPr>
          <w:p w14:paraId="5ACF39BB"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0,17</w:t>
            </w:r>
          </w:p>
        </w:tc>
        <w:tc>
          <w:tcPr>
            <w:tcW w:w="930" w:type="dxa"/>
            <w:tcBorders>
              <w:top w:val="nil"/>
              <w:left w:val="nil"/>
              <w:bottom w:val="single" w:sz="8" w:space="0" w:color="auto"/>
              <w:right w:val="single" w:sz="8" w:space="0" w:color="auto"/>
            </w:tcBorders>
            <w:shd w:val="clear" w:color="auto" w:fill="auto"/>
            <w:vAlign w:val="center"/>
            <w:hideMark/>
          </w:tcPr>
          <w:p w14:paraId="5AE6A04F"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14,7</w:t>
            </w:r>
          </w:p>
        </w:tc>
        <w:tc>
          <w:tcPr>
            <w:tcW w:w="912" w:type="dxa"/>
            <w:tcBorders>
              <w:top w:val="nil"/>
              <w:left w:val="nil"/>
              <w:bottom w:val="single" w:sz="8" w:space="0" w:color="auto"/>
              <w:right w:val="single" w:sz="8" w:space="0" w:color="auto"/>
            </w:tcBorders>
            <w:shd w:val="clear" w:color="auto" w:fill="auto"/>
            <w:vAlign w:val="center"/>
            <w:hideMark/>
          </w:tcPr>
          <w:p w14:paraId="5CA0EDAF"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0,30</w:t>
            </w:r>
          </w:p>
        </w:tc>
        <w:tc>
          <w:tcPr>
            <w:tcW w:w="146" w:type="dxa"/>
            <w:vAlign w:val="center"/>
            <w:hideMark/>
          </w:tcPr>
          <w:p w14:paraId="24CB3D80" w14:textId="77777777" w:rsidR="00A16DDB" w:rsidRPr="00D95127" w:rsidRDefault="00A16DDB" w:rsidP="007A627A">
            <w:pPr>
              <w:rPr>
                <w:rFonts w:eastAsia="Times New Roman" w:cs="Times New Roman"/>
                <w:sz w:val="20"/>
                <w:szCs w:val="20"/>
                <w:lang w:val="cs-CZ" w:eastAsia="cs-CZ"/>
              </w:rPr>
            </w:pPr>
          </w:p>
        </w:tc>
      </w:tr>
      <w:tr w:rsidR="00A16DDB" w:rsidRPr="00D95127" w14:paraId="4A2F5001" w14:textId="77777777" w:rsidTr="007A627A">
        <w:trPr>
          <w:trHeight w:val="315"/>
        </w:trPr>
        <w:tc>
          <w:tcPr>
            <w:tcW w:w="943" w:type="dxa"/>
            <w:tcBorders>
              <w:top w:val="nil"/>
              <w:left w:val="single" w:sz="8" w:space="0" w:color="auto"/>
              <w:bottom w:val="single" w:sz="8" w:space="0" w:color="auto"/>
              <w:right w:val="single" w:sz="8" w:space="0" w:color="auto"/>
            </w:tcBorders>
            <w:shd w:val="clear" w:color="auto" w:fill="auto"/>
            <w:vAlign w:val="center"/>
            <w:hideMark/>
          </w:tcPr>
          <w:p w14:paraId="24F0FD2C"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2018</w:t>
            </w:r>
          </w:p>
        </w:tc>
        <w:tc>
          <w:tcPr>
            <w:tcW w:w="1063" w:type="dxa"/>
            <w:tcBorders>
              <w:top w:val="nil"/>
              <w:left w:val="nil"/>
              <w:bottom w:val="single" w:sz="8" w:space="0" w:color="auto"/>
              <w:right w:val="single" w:sz="8" w:space="0" w:color="auto"/>
            </w:tcBorders>
            <w:shd w:val="clear" w:color="auto" w:fill="auto"/>
            <w:vAlign w:val="center"/>
            <w:hideMark/>
          </w:tcPr>
          <w:p w14:paraId="4C2D57E7"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5346,3</w:t>
            </w:r>
          </w:p>
        </w:tc>
        <w:tc>
          <w:tcPr>
            <w:tcW w:w="943" w:type="dxa"/>
            <w:tcBorders>
              <w:top w:val="nil"/>
              <w:left w:val="nil"/>
              <w:bottom w:val="single" w:sz="8" w:space="0" w:color="auto"/>
              <w:right w:val="single" w:sz="8" w:space="0" w:color="auto"/>
            </w:tcBorders>
            <w:shd w:val="clear" w:color="auto" w:fill="auto"/>
            <w:vAlign w:val="center"/>
            <w:hideMark/>
          </w:tcPr>
          <w:p w14:paraId="0292075F"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4519,6</w:t>
            </w:r>
          </w:p>
        </w:tc>
        <w:tc>
          <w:tcPr>
            <w:tcW w:w="869" w:type="dxa"/>
            <w:tcBorders>
              <w:top w:val="nil"/>
              <w:left w:val="nil"/>
              <w:bottom w:val="single" w:sz="8" w:space="0" w:color="auto"/>
              <w:right w:val="single" w:sz="8" w:space="0" w:color="auto"/>
            </w:tcBorders>
            <w:shd w:val="clear" w:color="auto" w:fill="auto"/>
            <w:noWrap/>
            <w:vAlign w:val="bottom"/>
            <w:hideMark/>
          </w:tcPr>
          <w:p w14:paraId="373181CF"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84,54</w:t>
            </w:r>
          </w:p>
        </w:tc>
        <w:tc>
          <w:tcPr>
            <w:tcW w:w="943" w:type="dxa"/>
            <w:tcBorders>
              <w:top w:val="nil"/>
              <w:left w:val="nil"/>
              <w:bottom w:val="single" w:sz="8" w:space="0" w:color="auto"/>
              <w:right w:val="single" w:sz="8" w:space="0" w:color="auto"/>
            </w:tcBorders>
            <w:shd w:val="clear" w:color="auto" w:fill="auto"/>
            <w:vAlign w:val="center"/>
            <w:hideMark/>
          </w:tcPr>
          <w:p w14:paraId="014DA1D2"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791,1</w:t>
            </w:r>
          </w:p>
        </w:tc>
        <w:tc>
          <w:tcPr>
            <w:tcW w:w="758" w:type="dxa"/>
            <w:tcBorders>
              <w:top w:val="nil"/>
              <w:left w:val="nil"/>
              <w:bottom w:val="single" w:sz="8" w:space="0" w:color="auto"/>
              <w:right w:val="single" w:sz="8" w:space="0" w:color="auto"/>
            </w:tcBorders>
            <w:shd w:val="clear" w:color="auto" w:fill="auto"/>
            <w:noWrap/>
            <w:vAlign w:val="bottom"/>
            <w:hideMark/>
          </w:tcPr>
          <w:p w14:paraId="1A45A193"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14,80</w:t>
            </w:r>
          </w:p>
        </w:tc>
        <w:tc>
          <w:tcPr>
            <w:tcW w:w="930" w:type="dxa"/>
            <w:tcBorders>
              <w:top w:val="nil"/>
              <w:left w:val="nil"/>
              <w:bottom w:val="single" w:sz="8" w:space="0" w:color="auto"/>
              <w:right w:val="single" w:sz="8" w:space="0" w:color="auto"/>
            </w:tcBorders>
            <w:shd w:val="clear" w:color="auto" w:fill="auto"/>
            <w:vAlign w:val="center"/>
            <w:hideMark/>
          </w:tcPr>
          <w:p w14:paraId="7C54454A"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22,9</w:t>
            </w:r>
          </w:p>
        </w:tc>
        <w:tc>
          <w:tcPr>
            <w:tcW w:w="771" w:type="dxa"/>
            <w:tcBorders>
              <w:top w:val="nil"/>
              <w:left w:val="nil"/>
              <w:bottom w:val="single" w:sz="8" w:space="0" w:color="auto"/>
              <w:right w:val="single" w:sz="8" w:space="0" w:color="auto"/>
            </w:tcBorders>
            <w:shd w:val="clear" w:color="auto" w:fill="auto"/>
            <w:noWrap/>
            <w:vAlign w:val="bottom"/>
            <w:hideMark/>
          </w:tcPr>
          <w:p w14:paraId="47F318C3"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0,43</w:t>
            </w:r>
          </w:p>
        </w:tc>
        <w:tc>
          <w:tcPr>
            <w:tcW w:w="930" w:type="dxa"/>
            <w:tcBorders>
              <w:top w:val="nil"/>
              <w:left w:val="nil"/>
              <w:bottom w:val="single" w:sz="8" w:space="0" w:color="auto"/>
              <w:right w:val="single" w:sz="8" w:space="0" w:color="auto"/>
            </w:tcBorders>
            <w:shd w:val="clear" w:color="auto" w:fill="auto"/>
            <w:vAlign w:val="center"/>
            <w:hideMark/>
          </w:tcPr>
          <w:p w14:paraId="5409D039"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12,7</w:t>
            </w:r>
          </w:p>
        </w:tc>
        <w:tc>
          <w:tcPr>
            <w:tcW w:w="912" w:type="dxa"/>
            <w:tcBorders>
              <w:top w:val="nil"/>
              <w:left w:val="nil"/>
              <w:bottom w:val="single" w:sz="8" w:space="0" w:color="auto"/>
              <w:right w:val="single" w:sz="8" w:space="0" w:color="auto"/>
            </w:tcBorders>
            <w:shd w:val="clear" w:color="auto" w:fill="auto"/>
            <w:noWrap/>
            <w:vAlign w:val="bottom"/>
            <w:hideMark/>
          </w:tcPr>
          <w:p w14:paraId="1785FD51"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0,24</w:t>
            </w:r>
          </w:p>
        </w:tc>
        <w:tc>
          <w:tcPr>
            <w:tcW w:w="146" w:type="dxa"/>
            <w:vAlign w:val="center"/>
            <w:hideMark/>
          </w:tcPr>
          <w:p w14:paraId="0A53C167" w14:textId="77777777" w:rsidR="00A16DDB" w:rsidRPr="00D95127" w:rsidRDefault="00A16DDB" w:rsidP="007A627A">
            <w:pPr>
              <w:rPr>
                <w:rFonts w:eastAsia="Times New Roman" w:cs="Times New Roman"/>
                <w:sz w:val="20"/>
                <w:szCs w:val="20"/>
                <w:lang w:val="cs-CZ" w:eastAsia="cs-CZ"/>
              </w:rPr>
            </w:pPr>
          </w:p>
        </w:tc>
      </w:tr>
      <w:tr w:rsidR="00A16DDB" w:rsidRPr="00D95127" w14:paraId="7C0E3AD9" w14:textId="77777777" w:rsidTr="007A627A">
        <w:trPr>
          <w:trHeight w:val="315"/>
        </w:trPr>
        <w:tc>
          <w:tcPr>
            <w:tcW w:w="943" w:type="dxa"/>
            <w:tcBorders>
              <w:top w:val="nil"/>
              <w:left w:val="single" w:sz="8" w:space="0" w:color="auto"/>
              <w:bottom w:val="single" w:sz="8" w:space="0" w:color="auto"/>
              <w:right w:val="single" w:sz="8" w:space="0" w:color="auto"/>
            </w:tcBorders>
            <w:shd w:val="clear" w:color="auto" w:fill="auto"/>
            <w:vAlign w:val="center"/>
            <w:hideMark/>
          </w:tcPr>
          <w:p w14:paraId="141D0A10"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2019</w:t>
            </w:r>
          </w:p>
        </w:tc>
        <w:tc>
          <w:tcPr>
            <w:tcW w:w="1063" w:type="dxa"/>
            <w:tcBorders>
              <w:top w:val="nil"/>
              <w:left w:val="nil"/>
              <w:bottom w:val="single" w:sz="8" w:space="0" w:color="auto"/>
              <w:right w:val="single" w:sz="8" w:space="0" w:color="auto"/>
            </w:tcBorders>
            <w:shd w:val="clear" w:color="auto" w:fill="auto"/>
            <w:vAlign w:val="center"/>
            <w:hideMark/>
          </w:tcPr>
          <w:p w14:paraId="3917B72B"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5105,4</w:t>
            </w:r>
          </w:p>
        </w:tc>
        <w:tc>
          <w:tcPr>
            <w:tcW w:w="943" w:type="dxa"/>
            <w:tcBorders>
              <w:top w:val="nil"/>
              <w:left w:val="nil"/>
              <w:bottom w:val="single" w:sz="8" w:space="0" w:color="auto"/>
              <w:right w:val="single" w:sz="8" w:space="0" w:color="auto"/>
            </w:tcBorders>
            <w:shd w:val="clear" w:color="auto" w:fill="auto"/>
            <w:vAlign w:val="center"/>
            <w:hideMark/>
          </w:tcPr>
          <w:p w14:paraId="5DDABEAB"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3911,9</w:t>
            </w:r>
          </w:p>
        </w:tc>
        <w:tc>
          <w:tcPr>
            <w:tcW w:w="869" w:type="dxa"/>
            <w:tcBorders>
              <w:top w:val="nil"/>
              <w:left w:val="nil"/>
              <w:bottom w:val="single" w:sz="8" w:space="0" w:color="auto"/>
              <w:right w:val="single" w:sz="8" w:space="0" w:color="auto"/>
            </w:tcBorders>
            <w:shd w:val="clear" w:color="auto" w:fill="auto"/>
            <w:noWrap/>
            <w:vAlign w:val="bottom"/>
            <w:hideMark/>
          </w:tcPr>
          <w:p w14:paraId="2BD17BFE"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76,62</w:t>
            </w:r>
          </w:p>
        </w:tc>
        <w:tc>
          <w:tcPr>
            <w:tcW w:w="943" w:type="dxa"/>
            <w:tcBorders>
              <w:top w:val="nil"/>
              <w:left w:val="nil"/>
              <w:bottom w:val="single" w:sz="8" w:space="0" w:color="auto"/>
              <w:right w:val="single" w:sz="8" w:space="0" w:color="auto"/>
            </w:tcBorders>
            <w:shd w:val="clear" w:color="auto" w:fill="auto"/>
            <w:vAlign w:val="center"/>
            <w:hideMark/>
          </w:tcPr>
          <w:p w14:paraId="1E8E78E5"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1136,9</w:t>
            </w:r>
          </w:p>
        </w:tc>
        <w:tc>
          <w:tcPr>
            <w:tcW w:w="758" w:type="dxa"/>
            <w:tcBorders>
              <w:top w:val="nil"/>
              <w:left w:val="nil"/>
              <w:bottom w:val="single" w:sz="8" w:space="0" w:color="auto"/>
              <w:right w:val="single" w:sz="8" w:space="0" w:color="auto"/>
            </w:tcBorders>
            <w:shd w:val="clear" w:color="auto" w:fill="auto"/>
            <w:noWrap/>
            <w:vAlign w:val="bottom"/>
            <w:hideMark/>
          </w:tcPr>
          <w:p w14:paraId="5AC0B6D1"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22,27</w:t>
            </w:r>
          </w:p>
        </w:tc>
        <w:tc>
          <w:tcPr>
            <w:tcW w:w="930" w:type="dxa"/>
            <w:tcBorders>
              <w:top w:val="nil"/>
              <w:left w:val="nil"/>
              <w:bottom w:val="single" w:sz="8" w:space="0" w:color="auto"/>
              <w:right w:val="single" w:sz="8" w:space="0" w:color="auto"/>
            </w:tcBorders>
            <w:shd w:val="clear" w:color="auto" w:fill="auto"/>
            <w:vAlign w:val="center"/>
            <w:hideMark/>
          </w:tcPr>
          <w:p w14:paraId="2E3250A9"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40,6</w:t>
            </w:r>
          </w:p>
        </w:tc>
        <w:tc>
          <w:tcPr>
            <w:tcW w:w="771" w:type="dxa"/>
            <w:tcBorders>
              <w:top w:val="nil"/>
              <w:left w:val="nil"/>
              <w:bottom w:val="single" w:sz="8" w:space="0" w:color="auto"/>
              <w:right w:val="single" w:sz="8" w:space="0" w:color="auto"/>
            </w:tcBorders>
            <w:shd w:val="clear" w:color="auto" w:fill="auto"/>
            <w:noWrap/>
            <w:vAlign w:val="bottom"/>
            <w:hideMark/>
          </w:tcPr>
          <w:p w14:paraId="5B4D29FA"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0,80</w:t>
            </w:r>
          </w:p>
        </w:tc>
        <w:tc>
          <w:tcPr>
            <w:tcW w:w="930" w:type="dxa"/>
            <w:tcBorders>
              <w:top w:val="nil"/>
              <w:left w:val="nil"/>
              <w:bottom w:val="single" w:sz="8" w:space="0" w:color="auto"/>
              <w:right w:val="single" w:sz="8" w:space="0" w:color="auto"/>
            </w:tcBorders>
            <w:shd w:val="clear" w:color="auto" w:fill="auto"/>
            <w:vAlign w:val="center"/>
            <w:hideMark/>
          </w:tcPr>
          <w:p w14:paraId="3A5039B5"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16,0</w:t>
            </w:r>
          </w:p>
        </w:tc>
        <w:tc>
          <w:tcPr>
            <w:tcW w:w="912" w:type="dxa"/>
            <w:tcBorders>
              <w:top w:val="nil"/>
              <w:left w:val="nil"/>
              <w:bottom w:val="single" w:sz="8" w:space="0" w:color="auto"/>
              <w:right w:val="single" w:sz="8" w:space="0" w:color="auto"/>
            </w:tcBorders>
            <w:shd w:val="clear" w:color="auto" w:fill="auto"/>
            <w:noWrap/>
            <w:vAlign w:val="bottom"/>
            <w:hideMark/>
          </w:tcPr>
          <w:p w14:paraId="32C29F15"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0,31</w:t>
            </w:r>
          </w:p>
        </w:tc>
        <w:tc>
          <w:tcPr>
            <w:tcW w:w="146" w:type="dxa"/>
            <w:vAlign w:val="center"/>
            <w:hideMark/>
          </w:tcPr>
          <w:p w14:paraId="6F5DC9A9" w14:textId="77777777" w:rsidR="00A16DDB" w:rsidRPr="00D95127" w:rsidRDefault="00A16DDB" w:rsidP="007A627A">
            <w:pPr>
              <w:rPr>
                <w:rFonts w:eastAsia="Times New Roman" w:cs="Times New Roman"/>
                <w:sz w:val="20"/>
                <w:szCs w:val="20"/>
                <w:lang w:val="cs-CZ" w:eastAsia="cs-CZ"/>
              </w:rPr>
            </w:pPr>
          </w:p>
        </w:tc>
      </w:tr>
      <w:tr w:rsidR="00A16DDB" w:rsidRPr="00D95127" w14:paraId="2C20E393" w14:textId="77777777" w:rsidTr="007A627A">
        <w:trPr>
          <w:trHeight w:val="315"/>
        </w:trPr>
        <w:tc>
          <w:tcPr>
            <w:tcW w:w="943" w:type="dxa"/>
            <w:tcBorders>
              <w:top w:val="nil"/>
              <w:left w:val="single" w:sz="8" w:space="0" w:color="auto"/>
              <w:bottom w:val="single" w:sz="8" w:space="0" w:color="auto"/>
              <w:right w:val="single" w:sz="8" w:space="0" w:color="auto"/>
            </w:tcBorders>
            <w:shd w:val="clear" w:color="auto" w:fill="auto"/>
            <w:vAlign w:val="center"/>
            <w:hideMark/>
          </w:tcPr>
          <w:p w14:paraId="48F48ABF"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2020</w:t>
            </w:r>
          </w:p>
        </w:tc>
        <w:tc>
          <w:tcPr>
            <w:tcW w:w="1063" w:type="dxa"/>
            <w:tcBorders>
              <w:top w:val="nil"/>
              <w:left w:val="nil"/>
              <w:bottom w:val="single" w:sz="8" w:space="0" w:color="auto"/>
              <w:right w:val="single" w:sz="8" w:space="0" w:color="auto"/>
            </w:tcBorders>
            <w:shd w:val="clear" w:color="auto" w:fill="auto"/>
            <w:vAlign w:val="center"/>
            <w:hideMark/>
          </w:tcPr>
          <w:p w14:paraId="687B9B39"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5676,2</w:t>
            </w:r>
          </w:p>
        </w:tc>
        <w:tc>
          <w:tcPr>
            <w:tcW w:w="943" w:type="dxa"/>
            <w:tcBorders>
              <w:top w:val="nil"/>
              <w:left w:val="nil"/>
              <w:bottom w:val="single" w:sz="8" w:space="0" w:color="auto"/>
              <w:right w:val="single" w:sz="8" w:space="0" w:color="auto"/>
            </w:tcBorders>
            <w:shd w:val="clear" w:color="auto" w:fill="auto"/>
            <w:vAlign w:val="center"/>
            <w:hideMark/>
          </w:tcPr>
          <w:p w14:paraId="68FED1BD"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3679,5</w:t>
            </w:r>
          </w:p>
        </w:tc>
        <w:tc>
          <w:tcPr>
            <w:tcW w:w="869" w:type="dxa"/>
            <w:tcBorders>
              <w:top w:val="nil"/>
              <w:left w:val="nil"/>
              <w:bottom w:val="single" w:sz="8" w:space="0" w:color="auto"/>
              <w:right w:val="single" w:sz="8" w:space="0" w:color="auto"/>
            </w:tcBorders>
            <w:shd w:val="clear" w:color="auto" w:fill="auto"/>
            <w:noWrap/>
            <w:vAlign w:val="bottom"/>
            <w:hideMark/>
          </w:tcPr>
          <w:p w14:paraId="12C13F6A"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64,82</w:t>
            </w:r>
          </w:p>
        </w:tc>
        <w:tc>
          <w:tcPr>
            <w:tcW w:w="943" w:type="dxa"/>
            <w:tcBorders>
              <w:top w:val="nil"/>
              <w:left w:val="nil"/>
              <w:bottom w:val="single" w:sz="8" w:space="0" w:color="auto"/>
              <w:right w:val="single" w:sz="8" w:space="0" w:color="auto"/>
            </w:tcBorders>
            <w:shd w:val="clear" w:color="auto" w:fill="auto"/>
            <w:vAlign w:val="center"/>
            <w:hideMark/>
          </w:tcPr>
          <w:p w14:paraId="1AAA93BC"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1911,9</w:t>
            </w:r>
          </w:p>
        </w:tc>
        <w:tc>
          <w:tcPr>
            <w:tcW w:w="758" w:type="dxa"/>
            <w:tcBorders>
              <w:top w:val="nil"/>
              <w:left w:val="nil"/>
              <w:bottom w:val="single" w:sz="8" w:space="0" w:color="auto"/>
              <w:right w:val="single" w:sz="8" w:space="0" w:color="auto"/>
            </w:tcBorders>
            <w:shd w:val="clear" w:color="auto" w:fill="auto"/>
            <w:noWrap/>
            <w:vAlign w:val="bottom"/>
            <w:hideMark/>
          </w:tcPr>
          <w:p w14:paraId="1CF25F0D"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33,68</w:t>
            </w:r>
          </w:p>
        </w:tc>
        <w:tc>
          <w:tcPr>
            <w:tcW w:w="930" w:type="dxa"/>
            <w:tcBorders>
              <w:top w:val="nil"/>
              <w:left w:val="nil"/>
              <w:bottom w:val="single" w:sz="8" w:space="0" w:color="auto"/>
              <w:right w:val="single" w:sz="8" w:space="0" w:color="auto"/>
            </w:tcBorders>
            <w:shd w:val="clear" w:color="auto" w:fill="auto"/>
            <w:vAlign w:val="center"/>
            <w:hideMark/>
          </w:tcPr>
          <w:p w14:paraId="193541B4"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56,7</w:t>
            </w:r>
          </w:p>
        </w:tc>
        <w:tc>
          <w:tcPr>
            <w:tcW w:w="771" w:type="dxa"/>
            <w:tcBorders>
              <w:top w:val="nil"/>
              <w:left w:val="nil"/>
              <w:bottom w:val="single" w:sz="8" w:space="0" w:color="auto"/>
              <w:right w:val="single" w:sz="8" w:space="0" w:color="auto"/>
            </w:tcBorders>
            <w:shd w:val="clear" w:color="auto" w:fill="auto"/>
            <w:noWrap/>
            <w:vAlign w:val="bottom"/>
            <w:hideMark/>
          </w:tcPr>
          <w:p w14:paraId="2B2650E9"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1,00</w:t>
            </w:r>
          </w:p>
        </w:tc>
        <w:tc>
          <w:tcPr>
            <w:tcW w:w="930" w:type="dxa"/>
            <w:tcBorders>
              <w:top w:val="nil"/>
              <w:left w:val="nil"/>
              <w:bottom w:val="single" w:sz="8" w:space="0" w:color="auto"/>
              <w:right w:val="single" w:sz="8" w:space="0" w:color="auto"/>
            </w:tcBorders>
            <w:shd w:val="clear" w:color="auto" w:fill="auto"/>
            <w:vAlign w:val="center"/>
            <w:hideMark/>
          </w:tcPr>
          <w:p w14:paraId="77FACF29"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28,1</w:t>
            </w:r>
          </w:p>
        </w:tc>
        <w:tc>
          <w:tcPr>
            <w:tcW w:w="912" w:type="dxa"/>
            <w:tcBorders>
              <w:top w:val="nil"/>
              <w:left w:val="nil"/>
              <w:bottom w:val="single" w:sz="8" w:space="0" w:color="auto"/>
              <w:right w:val="single" w:sz="8" w:space="0" w:color="auto"/>
            </w:tcBorders>
            <w:shd w:val="clear" w:color="auto" w:fill="auto"/>
            <w:noWrap/>
            <w:vAlign w:val="bottom"/>
            <w:hideMark/>
          </w:tcPr>
          <w:p w14:paraId="6BEA53E6" w14:textId="77777777" w:rsidR="00A16DDB" w:rsidRPr="00D95127" w:rsidRDefault="00A16DDB" w:rsidP="007A627A">
            <w:pPr>
              <w:jc w:val="right"/>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0,50</w:t>
            </w:r>
          </w:p>
        </w:tc>
        <w:tc>
          <w:tcPr>
            <w:tcW w:w="146" w:type="dxa"/>
            <w:vAlign w:val="center"/>
            <w:hideMark/>
          </w:tcPr>
          <w:p w14:paraId="17A19013" w14:textId="77777777" w:rsidR="00A16DDB" w:rsidRPr="00D95127" w:rsidRDefault="00A16DDB" w:rsidP="007A627A">
            <w:pPr>
              <w:rPr>
                <w:rFonts w:eastAsia="Times New Roman" w:cs="Times New Roman"/>
                <w:sz w:val="20"/>
                <w:szCs w:val="20"/>
                <w:lang w:val="cs-CZ" w:eastAsia="cs-CZ"/>
              </w:rPr>
            </w:pPr>
          </w:p>
        </w:tc>
      </w:tr>
    </w:tbl>
    <w:p w14:paraId="04C73A80" w14:textId="77777777" w:rsidR="00A16DDB" w:rsidRPr="00D95127" w:rsidRDefault="00A16DDB" w:rsidP="00A44EFA">
      <w:pPr>
        <w:pStyle w:val="UZEIZdroj"/>
      </w:pPr>
      <w:r w:rsidRPr="00D95127">
        <w:t>Pramen: MZe, ÚED</w:t>
      </w:r>
    </w:p>
    <w:p w14:paraId="6A1BE789" w14:textId="77777777" w:rsidR="00A16DDB" w:rsidRPr="00D95127" w:rsidRDefault="00A16DDB" w:rsidP="00A44EFA">
      <w:pPr>
        <w:pStyle w:val="UZEIZdroj"/>
      </w:pPr>
      <w:r w:rsidRPr="00D95127">
        <w:t>Poznámka: stavy nosnic podle systému chovu se v ČR sledují až od roku 2012. za rok 2020 je stav k 31. 12. 2020</w:t>
      </w:r>
    </w:p>
    <w:p w14:paraId="4B8E64F6" w14:textId="77777777" w:rsidR="00A16DDB" w:rsidRPr="00D95127" w:rsidRDefault="00A16DDB" w:rsidP="00A44EFA">
      <w:pPr>
        <w:pStyle w:val="UZEINormaln"/>
      </w:pPr>
      <w:r w:rsidRPr="00D95127">
        <w:t>Během sledovaného období (2012-2020) podíl počtu nosnic v obohacených klecích na celkovém počtu nosnic byl v rozmezí 65-90 %. Meziroční změny podílů jsou způsobeny změnou stavu nosnic.</w:t>
      </w:r>
    </w:p>
    <w:p w14:paraId="7A763472" w14:textId="77777777" w:rsidR="00A44EFA" w:rsidRDefault="00A44EFA">
      <w:pPr>
        <w:spacing w:after="160" w:line="259" w:lineRule="auto"/>
        <w:jc w:val="left"/>
        <w:rPr>
          <w:rFonts w:eastAsiaTheme="majorEastAsia" w:cs="Times New Roman"/>
          <w:b/>
          <w:bCs/>
          <w:sz w:val="28"/>
          <w:szCs w:val="32"/>
          <w:lang w:val="cs-CZ"/>
        </w:rPr>
      </w:pPr>
      <w:bookmarkStart w:id="1107" w:name="_Toc15304114"/>
      <w:bookmarkStart w:id="1108" w:name="_Toc23509937"/>
      <w:bookmarkStart w:id="1109" w:name="_Toc76137466"/>
      <w:bookmarkStart w:id="1110" w:name="_Toc76637665"/>
      <w:bookmarkStart w:id="1111" w:name="_Toc80953354"/>
      <w:r>
        <w:br w:type="page"/>
      </w:r>
    </w:p>
    <w:p w14:paraId="30C40450" w14:textId="41EE9FD3" w:rsidR="00A16DDB" w:rsidRPr="00D95127" w:rsidRDefault="00A16DDB" w:rsidP="00A44EFA">
      <w:pPr>
        <w:pStyle w:val="Nadpis1"/>
      </w:pPr>
      <w:bookmarkStart w:id="1112" w:name="_Toc81739306"/>
      <w:r w:rsidRPr="00D95127">
        <w:t>Jak závažný je tento problém?</w:t>
      </w:r>
      <w:bookmarkEnd w:id="1107"/>
      <w:bookmarkEnd w:id="1108"/>
      <w:bookmarkEnd w:id="1109"/>
      <w:bookmarkEnd w:id="1110"/>
      <w:bookmarkEnd w:id="1111"/>
      <w:bookmarkEnd w:id="1112"/>
    </w:p>
    <w:p w14:paraId="6AE64DD2" w14:textId="77777777" w:rsidR="00A16DDB" w:rsidRPr="00D95127" w:rsidRDefault="00A16DDB" w:rsidP="00A44EFA">
      <w:pPr>
        <w:pStyle w:val="UZEINormaln"/>
      </w:pPr>
      <w:r w:rsidRPr="00D95127">
        <w:t xml:space="preserve">Produkce jatečné drůbeže v ČR byla v roce 2020 o 21 % vyšší </w:t>
      </w:r>
      <w:r w:rsidRPr="00D95127" w:rsidDel="00326126">
        <w:t>než</w:t>
      </w:r>
      <w:r w:rsidRPr="00D95127">
        <w:t xml:space="preserve"> v roce 2011, dovoz drůbežího masa a živé drůbeže (dohromady) se zvýšil o 26 % a soběstačnost jatečné drůbeže poklesla ze 78 % na 71 %. Pokles produkce byl otázkou spíše jen období 2010</w:t>
      </w:r>
      <w:r w:rsidRPr="00D95127">
        <w:noBreakHyphen/>
        <w:t xml:space="preserve">13, ale nárůst dovozu pokračoval až do roku 2016. Rok 2017 jeví známky obratu trendu, nebo alespoň zastavení poklesu soběstačnosti, ale v roce 2018 soběstačnost opět poklesla (viz následující graf). Na trhu EU je však velká konkurence a spotřeba drůbežího masa se v dlouhodobém horizontu zvyšuje – mezi roky 2009-2017 o více jak 2 kg/osoba na úroveň 26 kg/osoba. </w:t>
      </w:r>
    </w:p>
    <w:p w14:paraId="20446C8C" w14:textId="77777777" w:rsidR="00A16DDB" w:rsidRPr="00D95127" w:rsidRDefault="00A16DDB" w:rsidP="00A44EFA">
      <w:pPr>
        <w:pStyle w:val="UZEINormaln"/>
      </w:pPr>
      <w:r w:rsidRPr="00D95127">
        <w:t xml:space="preserve">Závažnost problému se odvíjí také od nastavení priorit, např. upřednostnění domácí produkce před evropskou, které je problematické, zvláště když evropská je konkurenceschopnější (produktivita práce v zemědělství v ČR v roce 2016 byla na 86,8 % EU; produktivita práce v potravinářství v odvětví 10.1 Zpracování a konzervování masa dosahovala v ČR 41% úrovně průměru EU). </w:t>
      </w:r>
    </w:p>
    <w:p w14:paraId="7C05090D" w14:textId="334A1DAC" w:rsidR="00A16DDB" w:rsidRPr="00D95127" w:rsidRDefault="00A16DDB" w:rsidP="00A44EFA">
      <w:pPr>
        <w:pStyle w:val="UZEIGraf"/>
      </w:pPr>
      <w:bookmarkStart w:id="1113" w:name="_Toc81738835"/>
      <w:r w:rsidRPr="00D95127">
        <w:t>Produkce, obchod a soběstačnost jatečné drůbeže</w:t>
      </w:r>
      <w:bookmarkEnd w:id="1113"/>
    </w:p>
    <w:p w14:paraId="683941E3" w14:textId="77777777" w:rsidR="00A16DDB" w:rsidRPr="00D95127" w:rsidRDefault="00A16DDB" w:rsidP="00A16DDB">
      <w:pPr>
        <w:rPr>
          <w:rFonts w:cs="Times New Roman"/>
          <w:szCs w:val="24"/>
          <w:lang w:val="cs-CZ"/>
        </w:rPr>
      </w:pPr>
      <w:r w:rsidRPr="00D95127">
        <w:rPr>
          <w:rFonts w:cs="Times New Roman"/>
          <w:noProof/>
          <w:szCs w:val="24"/>
          <w:lang w:val="cs-CZ" w:eastAsia="cs-CZ"/>
        </w:rPr>
        <w:t xml:space="preserve"> </w:t>
      </w:r>
      <w:r w:rsidRPr="00D95127">
        <w:rPr>
          <w:rFonts w:cs="Times New Roman"/>
          <w:noProof/>
          <w:szCs w:val="24"/>
          <w:lang w:val="cs-CZ"/>
        </w:rPr>
        <w:t xml:space="preserve"> </w:t>
      </w:r>
      <w:r w:rsidRPr="00D95127">
        <w:rPr>
          <w:rFonts w:cs="Times New Roman"/>
          <w:noProof/>
          <w:lang w:val="cs-CZ"/>
        </w:rPr>
        <w:drawing>
          <wp:inline distT="0" distB="0" distL="0" distR="0" wp14:anchorId="7C4D41D5" wp14:editId="3AE39180">
            <wp:extent cx="5759450" cy="3022600"/>
            <wp:effectExtent l="0" t="0" r="0" b="635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759450" cy="3022600"/>
                    </a:xfrm>
                    <a:prstGeom prst="rect">
                      <a:avLst/>
                    </a:prstGeom>
                    <a:noFill/>
                    <a:ln>
                      <a:noFill/>
                    </a:ln>
                  </pic:spPr>
                </pic:pic>
              </a:graphicData>
            </a:graphic>
          </wp:inline>
        </w:drawing>
      </w:r>
    </w:p>
    <w:p w14:paraId="77A19F91" w14:textId="77777777" w:rsidR="00A16DDB" w:rsidRPr="00D95127" w:rsidRDefault="00A16DDB" w:rsidP="00A44EFA">
      <w:pPr>
        <w:pStyle w:val="UZEIZdroj"/>
        <w:rPr>
          <w:rStyle w:val="Zdraznnjemn"/>
        </w:rPr>
      </w:pPr>
      <w:r w:rsidRPr="00D95127">
        <w:rPr>
          <w:rStyle w:val="Zdraznnjemn"/>
        </w:rPr>
        <w:t>Pozn.: Přepočet výroby jatečné drůbeže na j. hm. koeficientem 0,75</w:t>
      </w:r>
    </w:p>
    <w:p w14:paraId="0E73726B" w14:textId="77777777" w:rsidR="00A16DDB" w:rsidRPr="00D95127" w:rsidRDefault="00A16DDB" w:rsidP="00A44EFA">
      <w:pPr>
        <w:pStyle w:val="UZEIZdroj"/>
      </w:pPr>
      <w:r w:rsidRPr="00D95127">
        <w:rPr>
          <w:rStyle w:val="Zdraznnjemn"/>
        </w:rPr>
        <w:t>Pramen: ČSÚ, Zpráva o stavu zemědělství, Celní statistika MZe</w:t>
      </w:r>
    </w:p>
    <w:p w14:paraId="7DF92658" w14:textId="77777777" w:rsidR="00A16DDB" w:rsidRPr="00D95127" w:rsidRDefault="00A16DDB" w:rsidP="00A44EFA">
      <w:pPr>
        <w:pStyle w:val="UZEINormaln"/>
      </w:pPr>
      <w:r w:rsidRPr="00D95127">
        <w:t xml:space="preserve">Saldo obchodu s drůbežím masem a živou drůbeží dohromady v roce 2020 dosahovalo </w:t>
      </w:r>
      <w:r w:rsidRPr="00D95127">
        <w:noBreakHyphen/>
        <w:t xml:space="preserve">3,7 mld. Kč. </w:t>
      </w:r>
    </w:p>
    <w:p w14:paraId="5A40F601" w14:textId="2B43C27F" w:rsidR="00A16DDB" w:rsidRDefault="00A16DDB" w:rsidP="00A44EFA">
      <w:pPr>
        <w:pStyle w:val="UZEINormaln"/>
      </w:pPr>
      <w:r w:rsidRPr="00D95127">
        <w:t xml:space="preserve">V případě vajec se v posledních letech jejich produkce a soběstačnost zvýšila. V porovnání s rokem 2011 bylo vyprodukováno o 10,0 % více vajec (včetně násadových), soběstačnost se zvýšila o 5,1 p. b. Nicméně, v případě určitých událostí (posilující se konkurence ze strany členských států, popř. příchod dalších konkurentů zejména mimounijních (např. z Ukrajiny) se tato situace nemusí udržet na aktuální úrovni.  </w:t>
      </w:r>
    </w:p>
    <w:p w14:paraId="61893CD7" w14:textId="68EFFD3A" w:rsidR="00A44EFA" w:rsidRDefault="00A44EFA" w:rsidP="00A44EFA">
      <w:pPr>
        <w:pStyle w:val="UZEINormaln"/>
      </w:pPr>
    </w:p>
    <w:p w14:paraId="59D278A1" w14:textId="7A6A9B2A" w:rsidR="00A44EFA" w:rsidRDefault="00A44EFA" w:rsidP="00A44EFA">
      <w:pPr>
        <w:pStyle w:val="UZEINormaln"/>
      </w:pPr>
    </w:p>
    <w:p w14:paraId="66CFA2ED" w14:textId="46AA43ED" w:rsidR="00A44EFA" w:rsidRDefault="00A44EFA" w:rsidP="00A44EFA">
      <w:pPr>
        <w:pStyle w:val="UZEINormaln"/>
      </w:pPr>
    </w:p>
    <w:p w14:paraId="0CFCAF2C" w14:textId="77777777" w:rsidR="00A44EFA" w:rsidRPr="00D95127" w:rsidRDefault="00A44EFA" w:rsidP="00A44EFA">
      <w:pPr>
        <w:pStyle w:val="UZEINormaln"/>
      </w:pPr>
    </w:p>
    <w:p w14:paraId="092A5DE8" w14:textId="2FB0C35E" w:rsidR="00A16DDB" w:rsidRPr="00D95127" w:rsidRDefault="00A16DDB" w:rsidP="00A44EFA">
      <w:pPr>
        <w:pStyle w:val="UZEIGraf"/>
      </w:pPr>
      <w:bookmarkStart w:id="1114" w:name="_Toc81738836"/>
      <w:r w:rsidRPr="00D95127">
        <w:t>Produkce, obchod a soběstačnost produkce vajec</w:t>
      </w:r>
      <w:bookmarkEnd w:id="1114"/>
    </w:p>
    <w:p w14:paraId="39614315" w14:textId="77777777" w:rsidR="00A16DDB" w:rsidRPr="00D95127" w:rsidRDefault="00A16DDB" w:rsidP="00A16DDB">
      <w:pPr>
        <w:rPr>
          <w:rFonts w:cs="Times New Roman"/>
          <w:lang w:val="cs-CZ" w:eastAsia="cs-CZ"/>
        </w:rPr>
      </w:pPr>
      <w:r w:rsidRPr="00D95127">
        <w:rPr>
          <w:rFonts w:cs="Times New Roman"/>
          <w:noProof/>
          <w:lang w:val="cs-CZ"/>
        </w:rPr>
        <w:drawing>
          <wp:inline distT="0" distB="0" distL="0" distR="0" wp14:anchorId="47519E90" wp14:editId="213CC398">
            <wp:extent cx="5759450" cy="2994025"/>
            <wp:effectExtent l="0" t="0" r="12700" b="15875"/>
            <wp:docPr id="20" name="Graf 20">
              <a:extLst xmlns:a="http://schemas.openxmlformats.org/drawingml/2006/main">
                <a:ext uri="{FF2B5EF4-FFF2-40B4-BE49-F238E27FC236}">
                  <a16:creationId xmlns:a16="http://schemas.microsoft.com/office/drawing/2014/main" id="{CCA19FB8-DB3C-4AB6-8988-4CE340FC291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p w14:paraId="63574023" w14:textId="77777777" w:rsidR="00A16DDB" w:rsidRPr="00D95127" w:rsidRDefault="00A16DDB" w:rsidP="00A44EFA">
      <w:pPr>
        <w:pStyle w:val="UZEIZdroj"/>
      </w:pPr>
      <w:r w:rsidRPr="00D95127">
        <w:rPr>
          <w:rStyle w:val="Zdraznnjemn"/>
        </w:rPr>
        <w:t>Pramen: Zpráva o stavu českého zemědělství za roky 2016  a 2020</w:t>
      </w:r>
    </w:p>
    <w:p w14:paraId="254471CF" w14:textId="77777777" w:rsidR="00A16DDB" w:rsidRPr="00D95127" w:rsidRDefault="00A16DDB" w:rsidP="00A44EFA">
      <w:pPr>
        <w:pStyle w:val="UZEINormaln"/>
      </w:pPr>
      <w:r w:rsidRPr="00D95127">
        <w:t>Dovozci vajec a vaječných hmot do EU musí splňovat určité podmínky (např.  hygienické podmínky a základní podmínky welfare). Neklade se však důraz na technologii chovu, což je určitá konkurenční výhoda dovozců vajec, resp. vaječné melanže nebo sušené vaječné hmoty do EU. Ve většině mimoevropských států požadavky na technologii chovu nejsou legislativně regulovány. V kompozici s jinými výhodami těchto zemí (levnější pracovní síla a krmné směsi) se vytváří konkurenční tlak na trhu EU.  Tak, například, náklady na produkci vajec v Ukrajině byly v roce 2015 o 24 % nižší než průměrné náklady členských států EU (van Horne a Bondt, 2017). Za dovezená vejce a vaječné hmoty se vybírají celní poplatky na základě evropské legislativy</w:t>
      </w:r>
      <w:r w:rsidRPr="00D95127">
        <w:rPr>
          <w:rStyle w:val="Znakapoznpodarou"/>
        </w:rPr>
        <w:footnoteReference w:id="46"/>
      </w:r>
      <w:r w:rsidRPr="00D95127">
        <w:t>, což určitým způsobem brání trh EU.</w:t>
      </w:r>
    </w:p>
    <w:p w14:paraId="4DCEC5AD" w14:textId="77777777" w:rsidR="00A16DDB" w:rsidRPr="00D95127" w:rsidRDefault="00A16DDB" w:rsidP="00A44EFA">
      <w:pPr>
        <w:pStyle w:val="UZEINormaln"/>
      </w:pPr>
      <w:r w:rsidRPr="00D95127">
        <w:t xml:space="preserve">Problémem odvětví je záporná rentabilita výroby drůbežího masa a vajec (náklady kuřat chovaných na maso někdy i při započtení podpor převyšují realizační cenu) u podniků ve smíšené výrobě, která se díky navýšení národních podpor na ozdravení chovů a dobrých životních podmínek zvířat od roku 2016 přehoupla do černých čísel. V případě vajec tato situace nastala až od roku 2017. </w:t>
      </w:r>
    </w:p>
    <w:p w14:paraId="10824F86" w14:textId="1EC15784" w:rsidR="00A16DDB" w:rsidRPr="00D95127" w:rsidRDefault="00A16DDB" w:rsidP="00A44EFA">
      <w:pPr>
        <w:pStyle w:val="UZEITaB"/>
        <w:ind w:left="1134" w:hanging="1134"/>
        <w:rPr>
          <w:noProof/>
        </w:rPr>
      </w:pPr>
      <w:bookmarkStart w:id="1115" w:name="_Toc81738543"/>
      <w:r w:rsidRPr="00D95127">
        <w:t>Ekonomika výkrmu kuřat</w:t>
      </w:r>
      <w:bookmarkEnd w:id="1115"/>
      <w:r w:rsidRPr="00D95127">
        <w:rPr>
          <w:noProof/>
        </w:rPr>
        <w:t xml:space="preserve"> </w:t>
      </w:r>
    </w:p>
    <w:p w14:paraId="72317AB4" w14:textId="77777777" w:rsidR="00A16DDB" w:rsidRPr="00D95127" w:rsidRDefault="00A16DDB" w:rsidP="00A16DDB">
      <w:pPr>
        <w:pStyle w:val="Titulek"/>
        <w:spacing w:after="0"/>
        <w:rPr>
          <w:szCs w:val="24"/>
        </w:rPr>
      </w:pPr>
      <w:r w:rsidRPr="00D95127">
        <w:rPr>
          <w:noProof/>
        </w:rPr>
        <w:drawing>
          <wp:inline distT="0" distB="0" distL="0" distR="0" wp14:anchorId="33286A6C" wp14:editId="308780A9">
            <wp:extent cx="5759450" cy="1337945"/>
            <wp:effectExtent l="0" t="0" r="0"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759450" cy="1337945"/>
                    </a:xfrm>
                    <a:prstGeom prst="rect">
                      <a:avLst/>
                    </a:prstGeom>
                    <a:noFill/>
                    <a:ln>
                      <a:noFill/>
                    </a:ln>
                  </pic:spPr>
                </pic:pic>
              </a:graphicData>
            </a:graphic>
          </wp:inline>
        </w:drawing>
      </w:r>
    </w:p>
    <w:p w14:paraId="6F3D3FFA" w14:textId="77777777" w:rsidR="00A16DDB" w:rsidRPr="00A44EFA" w:rsidRDefault="00A16DDB" w:rsidP="00A44EFA">
      <w:pPr>
        <w:pStyle w:val="UZEIZdroj"/>
        <w:spacing w:after="0"/>
        <w:rPr>
          <w:b/>
          <w:bCs/>
        </w:rPr>
      </w:pPr>
      <w:r w:rsidRPr="00A44EFA">
        <w:rPr>
          <w:b/>
          <w:bCs/>
        </w:rPr>
        <w:t>Údaje jsou předběžné na základě dopočtu cenových indexů</w:t>
      </w:r>
    </w:p>
    <w:p w14:paraId="1BCC4BF0" w14:textId="77777777" w:rsidR="00A16DDB" w:rsidRPr="00D95127" w:rsidRDefault="00A16DDB" w:rsidP="00A44EFA">
      <w:pPr>
        <w:pStyle w:val="UZEIZdroj"/>
        <w:spacing w:after="0"/>
      </w:pPr>
      <w:r w:rsidRPr="00D95127">
        <w:t>Náklady vč. vratky zelené nafty a po odpočtu drůbežího trusu, na základě výběrového šetření ÚZEI; rok 2020 odhad.</w:t>
      </w:r>
    </w:p>
    <w:p w14:paraId="5484C603" w14:textId="0D0886D0" w:rsidR="00A16DDB" w:rsidRPr="00D95127" w:rsidRDefault="00A16DDB" w:rsidP="00A44EFA">
      <w:pPr>
        <w:pStyle w:val="UZEIZdroj"/>
        <w:spacing w:after="0"/>
      </w:pPr>
      <w:r w:rsidRPr="00D95127">
        <w:t>Zdroj: MZe; ÚZEI, šetření, výpočty; SZIF; PGRLF</w:t>
      </w:r>
    </w:p>
    <w:p w14:paraId="04AD317E" w14:textId="0F2B1E28" w:rsidR="00A16DDB" w:rsidRPr="00D95127" w:rsidRDefault="00A16DDB" w:rsidP="00A44EFA">
      <w:pPr>
        <w:pStyle w:val="UZEITaB"/>
        <w:ind w:left="1134" w:hanging="1134"/>
      </w:pPr>
      <w:bookmarkStart w:id="1116" w:name="_Toc81738544"/>
      <w:r w:rsidRPr="00D95127">
        <w:t>Ekonomika vajec</w:t>
      </w:r>
      <w:bookmarkEnd w:id="1116"/>
    </w:p>
    <w:p w14:paraId="3D436985" w14:textId="1AC345EB" w:rsidR="00A16DDB" w:rsidRPr="00A44EFA" w:rsidRDefault="00A16DDB" w:rsidP="00A16DDB">
      <w:pPr>
        <w:rPr>
          <w:rFonts w:cs="Times New Roman"/>
          <w:lang w:val="cs-CZ" w:eastAsia="cs-CZ"/>
        </w:rPr>
      </w:pPr>
      <w:r w:rsidRPr="00D95127">
        <w:rPr>
          <w:rFonts w:cs="Times New Roman"/>
          <w:noProof/>
          <w:lang w:val="cs-CZ"/>
        </w:rPr>
        <w:drawing>
          <wp:inline distT="0" distB="0" distL="0" distR="0" wp14:anchorId="595F9B8D" wp14:editId="43DF46FD">
            <wp:extent cx="5759450" cy="1556385"/>
            <wp:effectExtent l="0" t="0" r="0" b="5715"/>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759450" cy="1556385"/>
                    </a:xfrm>
                    <a:prstGeom prst="rect">
                      <a:avLst/>
                    </a:prstGeom>
                    <a:noFill/>
                    <a:ln>
                      <a:noFill/>
                    </a:ln>
                  </pic:spPr>
                </pic:pic>
              </a:graphicData>
            </a:graphic>
          </wp:inline>
        </w:drawing>
      </w:r>
    </w:p>
    <w:p w14:paraId="5E33D8B3" w14:textId="77777777" w:rsidR="00A16DDB" w:rsidRPr="00D95127" w:rsidRDefault="00A16DDB" w:rsidP="00A44EFA">
      <w:pPr>
        <w:pStyle w:val="UZEINormaln"/>
      </w:pPr>
      <w:r w:rsidRPr="00D95127">
        <w:t>Nicméně podle účetních výkazů zveřejněných v obchodním rejstříku dosahovaly velké specializované podniky (producenti s hodnotou aktiv nad 100 mil. Kč) zaměřené na výkrm drůbeže a produkci vajec v letech 2016</w:t>
      </w:r>
      <w:r w:rsidRPr="00D95127">
        <w:noBreakHyphen/>
        <w:t xml:space="preserve">17 ročních zisků okolo 20 mil. Kč a pět největších producentů dosahovalo zisků v rozpětí od 30 do 80 mil. Kč. </w:t>
      </w:r>
    </w:p>
    <w:p w14:paraId="060D4384" w14:textId="5823BA7A" w:rsidR="00A16DDB" w:rsidRPr="00D95127" w:rsidRDefault="00A16DDB" w:rsidP="00A44EFA">
      <w:pPr>
        <w:pStyle w:val="UZEITaB"/>
        <w:ind w:left="1134" w:hanging="1134"/>
      </w:pPr>
      <w:bookmarkStart w:id="1117" w:name="_Toc81738545"/>
      <w:r w:rsidRPr="00D95127">
        <w:t>Rentabilita chovu drůbeže podle velikosti</w:t>
      </w:r>
      <w:bookmarkEnd w:id="1117"/>
    </w:p>
    <w:p w14:paraId="45E3D56D" w14:textId="77777777" w:rsidR="00A16DDB" w:rsidRPr="00D95127" w:rsidRDefault="00A16DDB" w:rsidP="00A16DDB">
      <w:pPr>
        <w:rPr>
          <w:rFonts w:cs="Times New Roman"/>
          <w:szCs w:val="24"/>
          <w:lang w:val="cs-CZ"/>
        </w:rPr>
      </w:pPr>
      <w:r w:rsidRPr="00D95127">
        <w:rPr>
          <w:rFonts w:cs="Times New Roman"/>
          <w:noProof/>
          <w:szCs w:val="24"/>
          <w:lang w:val="cs-CZ"/>
        </w:rPr>
        <w:drawing>
          <wp:inline distT="0" distB="0" distL="0" distR="0" wp14:anchorId="67B33EC9" wp14:editId="627C8DEB">
            <wp:extent cx="5762625" cy="1209675"/>
            <wp:effectExtent l="0" t="0" r="0" b="0"/>
            <wp:docPr id="51"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8"/>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762625" cy="1209675"/>
                    </a:xfrm>
                    <a:prstGeom prst="rect">
                      <a:avLst/>
                    </a:prstGeom>
                    <a:noFill/>
                    <a:ln>
                      <a:noFill/>
                    </a:ln>
                  </pic:spPr>
                </pic:pic>
              </a:graphicData>
            </a:graphic>
          </wp:inline>
        </w:drawing>
      </w:r>
    </w:p>
    <w:p w14:paraId="507F9276" w14:textId="77777777" w:rsidR="00A16DDB" w:rsidRPr="00D95127" w:rsidRDefault="00A16DDB" w:rsidP="00A44EFA">
      <w:pPr>
        <w:pStyle w:val="UZEINormaln"/>
      </w:pPr>
      <w:r w:rsidRPr="00D95127">
        <w:t>Je tedy třeba rozlišovat, že některé podniky mají problémy větší, některé menší. Podíl ztrátových podniků se pohybuje ve sledovaném období v rozpětí 10-30 % v případě specializovaných podniků a 50-75 % v případě podniků se smíšenou výrobou. Přitom průměrná velikost podniků s vykázanou ztrátou měřená velikostí celkových aktiv je cca 4x menší než u ziskových podniků a výhody z velikosti v chovu drůbeže hrají v ekonomice významnou roli.</w:t>
      </w:r>
    </w:p>
    <w:p w14:paraId="458E04E6" w14:textId="77777777" w:rsidR="00F9624D" w:rsidRDefault="00F9624D">
      <w:pPr>
        <w:spacing w:after="160" w:line="259" w:lineRule="auto"/>
        <w:jc w:val="left"/>
        <w:rPr>
          <w:rFonts w:eastAsiaTheme="majorEastAsia" w:cs="Times New Roman"/>
          <w:b/>
          <w:bCs/>
          <w:sz w:val="28"/>
          <w:szCs w:val="32"/>
          <w:lang w:val="cs-CZ"/>
        </w:rPr>
      </w:pPr>
      <w:bookmarkStart w:id="1118" w:name="_Toc76137467"/>
      <w:bookmarkStart w:id="1119" w:name="_Toc76637666"/>
      <w:bookmarkStart w:id="1120" w:name="_Toc80953355"/>
      <w:bookmarkStart w:id="1121" w:name="_Toc15304116"/>
      <w:bookmarkStart w:id="1122" w:name="_Toc23509939"/>
      <w:bookmarkStart w:id="1123" w:name="_Hlk12429485"/>
      <w:r>
        <w:br w:type="page"/>
      </w:r>
    </w:p>
    <w:p w14:paraId="492286DE" w14:textId="70173660" w:rsidR="00A16DDB" w:rsidRPr="00D95127" w:rsidRDefault="00A16DDB" w:rsidP="00F9624D">
      <w:pPr>
        <w:pStyle w:val="Nadpis1"/>
      </w:pPr>
      <w:bookmarkStart w:id="1124" w:name="_Toc81739307"/>
      <w:r w:rsidRPr="00D95127">
        <w:t>Míra stávajícího řešení problému</w:t>
      </w:r>
      <w:bookmarkEnd w:id="1118"/>
      <w:bookmarkEnd w:id="1119"/>
      <w:bookmarkEnd w:id="1120"/>
      <w:bookmarkEnd w:id="1124"/>
    </w:p>
    <w:p w14:paraId="4C9CCFDC" w14:textId="77777777" w:rsidR="00A16DDB" w:rsidRPr="00D95127" w:rsidRDefault="00A16DDB" w:rsidP="00F9624D">
      <w:pPr>
        <w:pStyle w:val="Nadpis2"/>
      </w:pPr>
      <w:bookmarkStart w:id="1125" w:name="_Toc76137468"/>
      <w:bookmarkStart w:id="1126" w:name="_Toc76637667"/>
      <w:bookmarkStart w:id="1127" w:name="_Toc80953356"/>
      <w:bookmarkStart w:id="1128" w:name="_Toc81739308"/>
      <w:r w:rsidRPr="00D95127">
        <w:t>Míra řešení ve stávající SZP (úspěšnost/neúspěšnost)</w:t>
      </w:r>
      <w:bookmarkEnd w:id="1121"/>
      <w:bookmarkEnd w:id="1122"/>
      <w:bookmarkEnd w:id="1125"/>
      <w:bookmarkEnd w:id="1126"/>
      <w:bookmarkEnd w:id="1127"/>
      <w:bookmarkEnd w:id="1128"/>
    </w:p>
    <w:p w14:paraId="36DF0343" w14:textId="77777777" w:rsidR="00A16DDB" w:rsidRPr="00D95127" w:rsidRDefault="00A16DDB" w:rsidP="00F9624D">
      <w:pPr>
        <w:pStyle w:val="UZEINormaln"/>
      </w:pPr>
      <w:r w:rsidRPr="00D95127">
        <w:t>Podle výpočtů ÚZEI se v období 2011</w:t>
      </w:r>
      <w:r w:rsidRPr="00D95127">
        <w:noBreakHyphen/>
        <w:t>2018 platby SZP na podporách v odvětví výkrmu kuřat i produkce vajec podílely minoritně (několika %). Naprostou většinu tvořily národní podpory, zavedené v roce 2012 a doplněné o další dotační titul v roce 2017 (více viz následující podkapitola).</w:t>
      </w:r>
    </w:p>
    <w:p w14:paraId="248D011A" w14:textId="77777777" w:rsidR="00A16DDB" w:rsidRPr="00D95127" w:rsidRDefault="00A16DDB" w:rsidP="00F9624D">
      <w:pPr>
        <w:pStyle w:val="UZEINormaln"/>
      </w:pPr>
      <w:r w:rsidRPr="00D95127">
        <w:t>Samotné platby SZP by odvětví drůbežího masa ani vajec kladnou rentabilitu nezaručily. Tato odvětví totiž nejsou v rámci SZP specificky podporována. V prvních čtyřech výzvách byly v rámci opatření 121 PRV financovány projekty zaměřené na energetické využití biomasy (u drůbeže 7,9 % z celkové podpory pro všechna výrobní zaměření) (podle „hodnocení PRV“ za období 2007-2013). Čerpání finančních prostředků v operaci 4.1.1 PRV u drůbeže: 46 operací za celkem 11,8 milionů EUR (11 % z celku pro záměry a)-l)) (podle průběžného „hodnocení PRV“ za období 2014-2020).</w:t>
      </w:r>
    </w:p>
    <w:p w14:paraId="506FFB2A" w14:textId="3A2C5AA9" w:rsidR="00A16DDB" w:rsidRPr="00D95127" w:rsidRDefault="00A16DDB" w:rsidP="00F9624D">
      <w:pPr>
        <w:pStyle w:val="UZEIGraf"/>
      </w:pPr>
      <w:bookmarkStart w:id="1129" w:name="_Toc81738837"/>
      <w:bookmarkStart w:id="1130" w:name="_Ref14793026"/>
      <w:r w:rsidRPr="00D95127">
        <w:t>Vývoj struktury podpor u komodity drůbeží maso</w:t>
      </w:r>
      <w:bookmarkEnd w:id="1129"/>
    </w:p>
    <w:p w14:paraId="7303675A" w14:textId="77777777" w:rsidR="00A16DDB" w:rsidRPr="00D95127" w:rsidRDefault="00A16DDB" w:rsidP="00A16DDB">
      <w:pPr>
        <w:pStyle w:val="Titulek"/>
        <w:spacing w:after="60"/>
        <w:rPr>
          <w:szCs w:val="24"/>
        </w:rPr>
      </w:pPr>
      <w:r w:rsidRPr="00D95127">
        <w:rPr>
          <w:noProof/>
        </w:rPr>
        <w:drawing>
          <wp:inline distT="0" distB="0" distL="0" distR="0" wp14:anchorId="5F5D5599" wp14:editId="1AA9B7A2">
            <wp:extent cx="5759450" cy="4868545"/>
            <wp:effectExtent l="0" t="0" r="12700" b="8255"/>
            <wp:docPr id="75" name="Graf 75">
              <a:extLst xmlns:a="http://schemas.openxmlformats.org/drawingml/2006/main">
                <a:ext uri="{FF2B5EF4-FFF2-40B4-BE49-F238E27FC236}">
                  <a16:creationId xmlns:a16="http://schemas.microsoft.com/office/drawing/2014/main" id="{6E05C445-F4D1-43F8-A43B-02CBB3407C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1"/>
              </a:graphicData>
            </a:graphic>
          </wp:inline>
        </w:drawing>
      </w:r>
    </w:p>
    <w:p w14:paraId="64A0D384" w14:textId="5874A036" w:rsidR="00A16DDB" w:rsidRDefault="00A16DDB" w:rsidP="00F9624D">
      <w:pPr>
        <w:pStyle w:val="UZEIZdroj"/>
      </w:pPr>
      <w:r w:rsidRPr="00D95127">
        <w:t>Pramen: ÚZEI, vlastní výpočty</w:t>
      </w:r>
    </w:p>
    <w:p w14:paraId="0D332F95" w14:textId="7FB5132F" w:rsidR="00F9624D" w:rsidRDefault="00F9624D" w:rsidP="00F9624D">
      <w:pPr>
        <w:pStyle w:val="UZEIZdroj"/>
      </w:pPr>
    </w:p>
    <w:p w14:paraId="60ADEAC8" w14:textId="0B14EC7A" w:rsidR="00F9624D" w:rsidRDefault="00F9624D" w:rsidP="00F9624D">
      <w:pPr>
        <w:pStyle w:val="UZEIZdroj"/>
      </w:pPr>
    </w:p>
    <w:p w14:paraId="3CC0B46D" w14:textId="47D6849A" w:rsidR="00F9624D" w:rsidRDefault="00F9624D" w:rsidP="00F9624D">
      <w:pPr>
        <w:pStyle w:val="UZEIZdroj"/>
      </w:pPr>
    </w:p>
    <w:p w14:paraId="0BA9DAF8" w14:textId="77777777" w:rsidR="00F9624D" w:rsidRPr="00D95127" w:rsidRDefault="00F9624D" w:rsidP="00F9624D">
      <w:pPr>
        <w:pStyle w:val="UZEIZdroj"/>
      </w:pPr>
    </w:p>
    <w:p w14:paraId="08DF577B" w14:textId="473EAC3B" w:rsidR="00A16DDB" w:rsidRPr="00D95127" w:rsidRDefault="00A16DDB" w:rsidP="00F9624D">
      <w:pPr>
        <w:pStyle w:val="UZEIGraf"/>
      </w:pPr>
      <w:bookmarkStart w:id="1131" w:name="_Toc81738838"/>
      <w:bookmarkEnd w:id="1130"/>
      <w:r w:rsidRPr="00D95127">
        <w:t>Vývoj struktury podpor u komodity vejce</w:t>
      </w:r>
      <w:bookmarkEnd w:id="1131"/>
    </w:p>
    <w:p w14:paraId="7B2BCC11" w14:textId="77777777" w:rsidR="00A16DDB" w:rsidRPr="00D95127" w:rsidRDefault="00A16DDB" w:rsidP="00A16DDB">
      <w:pPr>
        <w:pStyle w:val="Odstavecseseznamem"/>
        <w:ind w:left="1151" w:hanging="1151"/>
        <w:contextualSpacing w:val="0"/>
        <w:rPr>
          <w:u w:val="single"/>
        </w:rPr>
      </w:pPr>
      <w:r w:rsidRPr="00D95127">
        <w:rPr>
          <w:noProof/>
        </w:rPr>
        <w:drawing>
          <wp:inline distT="0" distB="0" distL="0" distR="0" wp14:anchorId="7BF68EA6" wp14:editId="3CCB7D7A">
            <wp:extent cx="5759450" cy="5086350"/>
            <wp:effectExtent l="0" t="0" r="12700" b="0"/>
            <wp:docPr id="78" name="Graf 78">
              <a:extLst xmlns:a="http://schemas.openxmlformats.org/drawingml/2006/main">
                <a:ext uri="{FF2B5EF4-FFF2-40B4-BE49-F238E27FC236}">
                  <a16:creationId xmlns:a16="http://schemas.microsoft.com/office/drawing/2014/main" id="{1CCA19B4-9E1C-4AA8-8C53-07DD0B8FC0A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2"/>
              </a:graphicData>
            </a:graphic>
          </wp:inline>
        </w:drawing>
      </w:r>
    </w:p>
    <w:p w14:paraId="7D26A761" w14:textId="697A0A33" w:rsidR="00A16DDB" w:rsidRPr="00F9624D" w:rsidRDefault="00A16DDB" w:rsidP="00F9624D">
      <w:pPr>
        <w:pStyle w:val="UZEIZdroj"/>
      </w:pPr>
      <w:r w:rsidRPr="00D95127">
        <w:t>Pramen: ÚZEI, vlastní výpočty</w:t>
      </w:r>
    </w:p>
    <w:p w14:paraId="4EF02D9F" w14:textId="77777777" w:rsidR="00A16DDB" w:rsidRPr="00D95127" w:rsidRDefault="00A16DDB" w:rsidP="00F9624D">
      <w:pPr>
        <w:pStyle w:val="UZEINormaln"/>
      </w:pPr>
      <w:r w:rsidRPr="00D95127">
        <w:t xml:space="preserve">V rámci SZP do sektoru chov nosnic plyne jen málo podpor. Podpory uvedené v grafech výše jsou propočítány přes rostlinnou výrobu (krmné plodiny). V rámci SZP byla od roku 2009 do roku 2011 nejvýznamnější provozní podporou SAPS (+greening) vázající se na krmné plodiny. Další významnou podporou v letech 2009 a 2010 byla PVP na z.p.. V letech 2009 a 2010 byla podporována Zelená nafta (přes RV, krmné plodiny), která pokračovala i v letech 2011-2018, však jejích výše byla o hodně nižší. Téměř zanedbatelnou položkou je podpora pojištění RV, ŽV, LFA platby od roku 2015 a vyplacené v roce 2017 a 2018 kompenzace za sucho. </w:t>
      </w:r>
    </w:p>
    <w:p w14:paraId="6F13107D" w14:textId="77777777" w:rsidR="00A16DDB" w:rsidRPr="00D95127" w:rsidRDefault="00A16DDB" w:rsidP="00F9624D">
      <w:pPr>
        <w:pStyle w:val="UZEINormaln"/>
      </w:pPr>
      <w:r w:rsidRPr="00D95127">
        <w:t xml:space="preserve">V rámci PRV 2007-2013 a 2014-2018 byly podporovány investiční výdaje. Operace 4.1.1 Investice do zemědělských podniků je určena pro zemědělské podnikatele, školní podniky, státní podniky a skupiny zemědělců ve výši 40–60 % výdajů, ze kterých je stanovena dotace. </w:t>
      </w:r>
    </w:p>
    <w:p w14:paraId="496C828C" w14:textId="77777777" w:rsidR="00A16DDB" w:rsidRPr="00D95127" w:rsidRDefault="00A16DDB" w:rsidP="00F9624D">
      <w:pPr>
        <w:pStyle w:val="UZEINormaln"/>
      </w:pPr>
      <w:r w:rsidRPr="00D95127">
        <w:t>V rámci PRV 2007-13 projekty finančně přispěly v oblasti chovu drůbeže k vybudování, opravám nebo modernizaci hal o celkové kapacitě přes 8,1 mil. kusů drůbeže. Podíl kapacity s podporou PRV na celkové ustájovací či skladovací kapacitě: chov drůbeže 40 % (zdroj: IVP ÚZEI 1273).</w:t>
      </w:r>
    </w:p>
    <w:p w14:paraId="62D90781" w14:textId="77777777" w:rsidR="00A16DDB" w:rsidRPr="00D95127" w:rsidRDefault="00A16DDB" w:rsidP="00F9624D">
      <w:pPr>
        <w:pStyle w:val="UZEINormaln"/>
      </w:pPr>
      <w:r w:rsidRPr="00D95127">
        <w:t>Na žádosti přijaté v roce 2015 bylo v PRV se zaměřením projektu na drůbež vyplaceno 285,4 mil. Kč, což tvořilo 37,3 % z celkových výdajů na podporované projekty. Totéž pro rok 2016 bylo 72,7 mil. Kč (35,7 % z výdajů na projekt).</w:t>
      </w:r>
    </w:p>
    <w:p w14:paraId="3B01C71D" w14:textId="77777777" w:rsidR="00A16DDB" w:rsidRPr="00D95127" w:rsidRDefault="00A16DDB" w:rsidP="00F9624D">
      <w:pPr>
        <w:pStyle w:val="UZEINormaln"/>
      </w:pPr>
      <w:r w:rsidRPr="00D95127">
        <w:t xml:space="preserve">V roce 2007-2013 projekty finančně přispěly v oblasti chovu drůbeže k vybudování, opravám nebo modernizaci hal o celkové kapacitě přes 8,1 mil. kusů drůbeže. Toto množství odpovídá přibližně 39,9 % evidovaného stavu drůbeže v ČR v roce 2016. Podle údajů připadly vybudované prostory o kapacitě 3,4 mil. kusů na odchov nosnic.  </w:t>
      </w:r>
    </w:p>
    <w:p w14:paraId="4E4088EA" w14:textId="77777777" w:rsidR="00A16DDB" w:rsidRPr="00D95127" w:rsidRDefault="00A16DDB" w:rsidP="00F9624D">
      <w:pPr>
        <w:pStyle w:val="UZEINormaln"/>
      </w:pPr>
      <w:r w:rsidRPr="00D95127">
        <w:t>V rámci PRV 2014-2018 bylo v 1. kole příjmu žádostí o dotaci v roce 2015 podáno 77 žádostí se zaměřením na drůbež a vejce s požadavkem na dotaci 550 108 575 Kč. Schváleno bylo 61 žádostí s celkovou výší dotace 399 716 849 Kč. Ve 3. kole příjmu žádostí o dotaci bylo v roce 2016 podáno 73 žádostí se zaměřením na drůbež a vejce s požadavkem na dotaci 488 342 264Kč. Schváleno bylo 48 žádostí s celkovou výší dotace 333 900 766 Kč. V 5. kole příjmu žádostí o dotaci bylo v roce 2017 podáno 71 žádostí se zaměřením na drůbež a vejce s požadavkem na dotaci 411 871 900 Kč. Schváleno bylo 33 žádostí s celkovou výší dotace 141 454 840 Kč. V 7., a zároveň posledním kole příjmu žádosti o dotaci pro programovací období 2014–2020, bylo v roce 2018 podáno 86 žádostí se zaměřením na drůbež a vejce s požadavkem 604 473 384 Kč. Doporučeno bylo 63 žádostí s celkovou výší dotace 312 378 601 Kč. Celkem v rámci PRV bylo podnikům se zaměřením se na drůbež a vejce vyplaceno za programovací období 2007-2013 1 473 185 744 Kč, za programovací období 2014-2020 za období 2014-2018 bylo vyplaceno 357 610 523 Kč.</w:t>
      </w:r>
    </w:p>
    <w:p w14:paraId="2402906A" w14:textId="459DEA8A" w:rsidR="00A16DDB" w:rsidRPr="00F9624D" w:rsidRDefault="00A16DDB" w:rsidP="00F9624D">
      <w:pPr>
        <w:pStyle w:val="UZEINormaln"/>
      </w:pPr>
      <w:r w:rsidRPr="00D95127">
        <w:t>Operace 6.1.1 Zahájení činnosti mladých zemědělců je podpora určena pro mladé začínající zemědělce, tedy osoby do 40 let (včetně), které nepodnikají v zemědělství déle než 2 roky. Ve 2. kole příjmu žádostí o dotaci v květnu 2016 bylo podáno 682 žádostí s požadavkem na dotaci 852 500 000 Kč. K podpoře bylo schváleno 542 žádostí s požadavkem na dotaci ve výši 677 500 000 Kč. Ve 4. kole příjmu žádostí o dotaci v dubnu 2017 bylo podáno 478 žádostí s výší požadované dotace 597 500 000 Kč. Doporučeno bylo 249 žádostí ve výši 311 250 000 Kč (dále je administrováno ještě 52 žádostí v kategorii náhradníků za 65 000 000 Kč). V rámci 6., a zároveň posledního kola příjmu žádosti o dotaci pro programovací období 2014–2020, bylo v dubnu 2018 podáno 377 žádostí s požadavkem na dotaci 452 400 000 Kč a všechny projekty byly doporučeny k podpoře.</w:t>
      </w:r>
    </w:p>
    <w:p w14:paraId="116AEDB4" w14:textId="77777777" w:rsidR="00A16DDB" w:rsidRPr="00D95127" w:rsidRDefault="00A16DDB" w:rsidP="00F9624D">
      <w:pPr>
        <w:pStyle w:val="Nadpis2"/>
      </w:pPr>
      <w:bookmarkStart w:id="1132" w:name="_Toc15304117"/>
      <w:bookmarkStart w:id="1133" w:name="_Toc23509940"/>
      <w:bookmarkStart w:id="1134" w:name="_Toc76137469"/>
      <w:bookmarkStart w:id="1135" w:name="_Toc76637668"/>
      <w:bookmarkStart w:id="1136" w:name="_Toc80953357"/>
      <w:bookmarkStart w:id="1137" w:name="_Toc81739309"/>
      <w:r w:rsidRPr="00D95127">
        <w:t>Míra současného řešení problému jinými politikami</w:t>
      </w:r>
      <w:bookmarkEnd w:id="1132"/>
      <w:bookmarkEnd w:id="1133"/>
      <w:bookmarkEnd w:id="1134"/>
      <w:bookmarkEnd w:id="1135"/>
      <w:bookmarkEnd w:id="1136"/>
      <w:bookmarkEnd w:id="1137"/>
    </w:p>
    <w:p w14:paraId="4E2DD8E6" w14:textId="291070B1" w:rsidR="00A16DDB" w:rsidRPr="00D95127" w:rsidRDefault="00A16DDB" w:rsidP="00F9624D">
      <w:pPr>
        <w:pStyle w:val="UZEINormaln"/>
      </w:pPr>
      <w:r w:rsidRPr="00D95127">
        <w:t>Naprostou většinu podpor v odvětví výkrmu kuřat a produkce vajec tvořily národní podpory. Jejich přibližné vyčíslení v jednotlivých letech obsahují tabulky v předchozí kapitole. Ve skutečnosti jsou jejich odhady ještě o pár procent nižší, protože v tabulkách jsou zahrnuty i podpory SZP, podpory pojištění a „Zelená nafta“, které jsou však od roku 2012 ve srovnání s národními podporami minoritní.</w:t>
      </w:r>
    </w:p>
    <w:p w14:paraId="4FE6C679" w14:textId="1EDDAAF3" w:rsidR="00A16DDB" w:rsidRPr="00D95127" w:rsidRDefault="00A16DDB" w:rsidP="00F9624D">
      <w:pPr>
        <w:pStyle w:val="UZEINormaln"/>
      </w:pPr>
      <w:r w:rsidRPr="00D95127">
        <w:t>Podle výpočtů ÚZEI se v roce 2020 v odvětví drůbežího masa zvýšily provozní podpory, nákladová rentabilita i souhrnná rentabilita. Nákladová rentabilita zůstala i v roce 2020 záporná (-8,9 %). Souhrnná rentabilita díky rostoucím podporám byla kromě roku 2019 v minulých 5 letech kladná a v roce 2020 dosáhla 1,3 %. Významně ve výkrmu přispívá národní podpora 8.F.c.b) (k účelu ozdravování), která stabilně převyšuje 400 mil. Kč, dále též dotační titul 20.B (pohoda a životní podmínky za více než 300 mil. Kč). Někteří chovatelé mohou využít i dotace na podporu genofondu a nově také titul „Podpora na výzkum a transfer znalostí v odvětví chovu drůbeže“.</w:t>
      </w:r>
    </w:p>
    <w:p w14:paraId="6358DE68" w14:textId="77777777" w:rsidR="00A16DDB" w:rsidRPr="00D95127" w:rsidRDefault="00A16DDB" w:rsidP="00F9624D">
      <w:pPr>
        <w:pStyle w:val="UZEINormaln"/>
      </w:pPr>
      <w:r w:rsidRPr="00D95127">
        <w:t>V odvětví vajec se zvýšily provozní podpory, ale nákladová rentabilita i souhrnná rentabilita se snížily. Nákladová rentabilita v roce 2018 byla -3,5 %. Souhrnná rentabilita zůstala v roce 2018 i přes pokles kladná: 2,9 %.</w:t>
      </w:r>
    </w:p>
    <w:p w14:paraId="6CA4DAAA" w14:textId="1D24A5D7" w:rsidR="00A16DDB" w:rsidRPr="00D95127" w:rsidRDefault="00A16DDB" w:rsidP="00F9624D">
      <w:pPr>
        <w:pStyle w:val="UZEINormaln"/>
      </w:pPr>
      <w:r w:rsidRPr="00D95127">
        <w:t xml:space="preserve">V případě nosnic byl od roku 2012 zaveden dotační titul 8.F.c. vztahující se na ozdravení chovu drůbeže – nosnice (8.F.c.a. a 8 F.c.c.). Účelem dotačního titulu je podpora vybraných činností zaměřených proti rozšiřování nákaz drůbeže související s tlumením výskytu původců zoonóz (salmonel, aviární influenzy, campylobaktery) zvýšením biologické bezpečnosti v chovech drůbeže. </w:t>
      </w:r>
    </w:p>
    <w:p w14:paraId="0B658DC4" w14:textId="61DBD4CA" w:rsidR="00A16DDB" w:rsidRPr="00D95127" w:rsidRDefault="00A16DDB" w:rsidP="00F9624D">
      <w:pPr>
        <w:pStyle w:val="UZEITaB"/>
        <w:ind w:left="1276" w:hanging="1276"/>
      </w:pPr>
      <w:bookmarkStart w:id="1138" w:name="_Ref81735318"/>
      <w:bookmarkStart w:id="1139" w:name="_Toc81738546"/>
      <w:r w:rsidRPr="00D95127">
        <w:t>Výše podpor v rámci DT 8.F.c.a. a 8.F.c.c. a produkční ukazatele chovu nosnic v ČR v letech 2012-2018</w:t>
      </w:r>
      <w:bookmarkEnd w:id="1138"/>
      <w:bookmarkEnd w:id="1139"/>
    </w:p>
    <w:tbl>
      <w:tblPr>
        <w:tblW w:w="9067" w:type="dxa"/>
        <w:tblInd w:w="75" w:type="dxa"/>
        <w:tblCellMar>
          <w:left w:w="70" w:type="dxa"/>
          <w:right w:w="70" w:type="dxa"/>
        </w:tblCellMar>
        <w:tblLook w:val="04A0" w:firstRow="1" w:lastRow="0" w:firstColumn="1" w:lastColumn="0" w:noHBand="0" w:noVBand="1"/>
      </w:tblPr>
      <w:tblGrid>
        <w:gridCol w:w="1340"/>
        <w:gridCol w:w="1774"/>
        <w:gridCol w:w="1559"/>
        <w:gridCol w:w="1418"/>
        <w:gridCol w:w="1559"/>
        <w:gridCol w:w="1417"/>
      </w:tblGrid>
      <w:tr w:rsidR="00A16DDB" w:rsidRPr="00F9624D" w14:paraId="60ADDA85" w14:textId="77777777" w:rsidTr="007A627A">
        <w:trPr>
          <w:trHeight w:val="463"/>
        </w:trPr>
        <w:tc>
          <w:tcPr>
            <w:tcW w:w="1340" w:type="dxa"/>
            <w:tcBorders>
              <w:top w:val="single" w:sz="4" w:space="0" w:color="auto"/>
              <w:left w:val="single" w:sz="4" w:space="0" w:color="auto"/>
              <w:bottom w:val="single" w:sz="4" w:space="0" w:color="auto"/>
              <w:right w:val="single" w:sz="4" w:space="0" w:color="auto"/>
            </w:tcBorders>
          </w:tcPr>
          <w:p w14:paraId="51FC6228" w14:textId="77777777" w:rsidR="00A16DDB" w:rsidRPr="00F9624D" w:rsidRDefault="00A16DDB" w:rsidP="007A627A">
            <w:pPr>
              <w:jc w:val="center"/>
              <w:rPr>
                <w:rFonts w:eastAsia="Times New Roman" w:cs="Times New Roman"/>
                <w:b/>
                <w:bCs/>
                <w:color w:val="000000"/>
                <w:sz w:val="20"/>
                <w:szCs w:val="20"/>
                <w:lang w:val="cs-CZ" w:eastAsia="cs-CZ"/>
              </w:rPr>
            </w:pPr>
            <w:r w:rsidRPr="00F9624D">
              <w:rPr>
                <w:rFonts w:eastAsia="Times New Roman" w:cs="Times New Roman"/>
                <w:b/>
                <w:bCs/>
                <w:color w:val="000000"/>
                <w:sz w:val="20"/>
                <w:szCs w:val="20"/>
                <w:lang w:val="cs-CZ" w:eastAsia="cs-CZ"/>
              </w:rPr>
              <w:t>Rok</w:t>
            </w:r>
          </w:p>
        </w:tc>
        <w:tc>
          <w:tcPr>
            <w:tcW w:w="177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A4E7D15" w14:textId="77777777" w:rsidR="00A16DDB" w:rsidRPr="00F9624D" w:rsidRDefault="00A16DDB" w:rsidP="007A627A">
            <w:pPr>
              <w:jc w:val="center"/>
              <w:rPr>
                <w:rFonts w:eastAsia="Times New Roman" w:cs="Times New Roman"/>
                <w:b/>
                <w:bCs/>
                <w:color w:val="000000"/>
                <w:sz w:val="20"/>
                <w:szCs w:val="20"/>
                <w:lang w:val="cs-CZ" w:eastAsia="cs-CZ"/>
              </w:rPr>
            </w:pPr>
            <w:r w:rsidRPr="00F9624D">
              <w:rPr>
                <w:rFonts w:eastAsia="Times New Roman" w:cs="Times New Roman"/>
                <w:b/>
                <w:bCs/>
                <w:color w:val="000000"/>
                <w:sz w:val="20"/>
                <w:szCs w:val="20"/>
                <w:lang w:val="cs-CZ" w:eastAsia="cs-CZ"/>
              </w:rPr>
              <w:t xml:space="preserve">Podpora </w:t>
            </w:r>
            <w:r w:rsidRPr="00F9624D">
              <w:rPr>
                <w:rFonts w:eastAsia="Times New Roman" w:cs="Times New Roman"/>
                <w:b/>
                <w:bCs/>
                <w:color w:val="000000"/>
                <w:sz w:val="20"/>
                <w:szCs w:val="20"/>
                <w:lang w:val="cs-CZ" w:eastAsia="cs-CZ"/>
              </w:rPr>
              <w:br/>
              <w:t xml:space="preserve">Vyplaceno </w:t>
            </w:r>
          </w:p>
        </w:tc>
        <w:tc>
          <w:tcPr>
            <w:tcW w:w="1559" w:type="dxa"/>
            <w:tcBorders>
              <w:top w:val="single" w:sz="4" w:space="0" w:color="auto"/>
              <w:left w:val="nil"/>
              <w:bottom w:val="single" w:sz="4" w:space="0" w:color="auto"/>
              <w:right w:val="single" w:sz="4" w:space="0" w:color="auto"/>
            </w:tcBorders>
            <w:shd w:val="clear" w:color="auto" w:fill="auto"/>
            <w:vAlign w:val="bottom"/>
            <w:hideMark/>
          </w:tcPr>
          <w:p w14:paraId="102185B1" w14:textId="77777777" w:rsidR="00A16DDB" w:rsidRPr="00F9624D" w:rsidRDefault="00A16DDB" w:rsidP="007A627A">
            <w:pPr>
              <w:jc w:val="center"/>
              <w:rPr>
                <w:rFonts w:eastAsia="Times New Roman" w:cs="Times New Roman"/>
                <w:b/>
                <w:bCs/>
                <w:color w:val="000000"/>
                <w:sz w:val="20"/>
                <w:szCs w:val="20"/>
                <w:lang w:val="cs-CZ" w:eastAsia="cs-CZ"/>
              </w:rPr>
            </w:pPr>
            <w:r w:rsidRPr="00F9624D">
              <w:rPr>
                <w:rFonts w:eastAsia="Times New Roman" w:cs="Times New Roman"/>
                <w:b/>
                <w:bCs/>
                <w:color w:val="000000"/>
                <w:sz w:val="20"/>
                <w:szCs w:val="20"/>
                <w:lang w:val="cs-CZ" w:eastAsia="cs-CZ"/>
              </w:rPr>
              <w:t>Produkce</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14:paraId="7112A2D3" w14:textId="77777777" w:rsidR="00A16DDB" w:rsidRPr="00F9624D" w:rsidRDefault="00A16DDB" w:rsidP="007A627A">
            <w:pPr>
              <w:jc w:val="center"/>
              <w:rPr>
                <w:rFonts w:eastAsia="Times New Roman" w:cs="Times New Roman"/>
                <w:b/>
                <w:bCs/>
                <w:color w:val="000000"/>
                <w:sz w:val="20"/>
                <w:szCs w:val="20"/>
                <w:lang w:val="cs-CZ" w:eastAsia="cs-CZ"/>
              </w:rPr>
            </w:pPr>
            <w:r w:rsidRPr="00F9624D">
              <w:rPr>
                <w:rFonts w:eastAsia="Times New Roman" w:cs="Times New Roman"/>
                <w:b/>
                <w:bCs/>
                <w:color w:val="000000"/>
                <w:sz w:val="20"/>
                <w:szCs w:val="20"/>
                <w:lang w:val="cs-CZ" w:eastAsia="cs-CZ"/>
              </w:rPr>
              <w:t>Podpora na produkci</w:t>
            </w:r>
          </w:p>
        </w:tc>
        <w:tc>
          <w:tcPr>
            <w:tcW w:w="1559" w:type="dxa"/>
            <w:tcBorders>
              <w:top w:val="single" w:sz="4" w:space="0" w:color="auto"/>
              <w:left w:val="nil"/>
              <w:bottom w:val="single" w:sz="4" w:space="0" w:color="auto"/>
              <w:right w:val="single" w:sz="4" w:space="0" w:color="auto"/>
            </w:tcBorders>
            <w:shd w:val="clear" w:color="auto" w:fill="auto"/>
            <w:vAlign w:val="bottom"/>
            <w:hideMark/>
          </w:tcPr>
          <w:p w14:paraId="72FD7C73" w14:textId="77777777" w:rsidR="00A16DDB" w:rsidRPr="00F9624D" w:rsidRDefault="00A16DDB" w:rsidP="007A627A">
            <w:pPr>
              <w:jc w:val="center"/>
              <w:rPr>
                <w:rFonts w:eastAsia="Times New Roman" w:cs="Times New Roman"/>
                <w:b/>
                <w:bCs/>
                <w:color w:val="000000"/>
                <w:sz w:val="20"/>
                <w:szCs w:val="20"/>
                <w:lang w:val="cs-CZ" w:eastAsia="cs-CZ"/>
              </w:rPr>
            </w:pPr>
            <w:r w:rsidRPr="00F9624D">
              <w:rPr>
                <w:rFonts w:eastAsia="Times New Roman" w:cs="Times New Roman"/>
                <w:b/>
                <w:bCs/>
                <w:color w:val="000000"/>
                <w:sz w:val="20"/>
                <w:szCs w:val="20"/>
                <w:lang w:val="cs-CZ" w:eastAsia="cs-CZ"/>
              </w:rPr>
              <w:t>Užitkovost</w:t>
            </w:r>
          </w:p>
        </w:tc>
        <w:tc>
          <w:tcPr>
            <w:tcW w:w="1417" w:type="dxa"/>
            <w:tcBorders>
              <w:top w:val="single" w:sz="4" w:space="0" w:color="auto"/>
              <w:left w:val="nil"/>
              <w:bottom w:val="single" w:sz="4" w:space="0" w:color="auto"/>
              <w:right w:val="single" w:sz="4" w:space="0" w:color="auto"/>
            </w:tcBorders>
            <w:shd w:val="clear" w:color="auto" w:fill="auto"/>
            <w:vAlign w:val="bottom"/>
            <w:hideMark/>
          </w:tcPr>
          <w:p w14:paraId="019C351A" w14:textId="77777777" w:rsidR="00A16DDB" w:rsidRPr="00F9624D" w:rsidRDefault="00A16DDB" w:rsidP="007A627A">
            <w:pPr>
              <w:jc w:val="center"/>
              <w:rPr>
                <w:rFonts w:eastAsia="Times New Roman" w:cs="Times New Roman"/>
                <w:b/>
                <w:bCs/>
                <w:color w:val="000000"/>
                <w:sz w:val="20"/>
                <w:szCs w:val="20"/>
                <w:lang w:val="cs-CZ" w:eastAsia="cs-CZ"/>
              </w:rPr>
            </w:pPr>
            <w:r w:rsidRPr="00F9624D">
              <w:rPr>
                <w:rFonts w:eastAsia="Times New Roman" w:cs="Times New Roman"/>
                <w:b/>
                <w:bCs/>
                <w:color w:val="000000"/>
                <w:sz w:val="20"/>
                <w:szCs w:val="20"/>
                <w:lang w:val="cs-CZ" w:eastAsia="cs-CZ"/>
              </w:rPr>
              <w:t>Podpora na nosnici</w:t>
            </w:r>
          </w:p>
        </w:tc>
      </w:tr>
      <w:tr w:rsidR="00A16DDB" w:rsidRPr="00F9624D" w14:paraId="4E1125B5" w14:textId="77777777" w:rsidTr="007A627A">
        <w:trPr>
          <w:trHeight w:val="300"/>
        </w:trPr>
        <w:tc>
          <w:tcPr>
            <w:tcW w:w="1340" w:type="dxa"/>
            <w:tcBorders>
              <w:top w:val="nil"/>
              <w:left w:val="single" w:sz="4" w:space="0" w:color="auto"/>
              <w:bottom w:val="single" w:sz="4" w:space="0" w:color="auto"/>
              <w:right w:val="single" w:sz="4" w:space="0" w:color="auto"/>
            </w:tcBorders>
          </w:tcPr>
          <w:p w14:paraId="08A50360" w14:textId="77777777" w:rsidR="00A16DDB" w:rsidRPr="00F9624D" w:rsidRDefault="00A16DDB" w:rsidP="007A627A">
            <w:pPr>
              <w:jc w:val="center"/>
              <w:rPr>
                <w:rFonts w:eastAsia="Times New Roman" w:cs="Times New Roman"/>
                <w:color w:val="000000"/>
                <w:sz w:val="20"/>
                <w:szCs w:val="20"/>
                <w:lang w:val="cs-CZ" w:eastAsia="cs-CZ"/>
              </w:rPr>
            </w:pPr>
          </w:p>
        </w:tc>
        <w:tc>
          <w:tcPr>
            <w:tcW w:w="1774" w:type="dxa"/>
            <w:tcBorders>
              <w:top w:val="nil"/>
              <w:left w:val="single" w:sz="4" w:space="0" w:color="auto"/>
              <w:bottom w:val="single" w:sz="4" w:space="0" w:color="auto"/>
              <w:right w:val="single" w:sz="4" w:space="0" w:color="auto"/>
            </w:tcBorders>
            <w:shd w:val="clear" w:color="auto" w:fill="auto"/>
            <w:vAlign w:val="bottom"/>
            <w:hideMark/>
          </w:tcPr>
          <w:p w14:paraId="3D7F3DC3" w14:textId="77777777" w:rsidR="00A16DDB" w:rsidRPr="00F9624D" w:rsidRDefault="00A16DDB" w:rsidP="007A627A">
            <w:pPr>
              <w:jc w:val="center"/>
              <w:rPr>
                <w:rFonts w:eastAsia="Times New Roman" w:cs="Times New Roman"/>
                <w:b/>
                <w:bCs/>
                <w:color w:val="000000"/>
                <w:sz w:val="20"/>
                <w:szCs w:val="20"/>
                <w:lang w:val="cs-CZ" w:eastAsia="cs-CZ"/>
              </w:rPr>
            </w:pPr>
            <w:r w:rsidRPr="00F9624D">
              <w:rPr>
                <w:rFonts w:eastAsia="Times New Roman" w:cs="Times New Roman"/>
                <w:b/>
                <w:bCs/>
                <w:color w:val="000000"/>
                <w:sz w:val="20"/>
                <w:szCs w:val="20"/>
                <w:lang w:val="cs-CZ" w:eastAsia="cs-CZ"/>
              </w:rPr>
              <w:t>Kč</w:t>
            </w:r>
          </w:p>
        </w:tc>
        <w:tc>
          <w:tcPr>
            <w:tcW w:w="1559" w:type="dxa"/>
            <w:tcBorders>
              <w:top w:val="nil"/>
              <w:left w:val="nil"/>
              <w:bottom w:val="single" w:sz="4" w:space="0" w:color="auto"/>
              <w:right w:val="single" w:sz="4" w:space="0" w:color="auto"/>
            </w:tcBorders>
            <w:shd w:val="clear" w:color="auto" w:fill="auto"/>
            <w:vAlign w:val="bottom"/>
            <w:hideMark/>
          </w:tcPr>
          <w:p w14:paraId="55712B0B" w14:textId="77777777" w:rsidR="00A16DDB" w:rsidRPr="00F9624D" w:rsidRDefault="00A16DDB" w:rsidP="007A627A">
            <w:pPr>
              <w:jc w:val="center"/>
              <w:rPr>
                <w:rFonts w:eastAsia="Times New Roman" w:cs="Times New Roman"/>
                <w:b/>
                <w:bCs/>
                <w:color w:val="000000"/>
                <w:sz w:val="20"/>
                <w:szCs w:val="20"/>
                <w:lang w:val="cs-CZ" w:eastAsia="cs-CZ"/>
              </w:rPr>
            </w:pPr>
            <w:r w:rsidRPr="00F9624D">
              <w:rPr>
                <w:rFonts w:eastAsia="Times New Roman" w:cs="Times New Roman"/>
                <w:b/>
                <w:bCs/>
                <w:color w:val="000000"/>
                <w:sz w:val="20"/>
                <w:szCs w:val="20"/>
                <w:lang w:val="cs-CZ" w:eastAsia="cs-CZ"/>
              </w:rPr>
              <w:t>ks</w:t>
            </w:r>
          </w:p>
        </w:tc>
        <w:tc>
          <w:tcPr>
            <w:tcW w:w="1418" w:type="dxa"/>
            <w:tcBorders>
              <w:top w:val="nil"/>
              <w:left w:val="nil"/>
              <w:bottom w:val="single" w:sz="4" w:space="0" w:color="auto"/>
              <w:right w:val="single" w:sz="4" w:space="0" w:color="auto"/>
            </w:tcBorders>
            <w:shd w:val="clear" w:color="auto" w:fill="auto"/>
            <w:vAlign w:val="bottom"/>
            <w:hideMark/>
          </w:tcPr>
          <w:p w14:paraId="718D3097" w14:textId="77777777" w:rsidR="00A16DDB" w:rsidRPr="00F9624D" w:rsidRDefault="00A16DDB" w:rsidP="007A627A">
            <w:pPr>
              <w:jc w:val="center"/>
              <w:rPr>
                <w:rFonts w:eastAsia="Times New Roman" w:cs="Times New Roman"/>
                <w:b/>
                <w:bCs/>
                <w:color w:val="000000"/>
                <w:sz w:val="20"/>
                <w:szCs w:val="20"/>
                <w:lang w:val="cs-CZ" w:eastAsia="cs-CZ"/>
              </w:rPr>
            </w:pPr>
            <w:r w:rsidRPr="00F9624D">
              <w:rPr>
                <w:rFonts w:eastAsia="Times New Roman" w:cs="Times New Roman"/>
                <w:b/>
                <w:bCs/>
                <w:color w:val="000000"/>
                <w:sz w:val="20"/>
                <w:szCs w:val="20"/>
                <w:lang w:val="cs-CZ" w:eastAsia="cs-CZ"/>
              </w:rPr>
              <w:t>Kč/ks</w:t>
            </w:r>
          </w:p>
        </w:tc>
        <w:tc>
          <w:tcPr>
            <w:tcW w:w="1559" w:type="dxa"/>
            <w:tcBorders>
              <w:top w:val="nil"/>
              <w:left w:val="nil"/>
              <w:bottom w:val="single" w:sz="4" w:space="0" w:color="auto"/>
              <w:right w:val="single" w:sz="4" w:space="0" w:color="auto"/>
            </w:tcBorders>
            <w:shd w:val="clear" w:color="auto" w:fill="auto"/>
            <w:vAlign w:val="bottom"/>
            <w:hideMark/>
          </w:tcPr>
          <w:p w14:paraId="508E0AC3" w14:textId="77777777" w:rsidR="00A16DDB" w:rsidRPr="00F9624D" w:rsidRDefault="00A16DDB" w:rsidP="007A627A">
            <w:pPr>
              <w:jc w:val="center"/>
              <w:rPr>
                <w:rFonts w:eastAsia="Times New Roman" w:cs="Times New Roman"/>
                <w:b/>
                <w:bCs/>
                <w:color w:val="000000"/>
                <w:sz w:val="20"/>
                <w:szCs w:val="20"/>
                <w:lang w:val="cs-CZ" w:eastAsia="cs-CZ"/>
              </w:rPr>
            </w:pPr>
            <w:r w:rsidRPr="00F9624D">
              <w:rPr>
                <w:rFonts w:eastAsia="Times New Roman" w:cs="Times New Roman"/>
                <w:b/>
                <w:bCs/>
                <w:color w:val="000000"/>
                <w:sz w:val="20"/>
                <w:szCs w:val="20"/>
                <w:lang w:val="cs-CZ" w:eastAsia="cs-CZ"/>
              </w:rPr>
              <w:t>ks/nosnice</w:t>
            </w:r>
          </w:p>
        </w:tc>
        <w:tc>
          <w:tcPr>
            <w:tcW w:w="1417" w:type="dxa"/>
            <w:tcBorders>
              <w:top w:val="nil"/>
              <w:left w:val="nil"/>
              <w:bottom w:val="single" w:sz="4" w:space="0" w:color="auto"/>
              <w:right w:val="single" w:sz="4" w:space="0" w:color="auto"/>
            </w:tcBorders>
            <w:shd w:val="clear" w:color="auto" w:fill="auto"/>
            <w:vAlign w:val="bottom"/>
            <w:hideMark/>
          </w:tcPr>
          <w:p w14:paraId="743FC90E" w14:textId="77777777" w:rsidR="00A16DDB" w:rsidRPr="00F9624D" w:rsidRDefault="00A16DDB" w:rsidP="007A627A">
            <w:pPr>
              <w:jc w:val="center"/>
              <w:rPr>
                <w:rFonts w:eastAsia="Times New Roman" w:cs="Times New Roman"/>
                <w:b/>
                <w:bCs/>
                <w:color w:val="000000"/>
                <w:sz w:val="20"/>
                <w:szCs w:val="20"/>
                <w:lang w:val="cs-CZ" w:eastAsia="cs-CZ"/>
              </w:rPr>
            </w:pPr>
            <w:r w:rsidRPr="00F9624D">
              <w:rPr>
                <w:rFonts w:eastAsia="Times New Roman" w:cs="Times New Roman"/>
                <w:b/>
                <w:bCs/>
                <w:color w:val="000000"/>
                <w:sz w:val="20"/>
                <w:szCs w:val="20"/>
                <w:lang w:val="cs-CZ" w:eastAsia="cs-CZ"/>
              </w:rPr>
              <w:t>Kč/nosnice</w:t>
            </w:r>
          </w:p>
        </w:tc>
      </w:tr>
      <w:tr w:rsidR="00A16DDB" w:rsidRPr="00F9624D" w14:paraId="7A6E0D6B" w14:textId="77777777" w:rsidTr="007A627A">
        <w:trPr>
          <w:trHeight w:val="300"/>
        </w:trPr>
        <w:tc>
          <w:tcPr>
            <w:tcW w:w="1340" w:type="dxa"/>
            <w:tcBorders>
              <w:top w:val="nil"/>
              <w:left w:val="single" w:sz="4" w:space="0" w:color="auto"/>
              <w:bottom w:val="single" w:sz="4" w:space="0" w:color="auto"/>
              <w:right w:val="single" w:sz="4" w:space="0" w:color="auto"/>
            </w:tcBorders>
            <w:shd w:val="clear" w:color="auto" w:fill="auto"/>
            <w:vAlign w:val="bottom"/>
          </w:tcPr>
          <w:p w14:paraId="02E061E8"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cs="Times New Roman"/>
                <w:color w:val="000000"/>
                <w:sz w:val="20"/>
                <w:szCs w:val="20"/>
                <w:lang w:val="cs-CZ"/>
              </w:rPr>
              <w:t>2012</w:t>
            </w:r>
          </w:p>
        </w:tc>
        <w:tc>
          <w:tcPr>
            <w:tcW w:w="1774" w:type="dxa"/>
            <w:tcBorders>
              <w:top w:val="nil"/>
              <w:left w:val="single" w:sz="4" w:space="0" w:color="auto"/>
              <w:bottom w:val="single" w:sz="4" w:space="0" w:color="auto"/>
              <w:right w:val="single" w:sz="4" w:space="0" w:color="auto"/>
            </w:tcBorders>
            <w:shd w:val="clear" w:color="auto" w:fill="auto"/>
            <w:noWrap/>
            <w:vAlign w:val="bottom"/>
            <w:hideMark/>
          </w:tcPr>
          <w:p w14:paraId="7518A9E4"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21 431 000</w:t>
            </w:r>
          </w:p>
        </w:tc>
        <w:tc>
          <w:tcPr>
            <w:tcW w:w="1559" w:type="dxa"/>
            <w:tcBorders>
              <w:top w:val="nil"/>
              <w:left w:val="nil"/>
              <w:bottom w:val="single" w:sz="4" w:space="0" w:color="auto"/>
              <w:right w:val="single" w:sz="4" w:space="0" w:color="auto"/>
            </w:tcBorders>
            <w:shd w:val="clear" w:color="auto" w:fill="auto"/>
            <w:noWrap/>
            <w:vAlign w:val="bottom"/>
            <w:hideMark/>
          </w:tcPr>
          <w:p w14:paraId="4E3A7AE7" w14:textId="77777777" w:rsidR="00A16DDB" w:rsidRPr="00F9624D" w:rsidRDefault="00A16DDB" w:rsidP="007A627A">
            <w:pPr>
              <w:jc w:val="right"/>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1 149 508 000</w:t>
            </w:r>
          </w:p>
        </w:tc>
        <w:tc>
          <w:tcPr>
            <w:tcW w:w="1418" w:type="dxa"/>
            <w:tcBorders>
              <w:top w:val="nil"/>
              <w:left w:val="nil"/>
              <w:bottom w:val="single" w:sz="4" w:space="0" w:color="auto"/>
              <w:right w:val="single" w:sz="4" w:space="0" w:color="auto"/>
            </w:tcBorders>
            <w:shd w:val="clear" w:color="auto" w:fill="auto"/>
            <w:noWrap/>
            <w:vAlign w:val="bottom"/>
            <w:hideMark/>
          </w:tcPr>
          <w:p w14:paraId="3489D00D"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0,02</w:t>
            </w:r>
          </w:p>
        </w:tc>
        <w:tc>
          <w:tcPr>
            <w:tcW w:w="1559" w:type="dxa"/>
            <w:tcBorders>
              <w:top w:val="nil"/>
              <w:left w:val="nil"/>
              <w:bottom w:val="single" w:sz="4" w:space="0" w:color="auto"/>
              <w:right w:val="single" w:sz="4" w:space="0" w:color="auto"/>
            </w:tcBorders>
            <w:shd w:val="clear" w:color="auto" w:fill="auto"/>
            <w:noWrap/>
            <w:vAlign w:val="bottom"/>
            <w:hideMark/>
          </w:tcPr>
          <w:p w14:paraId="25FF5E49"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298,30</w:t>
            </w:r>
          </w:p>
        </w:tc>
        <w:tc>
          <w:tcPr>
            <w:tcW w:w="1417" w:type="dxa"/>
            <w:tcBorders>
              <w:top w:val="nil"/>
              <w:left w:val="nil"/>
              <w:bottom w:val="single" w:sz="4" w:space="0" w:color="auto"/>
              <w:right w:val="single" w:sz="4" w:space="0" w:color="auto"/>
            </w:tcBorders>
            <w:shd w:val="clear" w:color="auto" w:fill="auto"/>
            <w:noWrap/>
            <w:vAlign w:val="bottom"/>
            <w:hideMark/>
          </w:tcPr>
          <w:p w14:paraId="50D0EF02"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5,56</w:t>
            </w:r>
          </w:p>
        </w:tc>
      </w:tr>
      <w:tr w:rsidR="00A16DDB" w:rsidRPr="00F9624D" w14:paraId="58BA8032" w14:textId="77777777" w:rsidTr="007A627A">
        <w:trPr>
          <w:trHeight w:val="302"/>
        </w:trPr>
        <w:tc>
          <w:tcPr>
            <w:tcW w:w="1340" w:type="dxa"/>
            <w:tcBorders>
              <w:top w:val="nil"/>
              <w:left w:val="single" w:sz="4" w:space="0" w:color="auto"/>
              <w:bottom w:val="single" w:sz="4" w:space="0" w:color="auto"/>
              <w:right w:val="single" w:sz="4" w:space="0" w:color="auto"/>
            </w:tcBorders>
            <w:shd w:val="clear" w:color="auto" w:fill="auto"/>
            <w:vAlign w:val="bottom"/>
          </w:tcPr>
          <w:p w14:paraId="6B05BF13"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cs="Times New Roman"/>
                <w:color w:val="000000"/>
                <w:sz w:val="20"/>
                <w:szCs w:val="20"/>
                <w:lang w:val="cs-CZ"/>
              </w:rPr>
              <w:t>2013</w:t>
            </w:r>
          </w:p>
        </w:tc>
        <w:tc>
          <w:tcPr>
            <w:tcW w:w="1774" w:type="dxa"/>
            <w:tcBorders>
              <w:top w:val="nil"/>
              <w:left w:val="single" w:sz="4" w:space="0" w:color="auto"/>
              <w:bottom w:val="single" w:sz="4" w:space="0" w:color="auto"/>
              <w:right w:val="single" w:sz="4" w:space="0" w:color="auto"/>
            </w:tcBorders>
            <w:shd w:val="clear" w:color="auto" w:fill="auto"/>
            <w:noWrap/>
            <w:vAlign w:val="bottom"/>
            <w:hideMark/>
          </w:tcPr>
          <w:p w14:paraId="568029D2"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27 404 463</w:t>
            </w:r>
          </w:p>
        </w:tc>
        <w:tc>
          <w:tcPr>
            <w:tcW w:w="1559" w:type="dxa"/>
            <w:tcBorders>
              <w:top w:val="nil"/>
              <w:left w:val="nil"/>
              <w:bottom w:val="single" w:sz="4" w:space="0" w:color="auto"/>
              <w:right w:val="single" w:sz="4" w:space="0" w:color="auto"/>
            </w:tcBorders>
            <w:shd w:val="clear" w:color="auto" w:fill="auto"/>
            <w:noWrap/>
            <w:vAlign w:val="bottom"/>
            <w:hideMark/>
          </w:tcPr>
          <w:p w14:paraId="0DD1491D" w14:textId="77777777" w:rsidR="00A16DDB" w:rsidRPr="00F9624D" w:rsidRDefault="00A16DDB" w:rsidP="007A627A">
            <w:pPr>
              <w:jc w:val="right"/>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1 233 466 000</w:t>
            </w:r>
          </w:p>
        </w:tc>
        <w:tc>
          <w:tcPr>
            <w:tcW w:w="1418" w:type="dxa"/>
            <w:tcBorders>
              <w:top w:val="nil"/>
              <w:left w:val="nil"/>
              <w:bottom w:val="single" w:sz="4" w:space="0" w:color="auto"/>
              <w:right w:val="single" w:sz="4" w:space="0" w:color="auto"/>
            </w:tcBorders>
            <w:shd w:val="clear" w:color="auto" w:fill="auto"/>
            <w:noWrap/>
            <w:vAlign w:val="bottom"/>
            <w:hideMark/>
          </w:tcPr>
          <w:p w14:paraId="30EE9FA0"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0,02</w:t>
            </w:r>
          </w:p>
        </w:tc>
        <w:tc>
          <w:tcPr>
            <w:tcW w:w="1559" w:type="dxa"/>
            <w:tcBorders>
              <w:top w:val="nil"/>
              <w:left w:val="nil"/>
              <w:bottom w:val="single" w:sz="4" w:space="0" w:color="auto"/>
              <w:right w:val="single" w:sz="4" w:space="0" w:color="auto"/>
            </w:tcBorders>
            <w:shd w:val="clear" w:color="auto" w:fill="auto"/>
            <w:noWrap/>
            <w:vAlign w:val="bottom"/>
            <w:hideMark/>
          </w:tcPr>
          <w:p w14:paraId="4D6E788B"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299,30</w:t>
            </w:r>
          </w:p>
        </w:tc>
        <w:tc>
          <w:tcPr>
            <w:tcW w:w="1417" w:type="dxa"/>
            <w:tcBorders>
              <w:top w:val="nil"/>
              <w:left w:val="nil"/>
              <w:bottom w:val="single" w:sz="4" w:space="0" w:color="auto"/>
              <w:right w:val="single" w:sz="4" w:space="0" w:color="auto"/>
            </w:tcBorders>
            <w:shd w:val="clear" w:color="auto" w:fill="auto"/>
            <w:noWrap/>
            <w:vAlign w:val="bottom"/>
            <w:hideMark/>
          </w:tcPr>
          <w:p w14:paraId="221347E9"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6,65</w:t>
            </w:r>
          </w:p>
        </w:tc>
      </w:tr>
      <w:tr w:rsidR="00A16DDB" w:rsidRPr="00F9624D" w14:paraId="7D076A43" w14:textId="77777777" w:rsidTr="007A627A">
        <w:trPr>
          <w:trHeight w:val="278"/>
        </w:trPr>
        <w:tc>
          <w:tcPr>
            <w:tcW w:w="1340" w:type="dxa"/>
            <w:tcBorders>
              <w:top w:val="nil"/>
              <w:left w:val="single" w:sz="4" w:space="0" w:color="auto"/>
              <w:bottom w:val="single" w:sz="4" w:space="0" w:color="auto"/>
              <w:right w:val="single" w:sz="4" w:space="0" w:color="auto"/>
            </w:tcBorders>
            <w:shd w:val="clear" w:color="auto" w:fill="auto"/>
            <w:vAlign w:val="bottom"/>
          </w:tcPr>
          <w:p w14:paraId="05D4F41B"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cs="Times New Roman"/>
                <w:color w:val="000000"/>
                <w:sz w:val="20"/>
                <w:szCs w:val="20"/>
                <w:lang w:val="cs-CZ"/>
              </w:rPr>
              <w:t>2014</w:t>
            </w:r>
          </w:p>
        </w:tc>
        <w:tc>
          <w:tcPr>
            <w:tcW w:w="1774" w:type="dxa"/>
            <w:tcBorders>
              <w:top w:val="nil"/>
              <w:left w:val="single" w:sz="4" w:space="0" w:color="auto"/>
              <w:bottom w:val="single" w:sz="4" w:space="0" w:color="auto"/>
              <w:right w:val="single" w:sz="4" w:space="0" w:color="auto"/>
            </w:tcBorders>
            <w:shd w:val="clear" w:color="auto" w:fill="auto"/>
            <w:noWrap/>
            <w:vAlign w:val="bottom"/>
            <w:hideMark/>
          </w:tcPr>
          <w:p w14:paraId="55A55F89"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52 226 811</w:t>
            </w:r>
          </w:p>
        </w:tc>
        <w:tc>
          <w:tcPr>
            <w:tcW w:w="1559" w:type="dxa"/>
            <w:tcBorders>
              <w:top w:val="nil"/>
              <w:left w:val="nil"/>
              <w:bottom w:val="single" w:sz="4" w:space="0" w:color="auto"/>
              <w:right w:val="single" w:sz="4" w:space="0" w:color="auto"/>
            </w:tcBorders>
            <w:shd w:val="clear" w:color="auto" w:fill="auto"/>
            <w:noWrap/>
            <w:vAlign w:val="bottom"/>
            <w:hideMark/>
          </w:tcPr>
          <w:p w14:paraId="444EFFA8" w14:textId="77777777" w:rsidR="00A16DDB" w:rsidRPr="00F9624D" w:rsidRDefault="00A16DDB" w:rsidP="007A627A">
            <w:pPr>
              <w:jc w:val="right"/>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1 294 452 000</w:t>
            </w:r>
          </w:p>
        </w:tc>
        <w:tc>
          <w:tcPr>
            <w:tcW w:w="1418" w:type="dxa"/>
            <w:tcBorders>
              <w:top w:val="nil"/>
              <w:left w:val="nil"/>
              <w:bottom w:val="single" w:sz="4" w:space="0" w:color="auto"/>
              <w:right w:val="single" w:sz="4" w:space="0" w:color="auto"/>
            </w:tcBorders>
            <w:shd w:val="clear" w:color="auto" w:fill="auto"/>
            <w:noWrap/>
            <w:vAlign w:val="bottom"/>
            <w:hideMark/>
          </w:tcPr>
          <w:p w14:paraId="25B2B7A9"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0,04</w:t>
            </w:r>
          </w:p>
        </w:tc>
        <w:tc>
          <w:tcPr>
            <w:tcW w:w="1559" w:type="dxa"/>
            <w:tcBorders>
              <w:top w:val="nil"/>
              <w:left w:val="nil"/>
              <w:bottom w:val="single" w:sz="4" w:space="0" w:color="auto"/>
              <w:right w:val="single" w:sz="4" w:space="0" w:color="auto"/>
            </w:tcBorders>
            <w:shd w:val="clear" w:color="auto" w:fill="auto"/>
            <w:noWrap/>
            <w:vAlign w:val="bottom"/>
            <w:hideMark/>
          </w:tcPr>
          <w:p w14:paraId="543C89E3"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301,10</w:t>
            </w:r>
          </w:p>
        </w:tc>
        <w:tc>
          <w:tcPr>
            <w:tcW w:w="1417" w:type="dxa"/>
            <w:tcBorders>
              <w:top w:val="nil"/>
              <w:left w:val="nil"/>
              <w:bottom w:val="single" w:sz="4" w:space="0" w:color="auto"/>
              <w:right w:val="single" w:sz="4" w:space="0" w:color="auto"/>
            </w:tcBorders>
            <w:shd w:val="clear" w:color="auto" w:fill="auto"/>
            <w:noWrap/>
            <w:vAlign w:val="bottom"/>
            <w:hideMark/>
          </w:tcPr>
          <w:p w14:paraId="3182ABD9"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12,15</w:t>
            </w:r>
          </w:p>
        </w:tc>
      </w:tr>
      <w:tr w:rsidR="00A16DDB" w:rsidRPr="00F9624D" w14:paraId="13264A3B" w14:textId="77777777" w:rsidTr="007A627A">
        <w:trPr>
          <w:trHeight w:val="282"/>
        </w:trPr>
        <w:tc>
          <w:tcPr>
            <w:tcW w:w="1340" w:type="dxa"/>
            <w:tcBorders>
              <w:top w:val="nil"/>
              <w:left w:val="single" w:sz="4" w:space="0" w:color="auto"/>
              <w:bottom w:val="single" w:sz="4" w:space="0" w:color="auto"/>
              <w:right w:val="single" w:sz="4" w:space="0" w:color="auto"/>
            </w:tcBorders>
            <w:shd w:val="clear" w:color="auto" w:fill="auto"/>
            <w:vAlign w:val="bottom"/>
          </w:tcPr>
          <w:p w14:paraId="208482A7"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cs="Times New Roman"/>
                <w:color w:val="000000"/>
                <w:sz w:val="20"/>
                <w:szCs w:val="20"/>
                <w:lang w:val="cs-CZ"/>
              </w:rPr>
              <w:t>2015</w:t>
            </w:r>
          </w:p>
        </w:tc>
        <w:tc>
          <w:tcPr>
            <w:tcW w:w="1774" w:type="dxa"/>
            <w:tcBorders>
              <w:top w:val="nil"/>
              <w:left w:val="single" w:sz="4" w:space="0" w:color="auto"/>
              <w:bottom w:val="single" w:sz="4" w:space="0" w:color="auto"/>
              <w:right w:val="single" w:sz="4" w:space="0" w:color="auto"/>
            </w:tcBorders>
            <w:shd w:val="clear" w:color="auto" w:fill="auto"/>
            <w:noWrap/>
            <w:vAlign w:val="bottom"/>
            <w:hideMark/>
          </w:tcPr>
          <w:p w14:paraId="16951351"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57 095 229</w:t>
            </w:r>
          </w:p>
        </w:tc>
        <w:tc>
          <w:tcPr>
            <w:tcW w:w="1559" w:type="dxa"/>
            <w:tcBorders>
              <w:top w:val="nil"/>
              <w:left w:val="nil"/>
              <w:bottom w:val="single" w:sz="4" w:space="0" w:color="auto"/>
              <w:right w:val="single" w:sz="4" w:space="0" w:color="auto"/>
            </w:tcBorders>
            <w:shd w:val="clear" w:color="auto" w:fill="auto"/>
            <w:noWrap/>
            <w:vAlign w:val="bottom"/>
            <w:hideMark/>
          </w:tcPr>
          <w:p w14:paraId="7012CB50" w14:textId="77777777" w:rsidR="00A16DDB" w:rsidRPr="00F9624D" w:rsidRDefault="00A16DDB" w:rsidP="007A627A">
            <w:pPr>
              <w:jc w:val="right"/>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1 245 744 000</w:t>
            </w:r>
          </w:p>
        </w:tc>
        <w:tc>
          <w:tcPr>
            <w:tcW w:w="1418" w:type="dxa"/>
            <w:tcBorders>
              <w:top w:val="nil"/>
              <w:left w:val="nil"/>
              <w:bottom w:val="single" w:sz="4" w:space="0" w:color="auto"/>
              <w:right w:val="single" w:sz="4" w:space="0" w:color="auto"/>
            </w:tcBorders>
            <w:shd w:val="clear" w:color="auto" w:fill="auto"/>
            <w:noWrap/>
            <w:vAlign w:val="bottom"/>
            <w:hideMark/>
          </w:tcPr>
          <w:p w14:paraId="1C0EA171"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0,05</w:t>
            </w:r>
          </w:p>
        </w:tc>
        <w:tc>
          <w:tcPr>
            <w:tcW w:w="1559" w:type="dxa"/>
            <w:tcBorders>
              <w:top w:val="nil"/>
              <w:left w:val="nil"/>
              <w:bottom w:val="single" w:sz="4" w:space="0" w:color="auto"/>
              <w:right w:val="single" w:sz="4" w:space="0" w:color="auto"/>
            </w:tcBorders>
            <w:shd w:val="clear" w:color="auto" w:fill="auto"/>
            <w:noWrap/>
            <w:vAlign w:val="bottom"/>
            <w:hideMark/>
          </w:tcPr>
          <w:p w14:paraId="78543CBF"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301,10</w:t>
            </w:r>
          </w:p>
        </w:tc>
        <w:tc>
          <w:tcPr>
            <w:tcW w:w="1417" w:type="dxa"/>
            <w:tcBorders>
              <w:top w:val="nil"/>
              <w:left w:val="nil"/>
              <w:bottom w:val="single" w:sz="4" w:space="0" w:color="auto"/>
              <w:right w:val="single" w:sz="4" w:space="0" w:color="auto"/>
            </w:tcBorders>
            <w:shd w:val="clear" w:color="auto" w:fill="auto"/>
            <w:noWrap/>
            <w:vAlign w:val="bottom"/>
            <w:hideMark/>
          </w:tcPr>
          <w:p w14:paraId="52AB5D47"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13,80</w:t>
            </w:r>
          </w:p>
        </w:tc>
      </w:tr>
      <w:tr w:rsidR="00A16DDB" w:rsidRPr="00F9624D" w14:paraId="11D06315" w14:textId="77777777" w:rsidTr="007A627A">
        <w:trPr>
          <w:trHeight w:val="300"/>
        </w:trPr>
        <w:tc>
          <w:tcPr>
            <w:tcW w:w="1340" w:type="dxa"/>
            <w:tcBorders>
              <w:top w:val="nil"/>
              <w:left w:val="single" w:sz="4" w:space="0" w:color="auto"/>
              <w:bottom w:val="single" w:sz="4" w:space="0" w:color="auto"/>
              <w:right w:val="single" w:sz="4" w:space="0" w:color="auto"/>
            </w:tcBorders>
            <w:shd w:val="clear" w:color="auto" w:fill="auto"/>
            <w:vAlign w:val="bottom"/>
          </w:tcPr>
          <w:p w14:paraId="3EFA8051"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cs="Times New Roman"/>
                <w:color w:val="000000"/>
                <w:sz w:val="20"/>
                <w:szCs w:val="20"/>
                <w:lang w:val="cs-CZ"/>
              </w:rPr>
              <w:t>2016</w:t>
            </w:r>
          </w:p>
        </w:tc>
        <w:tc>
          <w:tcPr>
            <w:tcW w:w="1774" w:type="dxa"/>
            <w:tcBorders>
              <w:top w:val="nil"/>
              <w:left w:val="single" w:sz="4" w:space="0" w:color="auto"/>
              <w:bottom w:val="single" w:sz="4" w:space="0" w:color="auto"/>
              <w:right w:val="single" w:sz="4" w:space="0" w:color="auto"/>
            </w:tcBorders>
            <w:shd w:val="clear" w:color="auto" w:fill="auto"/>
            <w:noWrap/>
            <w:vAlign w:val="bottom"/>
            <w:hideMark/>
          </w:tcPr>
          <w:p w14:paraId="2B1976D3"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67 079 825</w:t>
            </w:r>
          </w:p>
        </w:tc>
        <w:tc>
          <w:tcPr>
            <w:tcW w:w="1559" w:type="dxa"/>
            <w:tcBorders>
              <w:top w:val="nil"/>
              <w:left w:val="nil"/>
              <w:bottom w:val="single" w:sz="4" w:space="0" w:color="auto"/>
              <w:right w:val="single" w:sz="4" w:space="0" w:color="auto"/>
            </w:tcBorders>
            <w:shd w:val="clear" w:color="auto" w:fill="auto"/>
            <w:noWrap/>
            <w:vAlign w:val="bottom"/>
            <w:hideMark/>
          </w:tcPr>
          <w:p w14:paraId="0AF03680" w14:textId="77777777" w:rsidR="00A16DDB" w:rsidRPr="00F9624D" w:rsidRDefault="00A16DDB" w:rsidP="007A627A">
            <w:pPr>
              <w:jc w:val="right"/>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1 313 555 000</w:t>
            </w:r>
          </w:p>
        </w:tc>
        <w:tc>
          <w:tcPr>
            <w:tcW w:w="1418" w:type="dxa"/>
            <w:tcBorders>
              <w:top w:val="nil"/>
              <w:left w:val="nil"/>
              <w:bottom w:val="single" w:sz="4" w:space="0" w:color="auto"/>
              <w:right w:val="single" w:sz="4" w:space="0" w:color="auto"/>
            </w:tcBorders>
            <w:shd w:val="clear" w:color="auto" w:fill="auto"/>
            <w:noWrap/>
            <w:vAlign w:val="bottom"/>
            <w:hideMark/>
          </w:tcPr>
          <w:p w14:paraId="3C6788AB"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0,05</w:t>
            </w:r>
          </w:p>
        </w:tc>
        <w:tc>
          <w:tcPr>
            <w:tcW w:w="1559" w:type="dxa"/>
            <w:tcBorders>
              <w:top w:val="nil"/>
              <w:left w:val="nil"/>
              <w:bottom w:val="single" w:sz="4" w:space="0" w:color="auto"/>
              <w:right w:val="single" w:sz="4" w:space="0" w:color="auto"/>
            </w:tcBorders>
            <w:shd w:val="clear" w:color="auto" w:fill="auto"/>
            <w:noWrap/>
            <w:vAlign w:val="bottom"/>
            <w:hideMark/>
          </w:tcPr>
          <w:p w14:paraId="6AF2DC7D"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302,10</w:t>
            </w:r>
          </w:p>
        </w:tc>
        <w:tc>
          <w:tcPr>
            <w:tcW w:w="1417" w:type="dxa"/>
            <w:tcBorders>
              <w:top w:val="nil"/>
              <w:left w:val="nil"/>
              <w:bottom w:val="single" w:sz="4" w:space="0" w:color="auto"/>
              <w:right w:val="single" w:sz="4" w:space="0" w:color="auto"/>
            </w:tcBorders>
            <w:shd w:val="clear" w:color="auto" w:fill="auto"/>
            <w:noWrap/>
            <w:vAlign w:val="bottom"/>
            <w:hideMark/>
          </w:tcPr>
          <w:p w14:paraId="0201957C"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15,43</w:t>
            </w:r>
          </w:p>
        </w:tc>
      </w:tr>
      <w:tr w:rsidR="00A16DDB" w:rsidRPr="00F9624D" w14:paraId="697B8289" w14:textId="77777777" w:rsidTr="007A627A">
        <w:trPr>
          <w:trHeight w:val="300"/>
        </w:trPr>
        <w:tc>
          <w:tcPr>
            <w:tcW w:w="1340" w:type="dxa"/>
            <w:tcBorders>
              <w:top w:val="nil"/>
              <w:left w:val="single" w:sz="4" w:space="0" w:color="auto"/>
              <w:bottom w:val="single" w:sz="4" w:space="0" w:color="auto"/>
              <w:right w:val="single" w:sz="4" w:space="0" w:color="auto"/>
            </w:tcBorders>
            <w:shd w:val="clear" w:color="auto" w:fill="auto"/>
            <w:vAlign w:val="bottom"/>
          </w:tcPr>
          <w:p w14:paraId="0275D67B"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cs="Times New Roman"/>
                <w:color w:val="000000"/>
                <w:sz w:val="20"/>
                <w:szCs w:val="20"/>
                <w:lang w:val="cs-CZ"/>
              </w:rPr>
              <w:t>2017</w:t>
            </w:r>
          </w:p>
        </w:tc>
        <w:tc>
          <w:tcPr>
            <w:tcW w:w="1774" w:type="dxa"/>
            <w:tcBorders>
              <w:top w:val="nil"/>
              <w:left w:val="single" w:sz="4" w:space="0" w:color="auto"/>
              <w:bottom w:val="single" w:sz="4" w:space="0" w:color="auto"/>
              <w:right w:val="single" w:sz="4" w:space="0" w:color="auto"/>
            </w:tcBorders>
            <w:shd w:val="clear" w:color="auto" w:fill="auto"/>
            <w:noWrap/>
            <w:vAlign w:val="bottom"/>
            <w:hideMark/>
          </w:tcPr>
          <w:p w14:paraId="7DB1D97D"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97 733 388</w:t>
            </w:r>
          </w:p>
        </w:tc>
        <w:tc>
          <w:tcPr>
            <w:tcW w:w="1559" w:type="dxa"/>
            <w:tcBorders>
              <w:top w:val="nil"/>
              <w:left w:val="nil"/>
              <w:bottom w:val="single" w:sz="4" w:space="0" w:color="auto"/>
              <w:right w:val="single" w:sz="4" w:space="0" w:color="auto"/>
            </w:tcBorders>
            <w:shd w:val="clear" w:color="auto" w:fill="auto"/>
            <w:noWrap/>
            <w:vAlign w:val="bottom"/>
            <w:hideMark/>
          </w:tcPr>
          <w:p w14:paraId="2AF18215" w14:textId="77777777" w:rsidR="00A16DDB" w:rsidRPr="00F9624D" w:rsidRDefault="00A16DDB" w:rsidP="007A627A">
            <w:pPr>
              <w:jc w:val="right"/>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1 468 936 000</w:t>
            </w:r>
          </w:p>
        </w:tc>
        <w:tc>
          <w:tcPr>
            <w:tcW w:w="1418" w:type="dxa"/>
            <w:tcBorders>
              <w:top w:val="nil"/>
              <w:left w:val="nil"/>
              <w:bottom w:val="single" w:sz="4" w:space="0" w:color="auto"/>
              <w:right w:val="single" w:sz="4" w:space="0" w:color="auto"/>
            </w:tcBorders>
            <w:shd w:val="clear" w:color="auto" w:fill="auto"/>
            <w:noWrap/>
            <w:vAlign w:val="bottom"/>
            <w:hideMark/>
          </w:tcPr>
          <w:p w14:paraId="0E1818CD"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0,07</w:t>
            </w:r>
          </w:p>
        </w:tc>
        <w:tc>
          <w:tcPr>
            <w:tcW w:w="1559" w:type="dxa"/>
            <w:tcBorders>
              <w:top w:val="nil"/>
              <w:left w:val="nil"/>
              <w:bottom w:val="single" w:sz="4" w:space="0" w:color="auto"/>
              <w:right w:val="single" w:sz="4" w:space="0" w:color="auto"/>
            </w:tcBorders>
            <w:shd w:val="clear" w:color="auto" w:fill="auto"/>
            <w:noWrap/>
            <w:vAlign w:val="bottom"/>
            <w:hideMark/>
          </w:tcPr>
          <w:p w14:paraId="4D7C3AA7"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309,00</w:t>
            </w:r>
          </w:p>
        </w:tc>
        <w:tc>
          <w:tcPr>
            <w:tcW w:w="1417" w:type="dxa"/>
            <w:tcBorders>
              <w:top w:val="nil"/>
              <w:left w:val="nil"/>
              <w:bottom w:val="single" w:sz="4" w:space="0" w:color="auto"/>
              <w:right w:val="single" w:sz="4" w:space="0" w:color="auto"/>
            </w:tcBorders>
            <w:shd w:val="clear" w:color="auto" w:fill="auto"/>
            <w:noWrap/>
            <w:vAlign w:val="bottom"/>
            <w:hideMark/>
          </w:tcPr>
          <w:p w14:paraId="31E2EBC4"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20,56</w:t>
            </w:r>
          </w:p>
        </w:tc>
      </w:tr>
      <w:tr w:rsidR="00A16DDB" w:rsidRPr="00F9624D" w14:paraId="4A387E94" w14:textId="77777777" w:rsidTr="007A627A">
        <w:trPr>
          <w:trHeight w:val="300"/>
        </w:trPr>
        <w:tc>
          <w:tcPr>
            <w:tcW w:w="1340" w:type="dxa"/>
            <w:tcBorders>
              <w:top w:val="nil"/>
              <w:left w:val="single" w:sz="4" w:space="0" w:color="auto"/>
              <w:bottom w:val="single" w:sz="4" w:space="0" w:color="auto"/>
              <w:right w:val="single" w:sz="4" w:space="0" w:color="auto"/>
            </w:tcBorders>
            <w:shd w:val="clear" w:color="auto" w:fill="auto"/>
            <w:vAlign w:val="bottom"/>
          </w:tcPr>
          <w:p w14:paraId="424BB4C9"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cs="Times New Roman"/>
                <w:color w:val="000000"/>
                <w:sz w:val="20"/>
                <w:szCs w:val="20"/>
                <w:lang w:val="cs-CZ"/>
              </w:rPr>
              <w:t>2018</w:t>
            </w:r>
          </w:p>
        </w:tc>
        <w:tc>
          <w:tcPr>
            <w:tcW w:w="1774" w:type="dxa"/>
            <w:tcBorders>
              <w:top w:val="nil"/>
              <w:left w:val="single" w:sz="4" w:space="0" w:color="auto"/>
              <w:bottom w:val="single" w:sz="4" w:space="0" w:color="auto"/>
              <w:right w:val="single" w:sz="4" w:space="0" w:color="auto"/>
            </w:tcBorders>
            <w:shd w:val="clear" w:color="auto" w:fill="auto"/>
            <w:noWrap/>
            <w:vAlign w:val="bottom"/>
            <w:hideMark/>
          </w:tcPr>
          <w:p w14:paraId="6D6355E3"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121 502 000</w:t>
            </w:r>
          </w:p>
        </w:tc>
        <w:tc>
          <w:tcPr>
            <w:tcW w:w="1559" w:type="dxa"/>
            <w:tcBorders>
              <w:top w:val="nil"/>
              <w:left w:val="nil"/>
              <w:bottom w:val="single" w:sz="4" w:space="0" w:color="auto"/>
              <w:right w:val="single" w:sz="4" w:space="0" w:color="auto"/>
            </w:tcBorders>
            <w:shd w:val="clear" w:color="auto" w:fill="auto"/>
            <w:noWrap/>
            <w:vAlign w:val="bottom"/>
            <w:hideMark/>
          </w:tcPr>
          <w:p w14:paraId="16E2E1A0" w14:textId="77777777" w:rsidR="00A16DDB" w:rsidRPr="00F9624D" w:rsidRDefault="00A16DDB" w:rsidP="007A627A">
            <w:pPr>
              <w:jc w:val="right"/>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1 522 290 000</w:t>
            </w:r>
          </w:p>
        </w:tc>
        <w:tc>
          <w:tcPr>
            <w:tcW w:w="1418" w:type="dxa"/>
            <w:tcBorders>
              <w:top w:val="nil"/>
              <w:left w:val="nil"/>
              <w:bottom w:val="single" w:sz="4" w:space="0" w:color="auto"/>
              <w:right w:val="single" w:sz="4" w:space="0" w:color="auto"/>
            </w:tcBorders>
            <w:shd w:val="clear" w:color="auto" w:fill="auto"/>
            <w:noWrap/>
            <w:vAlign w:val="bottom"/>
            <w:hideMark/>
          </w:tcPr>
          <w:p w14:paraId="18F669DB"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0,08</w:t>
            </w:r>
          </w:p>
        </w:tc>
        <w:tc>
          <w:tcPr>
            <w:tcW w:w="1559" w:type="dxa"/>
            <w:tcBorders>
              <w:top w:val="nil"/>
              <w:left w:val="nil"/>
              <w:bottom w:val="single" w:sz="4" w:space="0" w:color="auto"/>
              <w:right w:val="single" w:sz="4" w:space="0" w:color="auto"/>
            </w:tcBorders>
            <w:shd w:val="clear" w:color="auto" w:fill="auto"/>
            <w:noWrap/>
            <w:vAlign w:val="bottom"/>
            <w:hideMark/>
          </w:tcPr>
          <w:p w14:paraId="4047A8E9"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309,70</w:t>
            </w:r>
          </w:p>
        </w:tc>
        <w:tc>
          <w:tcPr>
            <w:tcW w:w="1417" w:type="dxa"/>
            <w:tcBorders>
              <w:top w:val="nil"/>
              <w:left w:val="nil"/>
              <w:bottom w:val="single" w:sz="4" w:space="0" w:color="auto"/>
              <w:right w:val="single" w:sz="4" w:space="0" w:color="auto"/>
            </w:tcBorders>
            <w:shd w:val="clear" w:color="auto" w:fill="auto"/>
            <w:noWrap/>
            <w:vAlign w:val="bottom"/>
            <w:hideMark/>
          </w:tcPr>
          <w:p w14:paraId="1827CEE2"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24,72</w:t>
            </w:r>
          </w:p>
        </w:tc>
      </w:tr>
      <w:tr w:rsidR="00A16DDB" w:rsidRPr="00F9624D" w14:paraId="5A5697CF" w14:textId="77777777" w:rsidTr="007A627A">
        <w:trPr>
          <w:trHeight w:val="300"/>
        </w:trPr>
        <w:tc>
          <w:tcPr>
            <w:tcW w:w="1340" w:type="dxa"/>
            <w:tcBorders>
              <w:top w:val="single" w:sz="4" w:space="0" w:color="auto"/>
              <w:left w:val="single" w:sz="4" w:space="0" w:color="auto"/>
              <w:bottom w:val="single" w:sz="4" w:space="0" w:color="auto"/>
              <w:right w:val="single" w:sz="4" w:space="0" w:color="auto"/>
            </w:tcBorders>
            <w:shd w:val="clear" w:color="auto" w:fill="auto"/>
            <w:vAlign w:val="bottom"/>
          </w:tcPr>
          <w:p w14:paraId="745CE2BB" w14:textId="77777777" w:rsidR="00A16DDB" w:rsidRPr="00F9624D" w:rsidRDefault="00A16DDB" w:rsidP="007A627A">
            <w:pPr>
              <w:jc w:val="center"/>
              <w:rPr>
                <w:rFonts w:cs="Times New Roman"/>
                <w:color w:val="000000"/>
                <w:sz w:val="20"/>
                <w:szCs w:val="20"/>
                <w:lang w:val="cs-CZ"/>
              </w:rPr>
            </w:pPr>
            <w:r w:rsidRPr="00F9624D">
              <w:rPr>
                <w:rFonts w:cs="Times New Roman"/>
                <w:color w:val="000000"/>
                <w:sz w:val="20"/>
                <w:szCs w:val="20"/>
                <w:lang w:val="cs-CZ"/>
              </w:rPr>
              <w:t>2019</w:t>
            </w:r>
          </w:p>
        </w:tc>
        <w:tc>
          <w:tcPr>
            <w:tcW w:w="177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732083"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120 405 000</w:t>
            </w:r>
          </w:p>
        </w:tc>
        <w:tc>
          <w:tcPr>
            <w:tcW w:w="1559" w:type="dxa"/>
            <w:tcBorders>
              <w:top w:val="single" w:sz="4" w:space="0" w:color="auto"/>
              <w:left w:val="nil"/>
              <w:bottom w:val="single" w:sz="4" w:space="0" w:color="auto"/>
              <w:right w:val="single" w:sz="4" w:space="0" w:color="auto"/>
            </w:tcBorders>
            <w:shd w:val="clear" w:color="auto" w:fill="auto"/>
            <w:noWrap/>
            <w:vAlign w:val="bottom"/>
          </w:tcPr>
          <w:p w14:paraId="1DB30FBE" w14:textId="77777777" w:rsidR="00A16DDB" w:rsidRPr="00F9624D" w:rsidRDefault="00A16DDB" w:rsidP="007A627A">
            <w:pPr>
              <w:jc w:val="right"/>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1 608 924 000</w:t>
            </w:r>
          </w:p>
        </w:tc>
        <w:tc>
          <w:tcPr>
            <w:tcW w:w="1418" w:type="dxa"/>
            <w:tcBorders>
              <w:top w:val="single" w:sz="4" w:space="0" w:color="auto"/>
              <w:left w:val="nil"/>
              <w:bottom w:val="single" w:sz="4" w:space="0" w:color="auto"/>
              <w:right w:val="single" w:sz="4" w:space="0" w:color="auto"/>
            </w:tcBorders>
            <w:shd w:val="clear" w:color="auto" w:fill="auto"/>
            <w:noWrap/>
            <w:vAlign w:val="bottom"/>
          </w:tcPr>
          <w:p w14:paraId="796FB0CE"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0,07</w:t>
            </w:r>
          </w:p>
        </w:tc>
        <w:tc>
          <w:tcPr>
            <w:tcW w:w="1559" w:type="dxa"/>
            <w:tcBorders>
              <w:top w:val="single" w:sz="4" w:space="0" w:color="auto"/>
              <w:left w:val="nil"/>
              <w:bottom w:val="single" w:sz="4" w:space="0" w:color="auto"/>
              <w:right w:val="single" w:sz="4" w:space="0" w:color="auto"/>
            </w:tcBorders>
            <w:shd w:val="clear" w:color="auto" w:fill="auto"/>
            <w:noWrap/>
            <w:vAlign w:val="bottom"/>
          </w:tcPr>
          <w:p w14:paraId="4CDEC54C"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305,90</w:t>
            </w:r>
          </w:p>
        </w:tc>
        <w:tc>
          <w:tcPr>
            <w:tcW w:w="1417" w:type="dxa"/>
            <w:tcBorders>
              <w:top w:val="single" w:sz="4" w:space="0" w:color="auto"/>
              <w:left w:val="nil"/>
              <w:bottom w:val="single" w:sz="4" w:space="0" w:color="auto"/>
              <w:right w:val="single" w:sz="4" w:space="0" w:color="auto"/>
            </w:tcBorders>
            <w:shd w:val="clear" w:color="auto" w:fill="auto"/>
            <w:noWrap/>
            <w:vAlign w:val="bottom"/>
          </w:tcPr>
          <w:p w14:paraId="1943D532"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22,89</w:t>
            </w:r>
          </w:p>
        </w:tc>
      </w:tr>
      <w:tr w:rsidR="00A16DDB" w:rsidRPr="00F9624D" w14:paraId="4B846C8D" w14:textId="77777777" w:rsidTr="007A627A">
        <w:trPr>
          <w:trHeight w:val="300"/>
        </w:trPr>
        <w:tc>
          <w:tcPr>
            <w:tcW w:w="1340" w:type="dxa"/>
            <w:tcBorders>
              <w:top w:val="single" w:sz="4" w:space="0" w:color="auto"/>
              <w:left w:val="single" w:sz="4" w:space="0" w:color="auto"/>
              <w:bottom w:val="single" w:sz="4" w:space="0" w:color="auto"/>
              <w:right w:val="single" w:sz="4" w:space="0" w:color="auto"/>
            </w:tcBorders>
            <w:shd w:val="clear" w:color="auto" w:fill="auto"/>
            <w:vAlign w:val="bottom"/>
          </w:tcPr>
          <w:p w14:paraId="470AC654" w14:textId="77777777" w:rsidR="00A16DDB" w:rsidRPr="00F9624D" w:rsidRDefault="00A16DDB" w:rsidP="007A627A">
            <w:pPr>
              <w:jc w:val="center"/>
              <w:rPr>
                <w:rFonts w:cs="Times New Roman"/>
                <w:color w:val="000000"/>
                <w:sz w:val="20"/>
                <w:szCs w:val="20"/>
                <w:lang w:val="cs-CZ"/>
              </w:rPr>
            </w:pPr>
            <w:r w:rsidRPr="00F9624D">
              <w:rPr>
                <w:rFonts w:cs="Times New Roman"/>
                <w:color w:val="000000"/>
                <w:sz w:val="20"/>
                <w:szCs w:val="20"/>
                <w:lang w:val="cs-CZ"/>
              </w:rPr>
              <w:t>2020</w:t>
            </w:r>
          </w:p>
        </w:tc>
        <w:tc>
          <w:tcPr>
            <w:tcW w:w="177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674E19"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58 029 725</w:t>
            </w:r>
          </w:p>
        </w:tc>
        <w:tc>
          <w:tcPr>
            <w:tcW w:w="1559" w:type="dxa"/>
            <w:tcBorders>
              <w:top w:val="single" w:sz="4" w:space="0" w:color="auto"/>
              <w:left w:val="nil"/>
              <w:bottom w:val="single" w:sz="4" w:space="0" w:color="auto"/>
              <w:right w:val="single" w:sz="4" w:space="0" w:color="auto"/>
            </w:tcBorders>
            <w:shd w:val="clear" w:color="auto" w:fill="auto"/>
            <w:noWrap/>
            <w:vAlign w:val="bottom"/>
          </w:tcPr>
          <w:p w14:paraId="2D2BD6CC" w14:textId="77777777" w:rsidR="00A16DDB" w:rsidRPr="00F9624D" w:rsidRDefault="00A16DDB" w:rsidP="007A627A">
            <w:pPr>
              <w:jc w:val="right"/>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1 607 826 000</w:t>
            </w:r>
          </w:p>
        </w:tc>
        <w:tc>
          <w:tcPr>
            <w:tcW w:w="1418" w:type="dxa"/>
            <w:tcBorders>
              <w:top w:val="single" w:sz="4" w:space="0" w:color="auto"/>
              <w:left w:val="nil"/>
              <w:bottom w:val="single" w:sz="4" w:space="0" w:color="auto"/>
              <w:right w:val="single" w:sz="4" w:space="0" w:color="auto"/>
            </w:tcBorders>
            <w:shd w:val="clear" w:color="auto" w:fill="auto"/>
            <w:noWrap/>
            <w:vAlign w:val="bottom"/>
          </w:tcPr>
          <w:p w14:paraId="05DC0F0E"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0,04</w:t>
            </w:r>
          </w:p>
        </w:tc>
        <w:tc>
          <w:tcPr>
            <w:tcW w:w="1559" w:type="dxa"/>
            <w:tcBorders>
              <w:top w:val="single" w:sz="4" w:space="0" w:color="auto"/>
              <w:left w:val="nil"/>
              <w:bottom w:val="single" w:sz="4" w:space="0" w:color="auto"/>
              <w:right w:val="single" w:sz="4" w:space="0" w:color="auto"/>
            </w:tcBorders>
            <w:shd w:val="clear" w:color="auto" w:fill="auto"/>
            <w:noWrap/>
            <w:vAlign w:val="bottom"/>
          </w:tcPr>
          <w:p w14:paraId="663A2F60"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309,70</w:t>
            </w:r>
          </w:p>
        </w:tc>
        <w:tc>
          <w:tcPr>
            <w:tcW w:w="1417" w:type="dxa"/>
            <w:tcBorders>
              <w:top w:val="single" w:sz="4" w:space="0" w:color="auto"/>
              <w:left w:val="nil"/>
              <w:bottom w:val="single" w:sz="4" w:space="0" w:color="auto"/>
              <w:right w:val="single" w:sz="4" w:space="0" w:color="auto"/>
            </w:tcBorders>
            <w:shd w:val="clear" w:color="auto" w:fill="auto"/>
            <w:noWrap/>
            <w:vAlign w:val="bottom"/>
          </w:tcPr>
          <w:p w14:paraId="613864EB" w14:textId="77777777" w:rsidR="00A16DDB" w:rsidRPr="00F9624D" w:rsidRDefault="00A16DDB" w:rsidP="007A627A">
            <w:pPr>
              <w:jc w:val="center"/>
              <w:rPr>
                <w:rFonts w:eastAsia="Times New Roman" w:cs="Times New Roman"/>
                <w:color w:val="000000"/>
                <w:sz w:val="20"/>
                <w:szCs w:val="20"/>
                <w:lang w:val="cs-CZ" w:eastAsia="cs-CZ"/>
              </w:rPr>
            </w:pPr>
            <w:r w:rsidRPr="00F9624D">
              <w:rPr>
                <w:rFonts w:eastAsia="Times New Roman" w:cs="Times New Roman"/>
                <w:color w:val="000000"/>
                <w:sz w:val="20"/>
                <w:szCs w:val="20"/>
                <w:lang w:val="cs-CZ" w:eastAsia="cs-CZ"/>
              </w:rPr>
              <w:t>11,18</w:t>
            </w:r>
          </w:p>
        </w:tc>
      </w:tr>
    </w:tbl>
    <w:p w14:paraId="32454D9E" w14:textId="77777777" w:rsidR="00A16DDB" w:rsidRPr="00D95127" w:rsidRDefault="00A16DDB" w:rsidP="00F9624D">
      <w:pPr>
        <w:pStyle w:val="UZEIZdroj"/>
      </w:pPr>
      <w:r w:rsidRPr="00D95127">
        <w:t>Pramen: ÚZEI, vlastní výpočty</w:t>
      </w:r>
    </w:p>
    <w:p w14:paraId="27BF6B8F" w14:textId="3F4CA9EB" w:rsidR="00A16DDB" w:rsidRPr="00D95127" w:rsidRDefault="00A16DDB" w:rsidP="00F9624D">
      <w:pPr>
        <w:pStyle w:val="UZEINormaln"/>
      </w:pPr>
      <w:r w:rsidRPr="00D95127">
        <w:t>Výdaje SZP v rámci této podpory se každým rokem navyšovaly (</w:t>
      </w:r>
      <w:r w:rsidR="00CF2B9C">
        <w:fldChar w:fldCharType="begin"/>
      </w:r>
      <w:r w:rsidR="00CF2B9C">
        <w:instrText xml:space="preserve"> REF _Ref81735318 \r \h </w:instrText>
      </w:r>
      <w:r w:rsidR="00CF2B9C">
        <w:fldChar w:fldCharType="separate"/>
      </w:r>
      <w:r w:rsidR="00CF2B9C">
        <w:t>Tabulka 118</w:t>
      </w:r>
      <w:r w:rsidR="00CF2B9C">
        <w:fldChar w:fldCharType="end"/>
      </w:r>
      <w:r w:rsidRPr="00D95127">
        <w:t xml:space="preserve">), v roce 2018 podíl na celkové výši podpor na ks vejce činil 60 %. S růstem podpor roste i užitkovost a produkce vajec. Od roku 2018 se podpory začaly snižovat. V roce 2020 byla v rámci dotačního titulu vyplacena téměř dvakrát nižší částka podpory na nosnici v porovnání s předchozím rokem.  </w:t>
      </w:r>
    </w:p>
    <w:p w14:paraId="758E1986" w14:textId="77777777" w:rsidR="00A16DDB" w:rsidRPr="00D95127" w:rsidRDefault="00A16DDB" w:rsidP="00F9624D">
      <w:pPr>
        <w:pStyle w:val="UZEINormaln"/>
        <w:rPr>
          <w:rFonts w:cs="Times New Roman"/>
        </w:rPr>
      </w:pPr>
      <w:r w:rsidRPr="00D95127">
        <w:rPr>
          <w:rFonts w:cs="Times New Roman"/>
        </w:rPr>
        <w:t xml:space="preserve">Od roku 2017 významně přispívá výši příjmových podpor nově zavedený dotační titul 20.B. Zlepšení životních podmínek v chovu drůbeže, účelem, kterého je zajištění nadstandardní pohody drůbeže zlepšením jejího životního prostředí. </w:t>
      </w:r>
    </w:p>
    <w:p w14:paraId="67761BF1" w14:textId="77777777" w:rsidR="00A16DDB" w:rsidRPr="00D95127" w:rsidRDefault="00A16DDB" w:rsidP="00F9624D">
      <w:pPr>
        <w:pStyle w:val="UZEINormaln"/>
      </w:pPr>
      <w:r w:rsidRPr="00D95127">
        <w:t>Ve výhledu do roku 2030 lze očekávat stabilní užitkovost (jatečná hmotnost kuřete, snáška vajec) a růst nákladů při odhadované stabilizaci cen. Za předpokladu, že budou pokračovat ostatní stávající podpory, bude výkrm drůbeže a chov nosnic se započtením projektovaných podpor na hraně rentability.</w:t>
      </w:r>
    </w:p>
    <w:p w14:paraId="31719CB2" w14:textId="7437F3C1" w:rsidR="003E7A0A" w:rsidRDefault="00CF2B9C" w:rsidP="00CF2B9C">
      <w:pPr>
        <w:pStyle w:val="UZEITaB"/>
      </w:pPr>
      <w:bookmarkStart w:id="1140" w:name="_Toc81738547"/>
      <w:r w:rsidRPr="00D95127">
        <w:rPr>
          <w:rFonts w:cs="Times New Roman"/>
          <w:noProof/>
        </w:rPr>
        <w:drawing>
          <wp:anchor distT="0" distB="0" distL="114300" distR="114300" simplePos="0" relativeHeight="251659272" behindDoc="1" locked="0" layoutInCell="1" allowOverlap="1" wp14:anchorId="42F8F072" wp14:editId="30AB51E8">
            <wp:simplePos x="0" y="0"/>
            <wp:positionH relativeFrom="column">
              <wp:posOffset>13497</wp:posOffset>
            </wp:positionH>
            <wp:positionV relativeFrom="paragraph">
              <wp:posOffset>247069</wp:posOffset>
            </wp:positionV>
            <wp:extent cx="5659200" cy="1047600"/>
            <wp:effectExtent l="0" t="0" r="0" b="0"/>
            <wp:wrapTight wrapText="bothSides">
              <wp:wrapPolygon edited="0">
                <wp:start x="0" y="0"/>
                <wp:lineTo x="0" y="21220"/>
                <wp:lineTo x="21522" y="21220"/>
                <wp:lineTo x="21522" y="0"/>
                <wp:lineTo x="0" y="0"/>
              </wp:wrapPolygon>
            </wp:wrapTight>
            <wp:docPr id="168" name="Obrázek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659200" cy="1047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16DDB" w:rsidRPr="00D95127">
        <w:t>Ekonomika produk</w:t>
      </w:r>
      <w:r w:rsidRPr="00CF2B9C">
        <w:t xml:space="preserve"> </w:t>
      </w:r>
      <w:r w:rsidRPr="00D95127">
        <w:t>ce drůbežího masa v letech 2018 až 2020 s výhledem do roku 2</w:t>
      </w:r>
      <w:r w:rsidR="003E7A0A">
        <w:t>030</w:t>
      </w:r>
      <w:bookmarkEnd w:id="1140"/>
    </w:p>
    <w:p w14:paraId="524EC131" w14:textId="12718994" w:rsidR="00A16DDB" w:rsidRDefault="00A16DDB" w:rsidP="003E7A0A">
      <w:pPr>
        <w:pStyle w:val="UZEIZdroj"/>
      </w:pPr>
      <w:r w:rsidRPr="00CF2B9C">
        <w:t>Zdroj: Výběrové šetření nákladů a výnosů vybraných zemědělských komodit ÚZEI, vlastní výpočty</w:t>
      </w:r>
    </w:p>
    <w:p w14:paraId="2965BF34" w14:textId="77777777" w:rsidR="003E7A0A" w:rsidRPr="00D95127" w:rsidRDefault="003E7A0A" w:rsidP="003E7A0A">
      <w:pPr>
        <w:keepNext/>
        <w:rPr>
          <w:rFonts w:cs="Times New Roman"/>
          <w:i/>
          <w:sz w:val="20"/>
          <w:szCs w:val="20"/>
          <w:lang w:val="cs-CZ"/>
        </w:rPr>
      </w:pPr>
      <w:r w:rsidRPr="00D95127">
        <w:rPr>
          <w:rFonts w:cs="Times New Roman"/>
          <w:i/>
          <w:sz w:val="20"/>
          <w:szCs w:val="20"/>
          <w:lang w:val="cs-CZ"/>
        </w:rPr>
        <w:t>Pozn.: Způsob provedení predikce je uveden v příloze I.</w:t>
      </w:r>
    </w:p>
    <w:p w14:paraId="28B7AC9D" w14:textId="352A296B" w:rsidR="003E7A0A" w:rsidRDefault="003E7A0A" w:rsidP="003E7A0A">
      <w:pPr>
        <w:pStyle w:val="UZEIZdroj"/>
        <w:rPr>
          <w:rFonts w:cs="Arial"/>
        </w:rPr>
      </w:pPr>
    </w:p>
    <w:p w14:paraId="2D83ABB0" w14:textId="2F5E5329" w:rsidR="003E7A0A" w:rsidRDefault="003E7A0A" w:rsidP="003E7A0A">
      <w:pPr>
        <w:pStyle w:val="UZEIZdroj"/>
        <w:rPr>
          <w:rFonts w:cs="Arial"/>
        </w:rPr>
      </w:pPr>
    </w:p>
    <w:p w14:paraId="50A905AA" w14:textId="7F4B2651" w:rsidR="003E7A0A" w:rsidRDefault="003E7A0A" w:rsidP="003E7A0A">
      <w:pPr>
        <w:pStyle w:val="UZEIZdroj"/>
        <w:rPr>
          <w:rFonts w:cs="Arial"/>
        </w:rPr>
      </w:pPr>
    </w:p>
    <w:p w14:paraId="0109F049" w14:textId="7553C18F" w:rsidR="003E7A0A" w:rsidRDefault="003E7A0A" w:rsidP="003E7A0A">
      <w:pPr>
        <w:pStyle w:val="UZEIZdroj"/>
        <w:rPr>
          <w:rFonts w:cs="Arial"/>
        </w:rPr>
      </w:pPr>
    </w:p>
    <w:p w14:paraId="29358F20" w14:textId="06C08D87" w:rsidR="003E7A0A" w:rsidRDefault="003E7A0A" w:rsidP="003E7A0A">
      <w:pPr>
        <w:pStyle w:val="UZEIZdroj"/>
        <w:rPr>
          <w:rFonts w:cs="Arial"/>
        </w:rPr>
      </w:pPr>
    </w:p>
    <w:p w14:paraId="240231C9" w14:textId="033CB946" w:rsidR="003E7A0A" w:rsidRDefault="003E7A0A" w:rsidP="003E7A0A">
      <w:pPr>
        <w:pStyle w:val="UZEIZdroj"/>
        <w:rPr>
          <w:rFonts w:cs="Arial"/>
        </w:rPr>
      </w:pPr>
    </w:p>
    <w:p w14:paraId="4B9C7052" w14:textId="77777777" w:rsidR="003E7A0A" w:rsidRPr="00CF2B9C" w:rsidRDefault="003E7A0A" w:rsidP="003E7A0A">
      <w:pPr>
        <w:pStyle w:val="UZEIZdroj"/>
        <w:rPr>
          <w:rFonts w:cs="Arial"/>
        </w:rPr>
      </w:pPr>
    </w:p>
    <w:p w14:paraId="3272EE01" w14:textId="52698542" w:rsidR="00A16DDB" w:rsidRPr="00D95127" w:rsidRDefault="00A16DDB" w:rsidP="003E7A0A">
      <w:pPr>
        <w:pStyle w:val="UZEITaB"/>
        <w:ind w:left="1134" w:hanging="1134"/>
      </w:pPr>
      <w:bookmarkStart w:id="1141" w:name="_Toc81738548"/>
      <w:r w:rsidRPr="00D95127">
        <w:t>Ekonomika produkce vajec v letech 2018 až 2020 s výhledem do roku 2030</w:t>
      </w:r>
      <w:bookmarkEnd w:id="1141"/>
      <w:r w:rsidRPr="00D95127">
        <w:t xml:space="preserve"> </w:t>
      </w:r>
    </w:p>
    <w:p w14:paraId="7E21657D" w14:textId="77777777" w:rsidR="00A16DDB" w:rsidRPr="00D95127" w:rsidRDefault="00A16DDB" w:rsidP="00A16DDB">
      <w:pPr>
        <w:keepNext/>
        <w:rPr>
          <w:rFonts w:cs="Times New Roman"/>
          <w:szCs w:val="24"/>
          <w:u w:val="single"/>
          <w:lang w:val="cs-CZ"/>
        </w:rPr>
      </w:pPr>
      <w:r w:rsidRPr="00D95127">
        <w:rPr>
          <w:rFonts w:cs="Times New Roman"/>
          <w:noProof/>
          <w:lang w:val="cs-CZ"/>
        </w:rPr>
        <w:drawing>
          <wp:inline distT="0" distB="0" distL="0" distR="0" wp14:anchorId="729B3EFE" wp14:editId="48CC9A26">
            <wp:extent cx="5657850" cy="1047750"/>
            <wp:effectExtent l="0" t="0" r="0" b="0"/>
            <wp:docPr id="171" name="Obrázek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657850" cy="1047750"/>
                    </a:xfrm>
                    <a:prstGeom prst="rect">
                      <a:avLst/>
                    </a:prstGeom>
                    <a:noFill/>
                    <a:ln>
                      <a:noFill/>
                    </a:ln>
                  </pic:spPr>
                </pic:pic>
              </a:graphicData>
            </a:graphic>
          </wp:inline>
        </w:drawing>
      </w:r>
    </w:p>
    <w:p w14:paraId="623F7766" w14:textId="77777777" w:rsidR="00A16DDB" w:rsidRPr="00D95127" w:rsidRDefault="00A16DDB" w:rsidP="003E7A0A">
      <w:pPr>
        <w:pStyle w:val="UZEIZdroj"/>
      </w:pPr>
      <w:r w:rsidRPr="00D95127">
        <w:t>Zdroj: Výběrové šetření nákladů a výnosů vybraných zemědělských komodit ÚZEI, vlastní výpočty</w:t>
      </w:r>
    </w:p>
    <w:p w14:paraId="37D48229" w14:textId="77777777" w:rsidR="00A16DDB" w:rsidRPr="00D95127" w:rsidRDefault="00A16DDB" w:rsidP="003E7A0A">
      <w:pPr>
        <w:pStyle w:val="UZEIZdroj"/>
      </w:pPr>
      <w:r w:rsidRPr="00D95127">
        <w:t>Pozn.: Způsob provedení predikce je uveden v příloze I.</w:t>
      </w:r>
    </w:p>
    <w:p w14:paraId="6E922D44" w14:textId="77777777" w:rsidR="00A16DDB" w:rsidRPr="00D95127" w:rsidRDefault="00A16DDB" w:rsidP="00A16DDB">
      <w:pPr>
        <w:rPr>
          <w:rFonts w:cs="Times New Roman"/>
          <w:i/>
          <w:szCs w:val="24"/>
          <w:u w:val="single"/>
          <w:lang w:val="cs-CZ"/>
        </w:rPr>
      </w:pPr>
    </w:p>
    <w:p w14:paraId="78DF89C1" w14:textId="77777777" w:rsidR="00A16DDB" w:rsidRPr="00D95127" w:rsidRDefault="00A16DDB" w:rsidP="00A16DDB">
      <w:pPr>
        <w:ind w:firstLine="709"/>
        <w:rPr>
          <w:rFonts w:cs="Times New Roman"/>
          <w:szCs w:val="24"/>
          <w:lang w:val="cs-CZ"/>
        </w:rPr>
      </w:pPr>
    </w:p>
    <w:p w14:paraId="1B306DD6" w14:textId="77777777" w:rsidR="003E7A0A" w:rsidRDefault="003E7A0A">
      <w:pPr>
        <w:spacing w:after="160" w:line="259" w:lineRule="auto"/>
        <w:jc w:val="left"/>
        <w:rPr>
          <w:rFonts w:eastAsiaTheme="majorEastAsia" w:cs="Times New Roman"/>
          <w:b/>
          <w:bCs/>
          <w:sz w:val="28"/>
          <w:szCs w:val="32"/>
          <w:lang w:val="cs-CZ"/>
        </w:rPr>
      </w:pPr>
      <w:bookmarkStart w:id="1142" w:name="_Toc76137470"/>
      <w:bookmarkStart w:id="1143" w:name="_Toc76637669"/>
      <w:bookmarkStart w:id="1144" w:name="_Toc80953358"/>
      <w:r>
        <w:br w:type="page"/>
      </w:r>
    </w:p>
    <w:p w14:paraId="32B49B4A" w14:textId="4B8DD4FB" w:rsidR="00A16DDB" w:rsidRPr="00D95127" w:rsidRDefault="00A16DDB" w:rsidP="003E7A0A">
      <w:pPr>
        <w:pStyle w:val="Nadpis1"/>
      </w:pPr>
      <w:bookmarkStart w:id="1145" w:name="_Toc81739310"/>
      <w:r w:rsidRPr="00D95127">
        <w:t>Existence/neexistence možnosti efektivního řešení v rámci nástrojů SZP, které lze uvažovat v nových návrzích SZP</w:t>
      </w:r>
      <w:bookmarkEnd w:id="1142"/>
      <w:bookmarkEnd w:id="1143"/>
      <w:bookmarkEnd w:id="1144"/>
      <w:bookmarkEnd w:id="1145"/>
    </w:p>
    <w:p w14:paraId="55B62831" w14:textId="75AFAAD6" w:rsidR="00A16DDB" w:rsidRPr="00D95127" w:rsidRDefault="00A16DDB" w:rsidP="003E7A0A">
      <w:pPr>
        <w:pStyle w:val="UZEINormaln"/>
      </w:pPr>
      <w:r w:rsidRPr="00D95127">
        <w:t>Návrh řešení problémů a jejich příčin v celé škále provozních a strukturálních podpor je pro drůbeží maso uveden v rámci teorie změny v tabulce (</w:t>
      </w:r>
      <w:r w:rsidR="0059250E">
        <w:fldChar w:fldCharType="begin"/>
      </w:r>
      <w:r w:rsidR="0059250E">
        <w:instrText xml:space="preserve"> REF _Ref81735522 \r \h </w:instrText>
      </w:r>
      <w:r w:rsidR="0059250E">
        <w:fldChar w:fldCharType="separate"/>
      </w:r>
      <w:r w:rsidR="0059250E">
        <w:t>Tabulka 121</w:t>
      </w:r>
      <w:r w:rsidR="0059250E">
        <w:fldChar w:fldCharType="end"/>
      </w:r>
      <w:r w:rsidR="008935AC">
        <w:fldChar w:fldCharType="begin"/>
      </w:r>
      <w:r w:rsidR="008935AC">
        <w:instrText xml:space="preserve"> REF _Ref81735522 \r \h </w:instrText>
      </w:r>
      <w:r w:rsidR="008935AC">
        <w:fldChar w:fldCharType="separate"/>
      </w:r>
      <w:r w:rsidR="008935AC">
        <w:t>Tabulka 121</w:t>
      </w:r>
      <w:r w:rsidR="008935AC">
        <w:fldChar w:fldCharType="end"/>
      </w:r>
      <w:r w:rsidRPr="00D95127">
        <w:t>). Možnost využití cílů s vazbou na životní prostředí (d propagace, vývoj a zavádění metod produkce respektujících životní prostředí a normy v oblasti dobrých životních podmínek zvířat).  Režimy kvality (cíl f - zvyšování obchodní hodnoty a jakosti produktů…). Marketing (cíl g - propagace produktů). Řízení rizik (cíl h Prevence krizí a řízení rizik).</w:t>
      </w:r>
    </w:p>
    <w:p w14:paraId="4830D67D" w14:textId="0D61B48E" w:rsidR="00A16DDB" w:rsidRPr="00D95127" w:rsidRDefault="00A16DDB" w:rsidP="008935AC">
      <w:pPr>
        <w:pStyle w:val="UZEITaB"/>
        <w:ind w:left="1134" w:hanging="1134"/>
        <w:rPr>
          <w:u w:val="single"/>
        </w:rPr>
      </w:pPr>
      <w:bookmarkStart w:id="1146" w:name="_Ref81735522"/>
      <w:bookmarkStart w:id="1147" w:name="_Toc81738549"/>
      <w:r w:rsidRPr="00D95127">
        <w:rPr>
          <w:u w:val="single"/>
        </w:rPr>
        <w:t>Teorie změny - drůbeží maso</w:t>
      </w:r>
      <w:bookmarkEnd w:id="1146"/>
      <w:bookmarkEnd w:id="1147"/>
    </w:p>
    <w:tbl>
      <w:tblPr>
        <w:tblW w:w="5353" w:type="pct"/>
        <w:tblLayout w:type="fixed"/>
        <w:tblCellMar>
          <w:left w:w="70" w:type="dxa"/>
          <w:right w:w="70" w:type="dxa"/>
        </w:tblCellMar>
        <w:tblLook w:val="04A0" w:firstRow="1" w:lastRow="0" w:firstColumn="1" w:lastColumn="0" w:noHBand="0" w:noVBand="1"/>
      </w:tblPr>
      <w:tblGrid>
        <w:gridCol w:w="2351"/>
        <w:gridCol w:w="2357"/>
        <w:gridCol w:w="2055"/>
        <w:gridCol w:w="1706"/>
        <w:gridCol w:w="2398"/>
        <w:gridCol w:w="2051"/>
        <w:gridCol w:w="2051"/>
      </w:tblGrid>
      <w:tr w:rsidR="00A16DDB" w:rsidRPr="00D95127" w14:paraId="7B0B7CBA" w14:textId="77777777" w:rsidTr="008935AC">
        <w:trPr>
          <w:trHeight w:val="510"/>
        </w:trPr>
        <w:tc>
          <w:tcPr>
            <w:tcW w:w="785" w:type="pct"/>
            <w:tcBorders>
              <w:top w:val="single" w:sz="8" w:space="0" w:color="auto"/>
              <w:left w:val="single" w:sz="8" w:space="0" w:color="auto"/>
              <w:bottom w:val="nil"/>
              <w:right w:val="single" w:sz="8" w:space="0" w:color="auto"/>
            </w:tcBorders>
            <w:shd w:val="clear" w:color="auto" w:fill="auto"/>
            <w:vAlign w:val="center"/>
            <w:hideMark/>
          </w:tcPr>
          <w:p w14:paraId="14A14876" w14:textId="77777777" w:rsidR="00A16DDB" w:rsidRPr="00D95127" w:rsidRDefault="00A16DDB" w:rsidP="008935AC">
            <w:pPr>
              <w:keepNext/>
              <w:ind w:left="-342" w:firstLine="284"/>
              <w:jc w:val="center"/>
              <w:rPr>
                <w:rFonts w:cs="Times New Roman"/>
                <w:b/>
                <w:color w:val="000000"/>
                <w:sz w:val="20"/>
                <w:szCs w:val="20"/>
                <w:lang w:val="cs-CZ"/>
              </w:rPr>
            </w:pPr>
            <w:bookmarkStart w:id="1148" w:name="_Hlk22209203"/>
            <w:r w:rsidRPr="00D95127">
              <w:rPr>
                <w:rFonts w:cs="Times New Roman"/>
                <w:b/>
                <w:color w:val="000000"/>
                <w:sz w:val="20"/>
                <w:szCs w:val="20"/>
                <w:lang w:val="cs-CZ"/>
              </w:rPr>
              <w:t>Problém</w:t>
            </w:r>
          </w:p>
        </w:tc>
        <w:tc>
          <w:tcPr>
            <w:tcW w:w="787" w:type="pct"/>
            <w:tcBorders>
              <w:top w:val="single" w:sz="8" w:space="0" w:color="auto"/>
              <w:left w:val="nil"/>
              <w:bottom w:val="nil"/>
              <w:right w:val="single" w:sz="8" w:space="0" w:color="auto"/>
            </w:tcBorders>
            <w:shd w:val="clear" w:color="auto" w:fill="auto"/>
            <w:vAlign w:val="center"/>
            <w:hideMark/>
          </w:tcPr>
          <w:p w14:paraId="0A65A28C" w14:textId="77777777" w:rsidR="00A16DDB" w:rsidRPr="00D95127" w:rsidRDefault="00A16DDB" w:rsidP="008935AC">
            <w:pPr>
              <w:keepNext/>
              <w:jc w:val="center"/>
              <w:rPr>
                <w:rFonts w:cs="Times New Roman"/>
                <w:b/>
                <w:color w:val="000000"/>
                <w:sz w:val="20"/>
                <w:szCs w:val="20"/>
                <w:lang w:val="cs-CZ"/>
              </w:rPr>
            </w:pPr>
            <w:r w:rsidRPr="00D95127">
              <w:rPr>
                <w:rFonts w:cs="Times New Roman"/>
                <w:b/>
                <w:color w:val="000000"/>
                <w:sz w:val="20"/>
                <w:szCs w:val="20"/>
                <w:lang w:val="cs-CZ"/>
              </w:rPr>
              <w:t>Příčiny</w:t>
            </w:r>
          </w:p>
        </w:tc>
        <w:tc>
          <w:tcPr>
            <w:tcW w:w="686" w:type="pct"/>
            <w:tcBorders>
              <w:top w:val="single" w:sz="8" w:space="0" w:color="auto"/>
              <w:left w:val="nil"/>
              <w:bottom w:val="nil"/>
              <w:right w:val="single" w:sz="8" w:space="0" w:color="auto"/>
            </w:tcBorders>
            <w:shd w:val="clear" w:color="auto" w:fill="auto"/>
            <w:vAlign w:val="center"/>
            <w:hideMark/>
          </w:tcPr>
          <w:p w14:paraId="781999DE" w14:textId="77777777" w:rsidR="00A16DDB" w:rsidRPr="00D95127" w:rsidRDefault="00A16DDB" w:rsidP="008935AC">
            <w:pPr>
              <w:keepNext/>
              <w:jc w:val="center"/>
              <w:rPr>
                <w:rFonts w:cs="Times New Roman"/>
                <w:b/>
                <w:color w:val="000000"/>
                <w:sz w:val="20"/>
                <w:szCs w:val="20"/>
                <w:lang w:val="cs-CZ"/>
              </w:rPr>
            </w:pPr>
            <w:r w:rsidRPr="00D95127">
              <w:rPr>
                <w:rFonts w:cs="Times New Roman"/>
                <w:b/>
                <w:color w:val="000000"/>
                <w:sz w:val="20"/>
                <w:szCs w:val="20"/>
                <w:lang w:val="cs-CZ"/>
              </w:rPr>
              <w:t>Převládající chování/reakce zemědělců</w:t>
            </w:r>
          </w:p>
        </w:tc>
        <w:tc>
          <w:tcPr>
            <w:tcW w:w="570" w:type="pct"/>
            <w:tcBorders>
              <w:top w:val="single" w:sz="8" w:space="0" w:color="auto"/>
              <w:left w:val="nil"/>
              <w:bottom w:val="nil"/>
              <w:right w:val="single" w:sz="8" w:space="0" w:color="auto"/>
            </w:tcBorders>
            <w:shd w:val="clear" w:color="auto" w:fill="auto"/>
            <w:vAlign w:val="center"/>
            <w:hideMark/>
          </w:tcPr>
          <w:p w14:paraId="0930BEA8" w14:textId="77777777" w:rsidR="00A16DDB" w:rsidRPr="00D95127" w:rsidRDefault="00A16DDB" w:rsidP="008935AC">
            <w:pPr>
              <w:keepNext/>
              <w:jc w:val="center"/>
              <w:rPr>
                <w:rFonts w:cs="Times New Roman"/>
                <w:b/>
                <w:color w:val="000000"/>
                <w:sz w:val="20"/>
                <w:szCs w:val="20"/>
                <w:lang w:val="cs-CZ"/>
              </w:rPr>
            </w:pPr>
            <w:r w:rsidRPr="00D95127">
              <w:rPr>
                <w:rFonts w:cs="Times New Roman"/>
                <w:b/>
                <w:color w:val="000000"/>
                <w:sz w:val="20"/>
                <w:szCs w:val="20"/>
                <w:lang w:val="cs-CZ"/>
              </w:rPr>
              <w:t>Nutná změna</w:t>
            </w:r>
          </w:p>
        </w:tc>
        <w:tc>
          <w:tcPr>
            <w:tcW w:w="801" w:type="pct"/>
            <w:tcBorders>
              <w:top w:val="single" w:sz="8" w:space="0" w:color="auto"/>
              <w:left w:val="nil"/>
              <w:bottom w:val="nil"/>
              <w:right w:val="single" w:sz="8" w:space="0" w:color="auto"/>
            </w:tcBorders>
            <w:shd w:val="clear" w:color="auto" w:fill="auto"/>
            <w:vAlign w:val="center"/>
            <w:hideMark/>
          </w:tcPr>
          <w:p w14:paraId="2E0EE0D0" w14:textId="77777777" w:rsidR="00A16DDB" w:rsidRPr="00D95127" w:rsidRDefault="00A16DDB" w:rsidP="008935AC">
            <w:pPr>
              <w:keepNext/>
              <w:jc w:val="center"/>
              <w:rPr>
                <w:rFonts w:eastAsia="Times New Roman" w:cs="Times New Roman"/>
                <w:b/>
                <w:bCs/>
                <w:color w:val="000000"/>
                <w:sz w:val="20"/>
                <w:szCs w:val="20"/>
                <w:lang w:val="cs-CZ" w:eastAsia="cs-CZ"/>
              </w:rPr>
            </w:pPr>
            <w:r w:rsidRPr="00D95127">
              <w:rPr>
                <w:rFonts w:eastAsia="Times New Roman" w:cs="Times New Roman"/>
                <w:b/>
                <w:bCs/>
                <w:color w:val="000000"/>
                <w:sz w:val="20"/>
                <w:szCs w:val="20"/>
                <w:lang w:val="cs-CZ" w:eastAsia="cs-CZ"/>
              </w:rPr>
              <w:t>Kvantifikace</w:t>
            </w:r>
          </w:p>
        </w:tc>
        <w:tc>
          <w:tcPr>
            <w:tcW w:w="685" w:type="pct"/>
            <w:tcBorders>
              <w:top w:val="single" w:sz="8" w:space="0" w:color="auto"/>
              <w:left w:val="nil"/>
              <w:bottom w:val="nil"/>
              <w:right w:val="single" w:sz="8" w:space="0" w:color="auto"/>
            </w:tcBorders>
            <w:shd w:val="clear" w:color="auto" w:fill="auto"/>
            <w:vAlign w:val="center"/>
            <w:hideMark/>
          </w:tcPr>
          <w:p w14:paraId="0BD364BB" w14:textId="77777777" w:rsidR="00A16DDB" w:rsidRPr="00D95127" w:rsidRDefault="00A16DDB" w:rsidP="008935AC">
            <w:pPr>
              <w:keepNext/>
              <w:jc w:val="center"/>
              <w:rPr>
                <w:rFonts w:cs="Times New Roman"/>
                <w:b/>
                <w:color w:val="000000"/>
                <w:sz w:val="20"/>
                <w:szCs w:val="20"/>
                <w:lang w:val="cs-CZ"/>
              </w:rPr>
            </w:pPr>
            <w:r w:rsidRPr="00D95127">
              <w:rPr>
                <w:rFonts w:eastAsia="Times New Roman" w:cs="Times New Roman"/>
                <w:b/>
                <w:bCs/>
                <w:color w:val="000000"/>
                <w:sz w:val="20"/>
                <w:szCs w:val="20"/>
                <w:lang w:val="cs-CZ" w:eastAsia="cs-CZ"/>
              </w:rPr>
              <w:t>Typ</w:t>
            </w:r>
            <w:r w:rsidRPr="00D95127">
              <w:rPr>
                <w:rFonts w:cs="Times New Roman"/>
                <w:b/>
                <w:color w:val="000000"/>
                <w:sz w:val="20"/>
                <w:szCs w:val="20"/>
                <w:lang w:val="cs-CZ"/>
              </w:rPr>
              <w:t xml:space="preserve"> intervence</w:t>
            </w:r>
          </w:p>
        </w:tc>
        <w:tc>
          <w:tcPr>
            <w:tcW w:w="685" w:type="pct"/>
            <w:tcBorders>
              <w:top w:val="single" w:sz="8" w:space="0" w:color="auto"/>
              <w:left w:val="nil"/>
              <w:bottom w:val="nil"/>
              <w:right w:val="single" w:sz="8" w:space="0" w:color="auto"/>
            </w:tcBorders>
            <w:shd w:val="clear" w:color="auto" w:fill="auto"/>
            <w:vAlign w:val="center"/>
            <w:hideMark/>
          </w:tcPr>
          <w:p w14:paraId="47CC1341" w14:textId="77777777" w:rsidR="00A16DDB" w:rsidRPr="00D95127" w:rsidRDefault="00A16DDB" w:rsidP="008935AC">
            <w:pPr>
              <w:keepNext/>
              <w:jc w:val="center"/>
              <w:rPr>
                <w:rFonts w:cs="Times New Roman"/>
                <w:b/>
                <w:color w:val="000000"/>
                <w:sz w:val="20"/>
                <w:szCs w:val="20"/>
                <w:lang w:val="cs-CZ"/>
              </w:rPr>
            </w:pPr>
            <w:r w:rsidRPr="00D95127">
              <w:rPr>
                <w:rFonts w:cs="Times New Roman"/>
                <w:b/>
                <w:color w:val="000000"/>
                <w:sz w:val="20"/>
                <w:szCs w:val="20"/>
                <w:lang w:val="cs-CZ"/>
              </w:rPr>
              <w:t>Intervence</w:t>
            </w:r>
          </w:p>
        </w:tc>
      </w:tr>
      <w:tr w:rsidR="00A16DDB" w:rsidRPr="00D95127" w14:paraId="312FF65B" w14:textId="77777777" w:rsidTr="008935AC">
        <w:trPr>
          <w:trHeight w:val="780"/>
        </w:trPr>
        <w:tc>
          <w:tcPr>
            <w:tcW w:w="7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BCDCCB" w14:textId="77777777" w:rsidR="00A16DDB" w:rsidRPr="00D95127" w:rsidRDefault="00A16DDB" w:rsidP="008935AC">
            <w:pPr>
              <w:keepNext/>
              <w:jc w:val="left"/>
              <w:rPr>
                <w:rFonts w:cs="Times New Roman"/>
                <w:color w:val="000000"/>
                <w:sz w:val="20"/>
                <w:szCs w:val="20"/>
                <w:lang w:val="cs-CZ"/>
              </w:rPr>
            </w:pPr>
            <w:r w:rsidRPr="00D95127">
              <w:rPr>
                <w:rFonts w:cs="Times New Roman"/>
                <w:color w:val="000000"/>
                <w:sz w:val="20"/>
                <w:szCs w:val="20"/>
                <w:lang w:val="cs-CZ"/>
              </w:rPr>
              <w:t>Výroba je u velké skupiny výrobců (zejména malí a střední) nerentabilní. Index projevené komparativní výhody (RCA) vypovídá o nekonkurenceschopnosti odvětví drůbežího masa na mezinárodním trhu</w:t>
            </w:r>
            <w:r w:rsidRPr="00D95127">
              <w:rPr>
                <w:rFonts w:eastAsia="Times New Roman" w:cs="Times New Roman"/>
                <w:color w:val="000000"/>
                <w:sz w:val="20"/>
                <w:szCs w:val="20"/>
                <w:lang w:val="cs-CZ" w:eastAsia="cs-CZ"/>
              </w:rPr>
              <w:t xml:space="preserve"> (cca polovina drůbežího masa zkonzumovaného v ČR byla vyrobena v zahraničí).</w:t>
            </w:r>
          </w:p>
        </w:tc>
        <w:tc>
          <w:tcPr>
            <w:tcW w:w="787" w:type="pct"/>
            <w:tcBorders>
              <w:top w:val="single" w:sz="4" w:space="0" w:color="auto"/>
              <w:left w:val="nil"/>
              <w:bottom w:val="single" w:sz="4" w:space="0" w:color="auto"/>
              <w:right w:val="single" w:sz="4" w:space="0" w:color="auto"/>
            </w:tcBorders>
            <w:shd w:val="clear" w:color="auto" w:fill="auto"/>
            <w:vAlign w:val="center"/>
            <w:hideMark/>
          </w:tcPr>
          <w:p w14:paraId="226EF68B" w14:textId="77777777" w:rsidR="00A16DDB" w:rsidRPr="00D95127" w:rsidRDefault="00A16DDB" w:rsidP="008935AC">
            <w:pPr>
              <w:keepNext/>
              <w:jc w:val="center"/>
              <w:rPr>
                <w:rFonts w:cs="Times New Roman"/>
                <w:color w:val="000000"/>
                <w:sz w:val="20"/>
                <w:szCs w:val="20"/>
                <w:lang w:val="cs-CZ"/>
              </w:rPr>
            </w:pPr>
            <w:r w:rsidRPr="00D95127">
              <w:rPr>
                <w:rFonts w:cs="Times New Roman"/>
                <w:color w:val="000000"/>
                <w:sz w:val="20"/>
                <w:szCs w:val="20"/>
                <w:lang w:val="cs-CZ"/>
              </w:rPr>
              <w:t>Vysoké požadavky na chov vyplývající z veterinárních předpisů</w:t>
            </w:r>
          </w:p>
        </w:tc>
        <w:tc>
          <w:tcPr>
            <w:tcW w:w="686" w:type="pct"/>
            <w:tcBorders>
              <w:top w:val="single" w:sz="4" w:space="0" w:color="auto"/>
              <w:left w:val="nil"/>
              <w:bottom w:val="single" w:sz="4" w:space="0" w:color="auto"/>
              <w:right w:val="single" w:sz="4" w:space="0" w:color="auto"/>
            </w:tcBorders>
            <w:shd w:val="clear" w:color="auto" w:fill="auto"/>
            <w:vAlign w:val="center"/>
            <w:hideMark/>
          </w:tcPr>
          <w:p w14:paraId="15F4FF14" w14:textId="77777777" w:rsidR="00A16DDB" w:rsidRPr="00D95127" w:rsidRDefault="00A16DDB" w:rsidP="008935AC">
            <w:pPr>
              <w:keepNext/>
              <w:jc w:val="center"/>
              <w:rPr>
                <w:rFonts w:cs="Times New Roman"/>
                <w:color w:val="000000"/>
                <w:sz w:val="20"/>
                <w:szCs w:val="20"/>
                <w:lang w:val="cs-CZ"/>
              </w:rPr>
            </w:pPr>
            <w:r w:rsidRPr="00D95127">
              <w:rPr>
                <w:rFonts w:eastAsia="Times New Roman" w:cs="Times New Roman"/>
                <w:color w:val="000000"/>
                <w:sz w:val="20"/>
                <w:szCs w:val="20"/>
                <w:lang w:val="cs-CZ" w:eastAsia="cs-CZ"/>
              </w:rPr>
              <w:t>Přizpůsobují se.</w:t>
            </w:r>
          </w:p>
        </w:tc>
        <w:tc>
          <w:tcPr>
            <w:tcW w:w="570" w:type="pct"/>
            <w:tcBorders>
              <w:top w:val="single" w:sz="4" w:space="0" w:color="auto"/>
              <w:left w:val="nil"/>
              <w:bottom w:val="single" w:sz="4" w:space="0" w:color="auto"/>
              <w:right w:val="single" w:sz="4" w:space="0" w:color="auto"/>
            </w:tcBorders>
            <w:shd w:val="clear" w:color="auto" w:fill="auto"/>
            <w:vAlign w:val="center"/>
            <w:hideMark/>
          </w:tcPr>
          <w:p w14:paraId="72EA5ECE" w14:textId="77777777" w:rsidR="00A16DDB" w:rsidRPr="00D95127" w:rsidRDefault="00A16DDB" w:rsidP="008935AC">
            <w:pPr>
              <w:keepNext/>
              <w:jc w:val="center"/>
              <w:rPr>
                <w:rFonts w:cs="Times New Roman"/>
                <w:color w:val="0070C0"/>
                <w:sz w:val="20"/>
                <w:szCs w:val="20"/>
                <w:lang w:val="cs-CZ"/>
              </w:rPr>
            </w:pPr>
            <w:r w:rsidRPr="00D95127">
              <w:rPr>
                <w:rFonts w:eastAsia="Times New Roman" w:cs="Times New Roman"/>
                <w:color w:val="0070C0"/>
                <w:sz w:val="20"/>
                <w:szCs w:val="20"/>
                <w:lang w:val="cs-CZ" w:eastAsia="cs-CZ"/>
              </w:rPr>
              <w:t>vyrovnat požadavky napříč EU</w:t>
            </w:r>
          </w:p>
        </w:tc>
        <w:tc>
          <w:tcPr>
            <w:tcW w:w="801" w:type="pct"/>
            <w:tcBorders>
              <w:top w:val="single" w:sz="4" w:space="0" w:color="auto"/>
              <w:left w:val="nil"/>
              <w:bottom w:val="single" w:sz="4" w:space="0" w:color="auto"/>
              <w:right w:val="single" w:sz="4" w:space="0" w:color="auto"/>
            </w:tcBorders>
            <w:shd w:val="clear" w:color="auto" w:fill="auto"/>
            <w:vAlign w:val="center"/>
            <w:hideMark/>
          </w:tcPr>
          <w:p w14:paraId="2443FC0D" w14:textId="77777777" w:rsidR="00A16DDB" w:rsidRPr="00D95127" w:rsidRDefault="00A16DDB" w:rsidP="008935AC">
            <w:pPr>
              <w:keepNext/>
              <w:jc w:val="center"/>
              <w:rPr>
                <w:rFonts w:cs="Times New Roman"/>
                <w:color w:val="000000"/>
                <w:sz w:val="20"/>
                <w:szCs w:val="20"/>
                <w:lang w:val="cs-CZ"/>
              </w:rPr>
            </w:pPr>
            <w:r w:rsidRPr="00D95127">
              <w:rPr>
                <w:rFonts w:eastAsia="Times New Roman" w:cs="Times New Roman"/>
                <w:color w:val="000000"/>
                <w:sz w:val="20"/>
                <w:szCs w:val="20"/>
                <w:lang w:val="cs-CZ" w:eastAsia="cs-CZ"/>
              </w:rPr>
              <w:t>průřezově celý sektor</w:t>
            </w:r>
          </w:p>
        </w:tc>
        <w:tc>
          <w:tcPr>
            <w:tcW w:w="685" w:type="pct"/>
            <w:tcBorders>
              <w:top w:val="single" w:sz="4" w:space="0" w:color="auto"/>
              <w:left w:val="nil"/>
              <w:bottom w:val="single" w:sz="4" w:space="0" w:color="auto"/>
              <w:right w:val="single" w:sz="4" w:space="0" w:color="auto"/>
            </w:tcBorders>
            <w:shd w:val="clear" w:color="auto" w:fill="auto"/>
            <w:vAlign w:val="center"/>
            <w:hideMark/>
          </w:tcPr>
          <w:p w14:paraId="5F2931E6" w14:textId="491B3B25" w:rsidR="00A16DDB" w:rsidRPr="00D95127" w:rsidRDefault="00A16DDB" w:rsidP="008935AC">
            <w:pPr>
              <w:keepNext/>
              <w:jc w:val="center"/>
              <w:rPr>
                <w:rFonts w:cs="Times New Roman"/>
                <w:color w:val="000000"/>
                <w:sz w:val="20"/>
                <w:szCs w:val="20"/>
                <w:lang w:val="cs-CZ"/>
              </w:rPr>
            </w:pPr>
            <w:r w:rsidRPr="00D95127">
              <w:rPr>
                <w:rFonts w:eastAsia="Times New Roman" w:cs="Times New Roman"/>
                <w:color w:val="000000"/>
                <w:sz w:val="20"/>
                <w:szCs w:val="20"/>
                <w:lang w:val="cs-CZ" w:eastAsia="cs-CZ"/>
              </w:rPr>
              <w:t>2018/0216, Čl. 60, odst. 1.a)(vi), Čl. 64 a)</w:t>
            </w:r>
          </w:p>
        </w:tc>
        <w:tc>
          <w:tcPr>
            <w:tcW w:w="6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6C20B7" w14:textId="77777777" w:rsidR="00A16DDB" w:rsidRPr="00D95127" w:rsidRDefault="00A16DDB" w:rsidP="008935AC">
            <w:pPr>
              <w:keepNext/>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Platby na závazky hospodaření</w:t>
            </w:r>
          </w:p>
        </w:tc>
      </w:tr>
      <w:tr w:rsidR="00A16DDB" w:rsidRPr="00D95127" w14:paraId="32EE7557" w14:textId="77777777" w:rsidTr="008935AC">
        <w:trPr>
          <w:trHeight w:val="765"/>
        </w:trPr>
        <w:tc>
          <w:tcPr>
            <w:tcW w:w="785" w:type="pct"/>
            <w:tcBorders>
              <w:top w:val="single" w:sz="4" w:space="0" w:color="auto"/>
              <w:left w:val="single" w:sz="4" w:space="0" w:color="auto"/>
              <w:bottom w:val="single" w:sz="4" w:space="0" w:color="auto"/>
              <w:right w:val="single" w:sz="4" w:space="0" w:color="auto"/>
            </w:tcBorders>
            <w:vAlign w:val="center"/>
            <w:hideMark/>
          </w:tcPr>
          <w:p w14:paraId="180ACDCA" w14:textId="77777777" w:rsidR="00A16DDB" w:rsidRPr="00D95127" w:rsidRDefault="00A16DDB" w:rsidP="008935AC">
            <w:pPr>
              <w:jc w:val="left"/>
              <w:rPr>
                <w:rFonts w:cs="Times New Roman"/>
                <w:color w:val="000000"/>
                <w:sz w:val="20"/>
                <w:szCs w:val="20"/>
                <w:lang w:val="cs-CZ"/>
              </w:rPr>
            </w:pPr>
          </w:p>
        </w:tc>
        <w:tc>
          <w:tcPr>
            <w:tcW w:w="787" w:type="pct"/>
            <w:tcBorders>
              <w:top w:val="nil"/>
              <w:left w:val="nil"/>
              <w:bottom w:val="single" w:sz="4" w:space="0" w:color="auto"/>
              <w:right w:val="single" w:sz="4" w:space="0" w:color="auto"/>
            </w:tcBorders>
            <w:shd w:val="clear" w:color="auto" w:fill="auto"/>
            <w:vAlign w:val="center"/>
            <w:hideMark/>
          </w:tcPr>
          <w:p w14:paraId="718571DB" w14:textId="34B8DCA3" w:rsidR="00A16DDB" w:rsidRPr="00D95127" w:rsidRDefault="00A16DDB" w:rsidP="008935AC">
            <w:pPr>
              <w:jc w:val="center"/>
              <w:rPr>
                <w:rFonts w:cs="Times New Roman"/>
                <w:color w:val="000000"/>
                <w:sz w:val="20"/>
                <w:szCs w:val="20"/>
                <w:lang w:val="cs-CZ"/>
              </w:rPr>
            </w:pPr>
            <w:r w:rsidRPr="00D95127">
              <w:rPr>
                <w:rFonts w:cs="Times New Roman"/>
                <w:color w:val="000000"/>
                <w:sz w:val="20"/>
                <w:szCs w:val="20"/>
                <w:lang w:val="cs-CZ"/>
              </w:rPr>
              <w:t>Vysoké náklady na jednotku produkce</w:t>
            </w:r>
            <w:r w:rsidRPr="00D95127">
              <w:rPr>
                <w:rFonts w:eastAsia="Times New Roman" w:cs="Times New Roman"/>
                <w:color w:val="000000"/>
                <w:sz w:val="20"/>
                <w:szCs w:val="20"/>
                <w:lang w:val="cs-CZ" w:eastAsia="cs-CZ"/>
              </w:rPr>
              <w:t>, zejména vysoký podíl</w:t>
            </w:r>
            <w:r w:rsidRPr="00D95127">
              <w:rPr>
                <w:rFonts w:cs="Times New Roman"/>
                <w:color w:val="000000"/>
                <w:sz w:val="20"/>
                <w:szCs w:val="20"/>
                <w:lang w:val="cs-CZ"/>
              </w:rPr>
              <w:t xml:space="preserve"> nákladů na krmiva</w:t>
            </w:r>
            <w:r w:rsidRPr="00D95127">
              <w:rPr>
                <w:rFonts w:eastAsia="Times New Roman" w:cs="Times New Roman"/>
                <w:color w:val="000000"/>
                <w:sz w:val="20"/>
                <w:szCs w:val="20"/>
                <w:lang w:val="cs-CZ" w:eastAsia="cs-CZ"/>
              </w:rPr>
              <w:t>.</w:t>
            </w:r>
          </w:p>
        </w:tc>
        <w:tc>
          <w:tcPr>
            <w:tcW w:w="686" w:type="pct"/>
            <w:tcBorders>
              <w:top w:val="nil"/>
              <w:left w:val="nil"/>
              <w:bottom w:val="single" w:sz="4" w:space="0" w:color="auto"/>
              <w:right w:val="single" w:sz="4" w:space="0" w:color="auto"/>
            </w:tcBorders>
            <w:shd w:val="clear" w:color="auto" w:fill="auto"/>
            <w:vAlign w:val="center"/>
            <w:hideMark/>
          </w:tcPr>
          <w:p w14:paraId="276DD698" w14:textId="77777777" w:rsidR="00A16DDB" w:rsidRPr="00D95127" w:rsidRDefault="00A16DDB" w:rsidP="008935AC">
            <w:pPr>
              <w:jc w:val="center"/>
              <w:rPr>
                <w:rFonts w:cs="Times New Roman"/>
                <w:color w:val="000000"/>
                <w:sz w:val="20"/>
                <w:szCs w:val="20"/>
                <w:lang w:val="cs-CZ"/>
              </w:rPr>
            </w:pPr>
            <w:r w:rsidRPr="00D95127">
              <w:rPr>
                <w:rFonts w:cs="Times New Roman"/>
                <w:color w:val="000000"/>
                <w:sz w:val="20"/>
                <w:szCs w:val="20"/>
                <w:lang w:val="cs-CZ"/>
              </w:rPr>
              <w:t>Nemají finanční/technické kapacity na ně reagovat.</w:t>
            </w:r>
          </w:p>
        </w:tc>
        <w:tc>
          <w:tcPr>
            <w:tcW w:w="570" w:type="pct"/>
            <w:tcBorders>
              <w:top w:val="nil"/>
              <w:left w:val="nil"/>
              <w:bottom w:val="single" w:sz="4" w:space="0" w:color="auto"/>
              <w:right w:val="single" w:sz="4" w:space="0" w:color="auto"/>
            </w:tcBorders>
            <w:shd w:val="clear" w:color="auto" w:fill="auto"/>
            <w:vAlign w:val="center"/>
            <w:hideMark/>
          </w:tcPr>
          <w:p w14:paraId="3BCE5EC2" w14:textId="77777777" w:rsidR="00A16DDB" w:rsidRPr="00D95127" w:rsidRDefault="00A16DDB" w:rsidP="008935AC">
            <w:pPr>
              <w:jc w:val="center"/>
              <w:rPr>
                <w:rFonts w:cs="Times New Roman"/>
                <w:color w:val="0070C0"/>
                <w:sz w:val="20"/>
                <w:szCs w:val="20"/>
                <w:lang w:val="cs-CZ"/>
              </w:rPr>
            </w:pPr>
            <w:r w:rsidRPr="00D95127">
              <w:rPr>
                <w:rFonts w:cs="Times New Roman"/>
                <w:color w:val="0070C0"/>
                <w:sz w:val="20"/>
                <w:szCs w:val="20"/>
                <w:lang w:val="cs-CZ"/>
              </w:rPr>
              <w:t>Zefektivnit výkrm.</w:t>
            </w:r>
          </w:p>
        </w:tc>
        <w:tc>
          <w:tcPr>
            <w:tcW w:w="801" w:type="pct"/>
            <w:tcBorders>
              <w:top w:val="nil"/>
              <w:left w:val="nil"/>
              <w:bottom w:val="single" w:sz="4" w:space="0" w:color="auto"/>
              <w:right w:val="single" w:sz="4" w:space="0" w:color="auto"/>
            </w:tcBorders>
            <w:shd w:val="clear" w:color="000000" w:fill="FFF2CC"/>
            <w:vAlign w:val="center"/>
            <w:hideMark/>
          </w:tcPr>
          <w:p w14:paraId="771614A3" w14:textId="77777777" w:rsidR="00A16DDB" w:rsidRPr="00D95127" w:rsidRDefault="00A16DDB" w:rsidP="008935AC">
            <w:pPr>
              <w:jc w:val="center"/>
              <w:rPr>
                <w:rFonts w:cs="Times New Roman"/>
                <w:color w:val="000000"/>
                <w:sz w:val="20"/>
                <w:szCs w:val="20"/>
                <w:lang w:val="cs-CZ"/>
              </w:rPr>
            </w:pPr>
            <w:r w:rsidRPr="00D95127">
              <w:rPr>
                <w:rFonts w:eastAsia="Times New Roman" w:cs="Times New Roman"/>
                <w:color w:val="000000"/>
                <w:sz w:val="20"/>
                <w:szCs w:val="20"/>
                <w:lang w:val="cs-CZ" w:eastAsia="cs-CZ"/>
              </w:rPr>
              <w:t>průřezově celý sektor</w:t>
            </w:r>
          </w:p>
        </w:tc>
        <w:tc>
          <w:tcPr>
            <w:tcW w:w="685" w:type="pct"/>
            <w:tcBorders>
              <w:top w:val="nil"/>
              <w:left w:val="nil"/>
              <w:bottom w:val="single" w:sz="4" w:space="0" w:color="auto"/>
              <w:right w:val="single" w:sz="4" w:space="0" w:color="auto"/>
            </w:tcBorders>
            <w:shd w:val="clear" w:color="auto" w:fill="auto"/>
            <w:vAlign w:val="center"/>
            <w:hideMark/>
          </w:tcPr>
          <w:p w14:paraId="25229B17" w14:textId="77777777" w:rsidR="00A16DDB" w:rsidRPr="00D95127" w:rsidRDefault="00A16DDB" w:rsidP="008935AC">
            <w:pPr>
              <w:jc w:val="center"/>
              <w:rPr>
                <w:rFonts w:cs="Times New Roman"/>
                <w:color w:val="000000"/>
                <w:sz w:val="20"/>
                <w:szCs w:val="20"/>
                <w:lang w:val="cs-CZ"/>
              </w:rPr>
            </w:pPr>
            <w:r w:rsidRPr="00D95127">
              <w:rPr>
                <w:rFonts w:eastAsia="Times New Roman" w:cs="Times New Roman"/>
                <w:color w:val="000000"/>
                <w:sz w:val="20"/>
                <w:szCs w:val="20"/>
                <w:lang w:val="cs-CZ" w:eastAsia="cs-CZ"/>
              </w:rPr>
              <w:t>2018/0216, Čl. 60, odst. 1.a)(iv),  odst. 1.c), Čl. 64 d)</w:t>
            </w:r>
          </w:p>
        </w:tc>
        <w:tc>
          <w:tcPr>
            <w:tcW w:w="685" w:type="pct"/>
            <w:tcBorders>
              <w:top w:val="single" w:sz="4" w:space="0" w:color="auto"/>
              <w:left w:val="single" w:sz="4" w:space="0" w:color="auto"/>
              <w:bottom w:val="single" w:sz="4" w:space="0" w:color="auto"/>
              <w:right w:val="single" w:sz="4" w:space="0" w:color="auto"/>
            </w:tcBorders>
            <w:vAlign w:val="center"/>
            <w:hideMark/>
          </w:tcPr>
          <w:p w14:paraId="3BA48E28" w14:textId="77777777" w:rsidR="00A16DDB" w:rsidRPr="00D95127" w:rsidRDefault="00A16DDB" w:rsidP="008935AC">
            <w:pPr>
              <w:jc w:val="center"/>
              <w:rPr>
                <w:rFonts w:eastAsia="Times New Roman" w:cs="Times New Roman"/>
                <w:color w:val="000000"/>
                <w:sz w:val="20"/>
                <w:szCs w:val="20"/>
                <w:lang w:val="cs-CZ" w:eastAsia="cs-CZ"/>
              </w:rPr>
            </w:pPr>
          </w:p>
        </w:tc>
      </w:tr>
      <w:tr w:rsidR="00A16DDB" w:rsidRPr="00D95127" w14:paraId="713CA030" w14:textId="77777777" w:rsidTr="008935AC">
        <w:trPr>
          <w:trHeight w:val="510"/>
        </w:trPr>
        <w:tc>
          <w:tcPr>
            <w:tcW w:w="785" w:type="pct"/>
            <w:tcBorders>
              <w:top w:val="single" w:sz="4" w:space="0" w:color="auto"/>
              <w:left w:val="single" w:sz="4" w:space="0" w:color="auto"/>
              <w:bottom w:val="single" w:sz="4" w:space="0" w:color="auto"/>
              <w:right w:val="single" w:sz="4" w:space="0" w:color="auto"/>
            </w:tcBorders>
            <w:vAlign w:val="center"/>
            <w:hideMark/>
          </w:tcPr>
          <w:p w14:paraId="01185829" w14:textId="77777777" w:rsidR="00A16DDB" w:rsidRPr="00D95127" w:rsidRDefault="00A16DDB" w:rsidP="008935AC">
            <w:pPr>
              <w:jc w:val="left"/>
              <w:rPr>
                <w:rFonts w:cs="Times New Roman"/>
                <w:color w:val="000000"/>
                <w:sz w:val="20"/>
                <w:szCs w:val="20"/>
                <w:lang w:val="cs-CZ"/>
              </w:rPr>
            </w:pP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14:paraId="1DFAD04C" w14:textId="77777777" w:rsidR="00A16DDB" w:rsidRPr="00D95127" w:rsidRDefault="00A16DDB" w:rsidP="008935AC">
            <w:pPr>
              <w:jc w:val="center"/>
              <w:rPr>
                <w:rFonts w:cs="Times New Roman"/>
                <w:color w:val="000000"/>
                <w:sz w:val="20"/>
                <w:szCs w:val="20"/>
                <w:lang w:val="cs-CZ"/>
              </w:rPr>
            </w:pPr>
            <w:r w:rsidRPr="00D95127">
              <w:rPr>
                <w:rFonts w:eastAsia="Times New Roman" w:cs="Times New Roman"/>
                <w:color w:val="000000"/>
                <w:sz w:val="20"/>
                <w:szCs w:val="20"/>
                <w:lang w:val="cs-CZ" w:eastAsia="cs-CZ"/>
              </w:rPr>
              <w:t xml:space="preserve">Nízká </w:t>
            </w:r>
            <w:r w:rsidRPr="00D95127">
              <w:rPr>
                <w:rFonts w:cs="Times New Roman"/>
                <w:color w:val="000000"/>
                <w:sz w:val="20"/>
                <w:szCs w:val="20"/>
                <w:lang w:val="cs-CZ"/>
              </w:rPr>
              <w:t xml:space="preserve">porážková hmotnost </w:t>
            </w:r>
            <w:r w:rsidRPr="00D95127">
              <w:rPr>
                <w:rFonts w:eastAsia="Times New Roman" w:cs="Times New Roman"/>
                <w:color w:val="000000"/>
                <w:sz w:val="20"/>
                <w:szCs w:val="20"/>
                <w:lang w:val="cs-CZ" w:eastAsia="cs-CZ"/>
              </w:rPr>
              <w:t xml:space="preserve">- </w:t>
            </w:r>
            <w:r w:rsidRPr="00D95127">
              <w:rPr>
                <w:rFonts w:cs="Times New Roman"/>
                <w:color w:val="000000"/>
                <w:sz w:val="20"/>
                <w:szCs w:val="20"/>
                <w:lang w:val="cs-CZ"/>
              </w:rPr>
              <w:t>2.nejnižší v EU</w:t>
            </w:r>
          </w:p>
        </w:tc>
        <w:tc>
          <w:tcPr>
            <w:tcW w:w="686" w:type="pct"/>
            <w:vMerge w:val="restart"/>
            <w:tcBorders>
              <w:top w:val="nil"/>
              <w:left w:val="single" w:sz="4" w:space="0" w:color="auto"/>
              <w:bottom w:val="single" w:sz="4" w:space="0" w:color="auto"/>
              <w:right w:val="single" w:sz="4" w:space="0" w:color="auto"/>
            </w:tcBorders>
            <w:shd w:val="clear" w:color="auto" w:fill="auto"/>
            <w:vAlign w:val="center"/>
            <w:hideMark/>
          </w:tcPr>
          <w:p w14:paraId="3A15BE51" w14:textId="77777777" w:rsidR="00A16DDB" w:rsidRPr="00D95127" w:rsidRDefault="00A16DDB" w:rsidP="008935AC">
            <w:pPr>
              <w:jc w:val="center"/>
              <w:rPr>
                <w:rFonts w:cs="Times New Roman"/>
                <w:color w:val="000000"/>
                <w:sz w:val="20"/>
                <w:szCs w:val="20"/>
                <w:lang w:val="cs-CZ"/>
              </w:rPr>
            </w:pPr>
            <w:r w:rsidRPr="00D95127">
              <w:rPr>
                <w:rFonts w:eastAsia="Times New Roman" w:cs="Times New Roman"/>
                <w:color w:val="000000"/>
                <w:sz w:val="20"/>
                <w:szCs w:val="20"/>
                <w:lang w:val="cs-CZ" w:eastAsia="cs-CZ"/>
              </w:rPr>
              <w:t>přizpůsobení se požadavkům odběratelů</w:t>
            </w:r>
          </w:p>
        </w:tc>
        <w:tc>
          <w:tcPr>
            <w:tcW w:w="570" w:type="pct"/>
            <w:vMerge w:val="restart"/>
            <w:tcBorders>
              <w:top w:val="nil"/>
              <w:left w:val="single" w:sz="4" w:space="0" w:color="auto"/>
              <w:bottom w:val="single" w:sz="4" w:space="0" w:color="auto"/>
              <w:right w:val="single" w:sz="4" w:space="0" w:color="auto"/>
            </w:tcBorders>
            <w:shd w:val="clear" w:color="auto" w:fill="auto"/>
            <w:vAlign w:val="center"/>
            <w:hideMark/>
          </w:tcPr>
          <w:p w14:paraId="6F32EC12" w14:textId="77777777" w:rsidR="00A16DDB" w:rsidRPr="00D95127" w:rsidRDefault="00A16DDB" w:rsidP="008935AC">
            <w:pPr>
              <w:jc w:val="center"/>
              <w:rPr>
                <w:rFonts w:cs="Times New Roman"/>
                <w:color w:val="0070C0"/>
                <w:sz w:val="20"/>
                <w:szCs w:val="20"/>
                <w:lang w:val="cs-CZ"/>
              </w:rPr>
            </w:pPr>
            <w:r w:rsidRPr="00D95127">
              <w:rPr>
                <w:rFonts w:eastAsia="Times New Roman" w:cs="Times New Roman"/>
                <w:color w:val="0070C0"/>
                <w:sz w:val="20"/>
                <w:szCs w:val="20"/>
                <w:lang w:val="cs-CZ" w:eastAsia="cs-CZ"/>
              </w:rPr>
              <w:t>Zvýšit porážkovou hmotnost na ca 2 kg ž.hm. (= nejlepší efektivita) - marketingově prosadit zájem zpracovatelů/řetězců na odběru vyšších hmotností).</w:t>
            </w:r>
          </w:p>
        </w:tc>
        <w:tc>
          <w:tcPr>
            <w:tcW w:w="801" w:type="pct"/>
            <w:vMerge w:val="restart"/>
            <w:tcBorders>
              <w:top w:val="nil"/>
              <w:left w:val="single" w:sz="4" w:space="0" w:color="auto"/>
              <w:bottom w:val="single" w:sz="4" w:space="0" w:color="auto"/>
              <w:right w:val="single" w:sz="4" w:space="0" w:color="auto"/>
            </w:tcBorders>
            <w:shd w:val="clear" w:color="auto" w:fill="auto"/>
            <w:vAlign w:val="center"/>
            <w:hideMark/>
          </w:tcPr>
          <w:p w14:paraId="0F97715E" w14:textId="77777777" w:rsidR="00A16DDB" w:rsidRPr="00D95127" w:rsidRDefault="00A16DDB" w:rsidP="008935AC">
            <w:pPr>
              <w:jc w:val="center"/>
              <w:rPr>
                <w:rFonts w:cs="Times New Roman"/>
                <w:color w:val="000000"/>
                <w:sz w:val="20"/>
                <w:szCs w:val="20"/>
                <w:lang w:val="cs-CZ"/>
              </w:rPr>
            </w:pPr>
            <w:r w:rsidRPr="00D95127">
              <w:rPr>
                <w:rFonts w:eastAsia="Times New Roman" w:cs="Times New Roman"/>
                <w:color w:val="000000"/>
                <w:sz w:val="20"/>
                <w:szCs w:val="20"/>
                <w:lang w:val="cs-CZ" w:eastAsia="cs-CZ"/>
              </w:rPr>
              <w:t>průřezově celý sektor</w:t>
            </w:r>
          </w:p>
        </w:tc>
        <w:tc>
          <w:tcPr>
            <w:tcW w:w="685" w:type="pct"/>
            <w:vMerge w:val="restart"/>
            <w:tcBorders>
              <w:top w:val="nil"/>
              <w:left w:val="single" w:sz="4" w:space="0" w:color="auto"/>
              <w:bottom w:val="single" w:sz="4" w:space="0" w:color="auto"/>
              <w:right w:val="single" w:sz="4" w:space="0" w:color="auto"/>
            </w:tcBorders>
            <w:shd w:val="clear" w:color="auto" w:fill="auto"/>
            <w:vAlign w:val="center"/>
            <w:hideMark/>
          </w:tcPr>
          <w:p w14:paraId="3FE4DC52" w14:textId="77777777" w:rsidR="00A16DDB" w:rsidRPr="00D95127" w:rsidRDefault="00A16DDB" w:rsidP="008935AC">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2018/0216, Čl. 60, odst. 1.f)</w:t>
            </w:r>
          </w:p>
        </w:tc>
        <w:tc>
          <w:tcPr>
            <w:tcW w:w="685" w:type="pct"/>
            <w:tcBorders>
              <w:top w:val="nil"/>
              <w:left w:val="nil"/>
              <w:bottom w:val="single" w:sz="4" w:space="0" w:color="auto"/>
              <w:right w:val="single" w:sz="4" w:space="0" w:color="auto"/>
            </w:tcBorders>
            <w:shd w:val="clear" w:color="auto" w:fill="auto"/>
            <w:vAlign w:val="center"/>
            <w:hideMark/>
          </w:tcPr>
          <w:p w14:paraId="49E4FFF8" w14:textId="77777777" w:rsidR="00A16DDB" w:rsidRPr="00D95127" w:rsidRDefault="00A16DDB" w:rsidP="008935AC">
            <w:pPr>
              <w:jc w:val="center"/>
              <w:rPr>
                <w:rFonts w:cs="Times New Roman"/>
                <w:color w:val="000000"/>
                <w:sz w:val="20"/>
                <w:szCs w:val="20"/>
                <w:lang w:val="cs-CZ"/>
              </w:rPr>
            </w:pPr>
            <w:r w:rsidRPr="00D95127">
              <w:rPr>
                <w:rFonts w:cs="Times New Roman"/>
                <w:color w:val="000000"/>
                <w:sz w:val="20"/>
                <w:szCs w:val="20"/>
                <w:lang w:val="cs-CZ"/>
              </w:rPr>
              <w:t>Evropské inovační partnerství pro znalosti a inovace v zemědělství</w:t>
            </w:r>
          </w:p>
        </w:tc>
      </w:tr>
      <w:tr w:rsidR="00A16DDB" w:rsidRPr="00D95127" w14:paraId="48BC2D89" w14:textId="77777777" w:rsidTr="008935AC">
        <w:trPr>
          <w:trHeight w:val="1110"/>
        </w:trPr>
        <w:tc>
          <w:tcPr>
            <w:tcW w:w="785" w:type="pct"/>
            <w:tcBorders>
              <w:top w:val="single" w:sz="4" w:space="0" w:color="auto"/>
              <w:left w:val="single" w:sz="4" w:space="0" w:color="auto"/>
              <w:bottom w:val="single" w:sz="4" w:space="0" w:color="auto"/>
              <w:right w:val="single" w:sz="4" w:space="0" w:color="auto"/>
            </w:tcBorders>
            <w:vAlign w:val="center"/>
            <w:hideMark/>
          </w:tcPr>
          <w:p w14:paraId="3DDA3C23" w14:textId="77777777" w:rsidR="00A16DDB" w:rsidRPr="00D95127" w:rsidRDefault="00A16DDB" w:rsidP="008935AC">
            <w:pPr>
              <w:jc w:val="left"/>
              <w:rPr>
                <w:rFonts w:cs="Times New Roman"/>
                <w:color w:val="000000"/>
                <w:sz w:val="20"/>
                <w:szCs w:val="20"/>
                <w:lang w:val="cs-CZ"/>
              </w:rPr>
            </w:pPr>
          </w:p>
        </w:tc>
        <w:tc>
          <w:tcPr>
            <w:tcW w:w="787" w:type="pct"/>
            <w:vMerge/>
            <w:tcBorders>
              <w:top w:val="nil"/>
              <w:left w:val="single" w:sz="4" w:space="0" w:color="auto"/>
              <w:bottom w:val="single" w:sz="4" w:space="0" w:color="auto"/>
              <w:right w:val="single" w:sz="4" w:space="0" w:color="auto"/>
            </w:tcBorders>
            <w:vAlign w:val="center"/>
            <w:hideMark/>
          </w:tcPr>
          <w:p w14:paraId="7841D75D" w14:textId="77777777" w:rsidR="00A16DDB" w:rsidRPr="00D95127" w:rsidRDefault="00A16DDB" w:rsidP="008935AC">
            <w:pPr>
              <w:jc w:val="center"/>
              <w:rPr>
                <w:rFonts w:cs="Times New Roman"/>
                <w:color w:val="000000"/>
                <w:sz w:val="20"/>
                <w:szCs w:val="20"/>
                <w:lang w:val="cs-CZ"/>
              </w:rPr>
            </w:pPr>
          </w:p>
        </w:tc>
        <w:tc>
          <w:tcPr>
            <w:tcW w:w="686" w:type="pct"/>
            <w:vMerge/>
            <w:tcBorders>
              <w:top w:val="nil"/>
              <w:left w:val="single" w:sz="4" w:space="0" w:color="auto"/>
              <w:bottom w:val="single" w:sz="4" w:space="0" w:color="auto"/>
              <w:right w:val="single" w:sz="4" w:space="0" w:color="auto"/>
            </w:tcBorders>
            <w:vAlign w:val="center"/>
            <w:hideMark/>
          </w:tcPr>
          <w:p w14:paraId="10F00406" w14:textId="77777777" w:rsidR="00A16DDB" w:rsidRPr="00D95127" w:rsidRDefault="00A16DDB" w:rsidP="008935AC">
            <w:pPr>
              <w:jc w:val="center"/>
              <w:rPr>
                <w:rFonts w:cs="Times New Roman"/>
                <w:color w:val="000000"/>
                <w:sz w:val="20"/>
                <w:szCs w:val="20"/>
                <w:lang w:val="cs-CZ"/>
              </w:rPr>
            </w:pPr>
          </w:p>
        </w:tc>
        <w:tc>
          <w:tcPr>
            <w:tcW w:w="570" w:type="pct"/>
            <w:vMerge/>
            <w:tcBorders>
              <w:top w:val="nil"/>
              <w:left w:val="single" w:sz="4" w:space="0" w:color="auto"/>
              <w:bottom w:val="single" w:sz="4" w:space="0" w:color="auto"/>
              <w:right w:val="single" w:sz="4" w:space="0" w:color="auto"/>
            </w:tcBorders>
            <w:vAlign w:val="center"/>
            <w:hideMark/>
          </w:tcPr>
          <w:p w14:paraId="62D709C2" w14:textId="77777777" w:rsidR="00A16DDB" w:rsidRPr="00D95127" w:rsidRDefault="00A16DDB" w:rsidP="008935AC">
            <w:pPr>
              <w:jc w:val="center"/>
              <w:rPr>
                <w:rFonts w:cs="Times New Roman"/>
                <w:color w:val="0070C0"/>
                <w:sz w:val="20"/>
                <w:szCs w:val="20"/>
                <w:lang w:val="cs-CZ"/>
              </w:rPr>
            </w:pPr>
          </w:p>
        </w:tc>
        <w:tc>
          <w:tcPr>
            <w:tcW w:w="801" w:type="pct"/>
            <w:vMerge/>
            <w:tcBorders>
              <w:top w:val="nil"/>
              <w:left w:val="single" w:sz="4" w:space="0" w:color="auto"/>
              <w:bottom w:val="single" w:sz="4" w:space="0" w:color="auto"/>
              <w:right w:val="single" w:sz="4" w:space="0" w:color="auto"/>
            </w:tcBorders>
            <w:vAlign w:val="center"/>
            <w:hideMark/>
          </w:tcPr>
          <w:p w14:paraId="6E9E3E6D" w14:textId="77777777" w:rsidR="00A16DDB" w:rsidRPr="00D95127" w:rsidRDefault="00A16DDB" w:rsidP="008935AC">
            <w:pPr>
              <w:jc w:val="center"/>
              <w:rPr>
                <w:rFonts w:cs="Times New Roman"/>
                <w:color w:val="000000"/>
                <w:sz w:val="20"/>
                <w:szCs w:val="20"/>
                <w:lang w:val="cs-CZ"/>
              </w:rPr>
            </w:pPr>
          </w:p>
        </w:tc>
        <w:tc>
          <w:tcPr>
            <w:tcW w:w="685" w:type="pct"/>
            <w:vMerge/>
            <w:tcBorders>
              <w:top w:val="nil"/>
              <w:left w:val="single" w:sz="4" w:space="0" w:color="auto"/>
              <w:bottom w:val="single" w:sz="4" w:space="0" w:color="auto"/>
              <w:right w:val="single" w:sz="4" w:space="0" w:color="auto"/>
            </w:tcBorders>
            <w:vAlign w:val="center"/>
            <w:hideMark/>
          </w:tcPr>
          <w:p w14:paraId="47CDCB77" w14:textId="77777777" w:rsidR="00A16DDB" w:rsidRPr="00D95127" w:rsidRDefault="00A16DDB" w:rsidP="008935AC">
            <w:pPr>
              <w:jc w:val="center"/>
              <w:rPr>
                <w:rFonts w:eastAsia="Times New Roman" w:cs="Times New Roman"/>
                <w:color w:val="000000"/>
                <w:sz w:val="20"/>
                <w:szCs w:val="20"/>
                <w:lang w:val="cs-CZ" w:eastAsia="cs-CZ"/>
              </w:rPr>
            </w:pPr>
          </w:p>
        </w:tc>
        <w:tc>
          <w:tcPr>
            <w:tcW w:w="685" w:type="pct"/>
            <w:tcBorders>
              <w:top w:val="nil"/>
              <w:left w:val="nil"/>
              <w:bottom w:val="single" w:sz="4" w:space="0" w:color="auto"/>
              <w:right w:val="single" w:sz="4" w:space="0" w:color="auto"/>
            </w:tcBorders>
            <w:shd w:val="clear" w:color="auto" w:fill="auto"/>
            <w:vAlign w:val="center"/>
            <w:hideMark/>
          </w:tcPr>
          <w:p w14:paraId="3D03756A" w14:textId="77777777" w:rsidR="00A16DDB" w:rsidRPr="00D95127" w:rsidRDefault="00A16DDB" w:rsidP="008935AC">
            <w:pPr>
              <w:jc w:val="center"/>
              <w:rPr>
                <w:rFonts w:cs="Times New Roman"/>
                <w:color w:val="000000"/>
                <w:sz w:val="20"/>
                <w:szCs w:val="20"/>
                <w:lang w:val="cs-CZ"/>
              </w:rPr>
            </w:pPr>
            <w:r w:rsidRPr="00D95127">
              <w:rPr>
                <w:rFonts w:cs="Times New Roman"/>
                <w:color w:val="000000"/>
                <w:sz w:val="20"/>
                <w:szCs w:val="20"/>
                <w:lang w:val="cs-CZ"/>
              </w:rPr>
              <w:t>Investice</w:t>
            </w:r>
          </w:p>
        </w:tc>
      </w:tr>
      <w:tr w:rsidR="00A16DDB" w:rsidRPr="00D95127" w14:paraId="05A5D9A2" w14:textId="77777777" w:rsidTr="008935AC">
        <w:trPr>
          <w:trHeight w:val="510"/>
        </w:trPr>
        <w:tc>
          <w:tcPr>
            <w:tcW w:w="785" w:type="pct"/>
            <w:tcBorders>
              <w:top w:val="single" w:sz="4" w:space="0" w:color="auto"/>
              <w:left w:val="single" w:sz="4" w:space="0" w:color="auto"/>
              <w:bottom w:val="single" w:sz="4" w:space="0" w:color="auto"/>
              <w:right w:val="single" w:sz="4" w:space="0" w:color="auto"/>
            </w:tcBorders>
            <w:vAlign w:val="center"/>
            <w:hideMark/>
          </w:tcPr>
          <w:p w14:paraId="762BCC4A" w14:textId="77777777" w:rsidR="00A16DDB" w:rsidRPr="00D95127" w:rsidRDefault="00A16DDB" w:rsidP="008935AC">
            <w:pPr>
              <w:jc w:val="left"/>
              <w:rPr>
                <w:rFonts w:cs="Times New Roman"/>
                <w:color w:val="000000"/>
                <w:sz w:val="20"/>
                <w:szCs w:val="20"/>
                <w:lang w:val="cs-CZ"/>
              </w:rPr>
            </w:pP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14:paraId="094925D4" w14:textId="77777777" w:rsidR="00A16DDB" w:rsidRPr="00D95127" w:rsidRDefault="00A16DDB" w:rsidP="008935AC">
            <w:pPr>
              <w:jc w:val="center"/>
              <w:rPr>
                <w:rFonts w:cs="Times New Roman"/>
                <w:color w:val="000000"/>
                <w:sz w:val="20"/>
                <w:szCs w:val="20"/>
                <w:lang w:val="cs-CZ"/>
              </w:rPr>
            </w:pPr>
            <w:r w:rsidRPr="00D95127">
              <w:rPr>
                <w:rFonts w:eastAsia="Times New Roman" w:cs="Times New Roman"/>
                <w:color w:val="000000"/>
                <w:sz w:val="20"/>
                <w:szCs w:val="20"/>
                <w:lang w:val="cs-CZ" w:eastAsia="cs-CZ"/>
              </w:rPr>
              <w:t xml:space="preserve">částečně: </w:t>
            </w:r>
            <w:r w:rsidRPr="00D95127">
              <w:rPr>
                <w:rFonts w:cs="Times New Roman"/>
                <w:color w:val="000000"/>
                <w:sz w:val="20"/>
                <w:szCs w:val="20"/>
                <w:lang w:val="cs-CZ"/>
              </w:rPr>
              <w:t>zastaralé technologie</w:t>
            </w:r>
            <w:r w:rsidRPr="00D95127">
              <w:rPr>
                <w:rFonts w:eastAsia="Times New Roman" w:cs="Times New Roman"/>
                <w:color w:val="000000"/>
                <w:sz w:val="20"/>
                <w:szCs w:val="20"/>
                <w:lang w:val="cs-CZ" w:eastAsia="cs-CZ"/>
              </w:rPr>
              <w:t xml:space="preserve"> a haly (ventilace, typy hal - podlahy, podestýlky)</w:t>
            </w:r>
          </w:p>
        </w:tc>
        <w:tc>
          <w:tcPr>
            <w:tcW w:w="686" w:type="pct"/>
            <w:vMerge w:val="restart"/>
            <w:tcBorders>
              <w:top w:val="nil"/>
              <w:left w:val="single" w:sz="4" w:space="0" w:color="auto"/>
              <w:bottom w:val="single" w:sz="4" w:space="0" w:color="auto"/>
              <w:right w:val="single" w:sz="4" w:space="0" w:color="auto"/>
            </w:tcBorders>
            <w:shd w:val="clear" w:color="auto" w:fill="auto"/>
            <w:vAlign w:val="center"/>
            <w:hideMark/>
          </w:tcPr>
          <w:p w14:paraId="563CDBB4" w14:textId="77777777" w:rsidR="00A16DDB" w:rsidRPr="00D95127" w:rsidRDefault="00A16DDB" w:rsidP="008935AC">
            <w:pPr>
              <w:jc w:val="center"/>
              <w:rPr>
                <w:rFonts w:cs="Times New Roman"/>
                <w:color w:val="000000"/>
                <w:sz w:val="20"/>
                <w:szCs w:val="20"/>
                <w:lang w:val="cs-CZ"/>
              </w:rPr>
            </w:pPr>
            <w:r w:rsidRPr="00D95127">
              <w:rPr>
                <w:rFonts w:eastAsia="Times New Roman" w:cs="Times New Roman"/>
                <w:color w:val="000000"/>
                <w:sz w:val="20"/>
                <w:szCs w:val="20"/>
                <w:lang w:val="cs-CZ" w:eastAsia="cs-CZ"/>
              </w:rPr>
              <w:t>Umírněné investice z důvodu napjaté ekonomiky a nejistoty trhu (např. porážky - roční smlouvy).</w:t>
            </w:r>
          </w:p>
        </w:tc>
        <w:tc>
          <w:tcPr>
            <w:tcW w:w="570" w:type="pct"/>
            <w:vMerge w:val="restart"/>
            <w:tcBorders>
              <w:top w:val="nil"/>
              <w:left w:val="single" w:sz="4" w:space="0" w:color="auto"/>
              <w:bottom w:val="single" w:sz="4" w:space="0" w:color="auto"/>
              <w:right w:val="single" w:sz="4" w:space="0" w:color="auto"/>
            </w:tcBorders>
            <w:shd w:val="clear" w:color="auto" w:fill="auto"/>
            <w:vAlign w:val="center"/>
            <w:hideMark/>
          </w:tcPr>
          <w:p w14:paraId="77C5703D" w14:textId="32F52172" w:rsidR="00A16DDB" w:rsidRPr="00D95127" w:rsidRDefault="00A16DDB" w:rsidP="008935AC">
            <w:pPr>
              <w:jc w:val="center"/>
              <w:rPr>
                <w:rFonts w:cs="Times New Roman"/>
                <w:color w:val="000000"/>
                <w:sz w:val="20"/>
                <w:szCs w:val="20"/>
                <w:lang w:val="cs-CZ"/>
              </w:rPr>
            </w:pPr>
            <w:r w:rsidRPr="00D95127">
              <w:rPr>
                <w:rFonts w:cs="Times New Roman"/>
                <w:color w:val="000000"/>
                <w:sz w:val="20"/>
                <w:szCs w:val="20"/>
                <w:lang w:val="cs-CZ"/>
              </w:rPr>
              <w:t>Zavádět moderní technologie</w:t>
            </w:r>
            <w:r w:rsidRPr="00D95127">
              <w:rPr>
                <w:rFonts w:eastAsia="Times New Roman" w:cs="Times New Roman"/>
                <w:color w:val="000000"/>
                <w:sz w:val="20"/>
                <w:szCs w:val="20"/>
                <w:lang w:val="cs-CZ" w:eastAsia="cs-CZ"/>
              </w:rPr>
              <w:t xml:space="preserve"> a optimalizovat parametry hal.</w:t>
            </w:r>
          </w:p>
        </w:tc>
        <w:tc>
          <w:tcPr>
            <w:tcW w:w="801" w:type="pct"/>
            <w:tcBorders>
              <w:top w:val="nil"/>
              <w:left w:val="nil"/>
              <w:bottom w:val="single" w:sz="4" w:space="0" w:color="auto"/>
              <w:right w:val="single" w:sz="4" w:space="0" w:color="auto"/>
            </w:tcBorders>
            <w:shd w:val="clear" w:color="auto" w:fill="auto"/>
            <w:vAlign w:val="center"/>
            <w:hideMark/>
          </w:tcPr>
          <w:p w14:paraId="6C6FCAEB" w14:textId="77777777" w:rsidR="00A16DDB" w:rsidRPr="00D95127" w:rsidRDefault="00A16DDB" w:rsidP="008935AC">
            <w:pPr>
              <w:jc w:val="center"/>
              <w:rPr>
                <w:rFonts w:cs="Times New Roman"/>
                <w:color w:val="000000"/>
                <w:sz w:val="20"/>
                <w:szCs w:val="20"/>
                <w:lang w:val="cs-CZ"/>
              </w:rPr>
            </w:pPr>
            <w:r w:rsidRPr="00D95127">
              <w:rPr>
                <w:rFonts w:cs="Times New Roman"/>
                <w:color w:val="000000"/>
                <w:sz w:val="20"/>
                <w:szCs w:val="20"/>
                <w:lang w:val="cs-CZ"/>
              </w:rPr>
              <w:t>Odhad částky na období 2021-2027: 2 997,6 mil. Kč</w:t>
            </w:r>
          </w:p>
        </w:tc>
        <w:tc>
          <w:tcPr>
            <w:tcW w:w="685" w:type="pct"/>
            <w:vMerge w:val="restart"/>
            <w:tcBorders>
              <w:top w:val="nil"/>
              <w:left w:val="single" w:sz="4" w:space="0" w:color="auto"/>
              <w:bottom w:val="single" w:sz="4" w:space="0" w:color="000000"/>
              <w:right w:val="single" w:sz="4" w:space="0" w:color="auto"/>
            </w:tcBorders>
            <w:shd w:val="clear" w:color="auto" w:fill="auto"/>
            <w:vAlign w:val="center"/>
            <w:hideMark/>
          </w:tcPr>
          <w:p w14:paraId="17C895D4" w14:textId="77777777" w:rsidR="00A16DDB" w:rsidRPr="00D95127" w:rsidRDefault="00A16DDB" w:rsidP="008935AC">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2018/0216, Čl. 64 d)</w:t>
            </w:r>
          </w:p>
        </w:tc>
        <w:tc>
          <w:tcPr>
            <w:tcW w:w="685" w:type="pct"/>
            <w:tcBorders>
              <w:top w:val="nil"/>
              <w:left w:val="nil"/>
              <w:bottom w:val="single" w:sz="4" w:space="0" w:color="auto"/>
              <w:right w:val="single" w:sz="4" w:space="0" w:color="auto"/>
            </w:tcBorders>
            <w:shd w:val="clear" w:color="auto" w:fill="auto"/>
            <w:vAlign w:val="center"/>
            <w:hideMark/>
          </w:tcPr>
          <w:p w14:paraId="0528B49F" w14:textId="77777777" w:rsidR="00A16DDB" w:rsidRPr="00D95127" w:rsidRDefault="00A16DDB" w:rsidP="008935AC">
            <w:pPr>
              <w:jc w:val="center"/>
              <w:rPr>
                <w:rFonts w:cs="Times New Roman"/>
                <w:color w:val="000000"/>
                <w:sz w:val="20"/>
                <w:szCs w:val="20"/>
                <w:lang w:val="cs-CZ"/>
              </w:rPr>
            </w:pPr>
            <w:r w:rsidRPr="00D95127">
              <w:rPr>
                <w:rFonts w:cs="Times New Roman"/>
                <w:color w:val="000000"/>
                <w:sz w:val="20"/>
                <w:szCs w:val="20"/>
                <w:lang w:val="cs-CZ"/>
              </w:rPr>
              <w:t>Evropské inovační partnerství pro znalosti a inovace v zemědělství</w:t>
            </w:r>
          </w:p>
        </w:tc>
      </w:tr>
      <w:tr w:rsidR="00A16DDB" w:rsidRPr="00D95127" w14:paraId="47CD3B4C" w14:textId="77777777" w:rsidTr="008935AC">
        <w:trPr>
          <w:trHeight w:val="1455"/>
        </w:trPr>
        <w:tc>
          <w:tcPr>
            <w:tcW w:w="785" w:type="pct"/>
            <w:tcBorders>
              <w:top w:val="single" w:sz="4" w:space="0" w:color="auto"/>
              <w:left w:val="single" w:sz="4" w:space="0" w:color="auto"/>
              <w:bottom w:val="single" w:sz="4" w:space="0" w:color="auto"/>
              <w:right w:val="single" w:sz="4" w:space="0" w:color="auto"/>
            </w:tcBorders>
            <w:vAlign w:val="center"/>
            <w:hideMark/>
          </w:tcPr>
          <w:p w14:paraId="469AD339" w14:textId="77777777" w:rsidR="00A16DDB" w:rsidRPr="00D95127" w:rsidRDefault="00A16DDB" w:rsidP="008935AC">
            <w:pPr>
              <w:jc w:val="left"/>
              <w:rPr>
                <w:rFonts w:cs="Times New Roman"/>
                <w:color w:val="000000"/>
                <w:sz w:val="20"/>
                <w:szCs w:val="20"/>
                <w:lang w:val="cs-CZ"/>
              </w:rPr>
            </w:pPr>
          </w:p>
        </w:tc>
        <w:tc>
          <w:tcPr>
            <w:tcW w:w="787" w:type="pct"/>
            <w:vMerge/>
            <w:tcBorders>
              <w:top w:val="nil"/>
              <w:left w:val="single" w:sz="4" w:space="0" w:color="auto"/>
              <w:bottom w:val="single" w:sz="4" w:space="0" w:color="auto"/>
              <w:right w:val="single" w:sz="4" w:space="0" w:color="auto"/>
            </w:tcBorders>
            <w:vAlign w:val="center"/>
            <w:hideMark/>
          </w:tcPr>
          <w:p w14:paraId="3CA61477" w14:textId="77777777" w:rsidR="00A16DDB" w:rsidRPr="00D95127" w:rsidRDefault="00A16DDB" w:rsidP="008935AC">
            <w:pPr>
              <w:jc w:val="center"/>
              <w:rPr>
                <w:rFonts w:cs="Times New Roman"/>
                <w:color w:val="000000"/>
                <w:sz w:val="20"/>
                <w:szCs w:val="20"/>
                <w:lang w:val="cs-CZ"/>
              </w:rPr>
            </w:pPr>
          </w:p>
        </w:tc>
        <w:tc>
          <w:tcPr>
            <w:tcW w:w="686" w:type="pct"/>
            <w:vMerge/>
            <w:tcBorders>
              <w:top w:val="nil"/>
              <w:left w:val="single" w:sz="4" w:space="0" w:color="auto"/>
              <w:bottom w:val="single" w:sz="4" w:space="0" w:color="auto"/>
              <w:right w:val="single" w:sz="4" w:space="0" w:color="auto"/>
            </w:tcBorders>
            <w:vAlign w:val="center"/>
            <w:hideMark/>
          </w:tcPr>
          <w:p w14:paraId="4A6BDC24" w14:textId="77777777" w:rsidR="00A16DDB" w:rsidRPr="00D95127" w:rsidRDefault="00A16DDB" w:rsidP="008935AC">
            <w:pPr>
              <w:jc w:val="center"/>
              <w:rPr>
                <w:rFonts w:cs="Times New Roman"/>
                <w:color w:val="000000"/>
                <w:sz w:val="20"/>
                <w:szCs w:val="20"/>
                <w:lang w:val="cs-CZ"/>
              </w:rPr>
            </w:pPr>
          </w:p>
        </w:tc>
        <w:tc>
          <w:tcPr>
            <w:tcW w:w="570" w:type="pct"/>
            <w:vMerge/>
            <w:tcBorders>
              <w:top w:val="nil"/>
              <w:left w:val="single" w:sz="4" w:space="0" w:color="auto"/>
              <w:bottom w:val="single" w:sz="4" w:space="0" w:color="auto"/>
              <w:right w:val="single" w:sz="4" w:space="0" w:color="auto"/>
            </w:tcBorders>
            <w:vAlign w:val="center"/>
            <w:hideMark/>
          </w:tcPr>
          <w:p w14:paraId="26E932C9" w14:textId="77777777" w:rsidR="00A16DDB" w:rsidRPr="00D95127" w:rsidRDefault="00A16DDB" w:rsidP="008935AC">
            <w:pPr>
              <w:jc w:val="center"/>
              <w:rPr>
                <w:rFonts w:cs="Times New Roman"/>
                <w:color w:val="000000"/>
                <w:sz w:val="20"/>
                <w:szCs w:val="20"/>
                <w:lang w:val="cs-CZ"/>
              </w:rPr>
            </w:pPr>
          </w:p>
        </w:tc>
        <w:tc>
          <w:tcPr>
            <w:tcW w:w="801" w:type="pct"/>
            <w:tcBorders>
              <w:top w:val="nil"/>
              <w:left w:val="nil"/>
              <w:bottom w:val="single" w:sz="4" w:space="0" w:color="auto"/>
              <w:right w:val="single" w:sz="4" w:space="0" w:color="auto"/>
            </w:tcBorders>
            <w:shd w:val="clear" w:color="000000" w:fill="FFF2CC"/>
            <w:vAlign w:val="center"/>
            <w:hideMark/>
          </w:tcPr>
          <w:p w14:paraId="5B4E1D76" w14:textId="77777777" w:rsidR="00A16DDB" w:rsidRPr="00D95127" w:rsidRDefault="00A16DDB" w:rsidP="008935AC">
            <w:pPr>
              <w:jc w:val="center"/>
              <w:rPr>
                <w:rFonts w:cs="Times New Roman"/>
                <w:color w:val="000000"/>
                <w:sz w:val="20"/>
                <w:szCs w:val="20"/>
                <w:lang w:val="cs-CZ"/>
              </w:rPr>
            </w:pPr>
            <w:r w:rsidRPr="00D95127">
              <w:rPr>
                <w:rFonts w:cs="Times New Roman"/>
                <w:color w:val="000000"/>
                <w:sz w:val="20"/>
                <w:szCs w:val="20"/>
                <w:lang w:val="cs-CZ"/>
              </w:rPr>
              <w:t>cca 30 % kapacit má technologie na hranici životnosti, stavebně-technicky dosluhuje cca 20 % výkrmových kapacit</w:t>
            </w:r>
          </w:p>
        </w:tc>
        <w:tc>
          <w:tcPr>
            <w:tcW w:w="685" w:type="pct"/>
            <w:vMerge/>
            <w:tcBorders>
              <w:top w:val="nil"/>
              <w:left w:val="single" w:sz="4" w:space="0" w:color="auto"/>
              <w:bottom w:val="single" w:sz="4" w:space="0" w:color="000000"/>
              <w:right w:val="single" w:sz="4" w:space="0" w:color="auto"/>
            </w:tcBorders>
            <w:vAlign w:val="center"/>
            <w:hideMark/>
          </w:tcPr>
          <w:p w14:paraId="5ECD2CE7" w14:textId="77777777" w:rsidR="00A16DDB" w:rsidRPr="00D95127" w:rsidRDefault="00A16DDB" w:rsidP="008935AC">
            <w:pPr>
              <w:jc w:val="center"/>
              <w:rPr>
                <w:rFonts w:eastAsia="Times New Roman" w:cs="Times New Roman"/>
                <w:color w:val="000000"/>
                <w:sz w:val="20"/>
                <w:szCs w:val="20"/>
                <w:lang w:val="cs-CZ" w:eastAsia="cs-CZ"/>
              </w:rPr>
            </w:pPr>
          </w:p>
        </w:tc>
        <w:tc>
          <w:tcPr>
            <w:tcW w:w="685" w:type="pct"/>
            <w:tcBorders>
              <w:top w:val="nil"/>
              <w:left w:val="nil"/>
              <w:bottom w:val="single" w:sz="4" w:space="0" w:color="auto"/>
              <w:right w:val="single" w:sz="4" w:space="0" w:color="auto"/>
            </w:tcBorders>
            <w:shd w:val="clear" w:color="auto" w:fill="auto"/>
            <w:vAlign w:val="center"/>
            <w:hideMark/>
          </w:tcPr>
          <w:p w14:paraId="00408F7C" w14:textId="77777777" w:rsidR="00A16DDB" w:rsidRPr="00D95127" w:rsidRDefault="00A16DDB" w:rsidP="008935AC">
            <w:pPr>
              <w:jc w:val="center"/>
              <w:rPr>
                <w:rFonts w:cs="Times New Roman"/>
                <w:color w:val="000000"/>
                <w:sz w:val="20"/>
                <w:szCs w:val="20"/>
                <w:lang w:val="cs-CZ"/>
              </w:rPr>
            </w:pPr>
            <w:r w:rsidRPr="00D95127">
              <w:rPr>
                <w:rFonts w:cs="Times New Roman"/>
                <w:color w:val="000000"/>
                <w:sz w:val="20"/>
                <w:szCs w:val="20"/>
                <w:lang w:val="cs-CZ"/>
              </w:rPr>
              <w:t>Investice</w:t>
            </w:r>
          </w:p>
        </w:tc>
      </w:tr>
      <w:tr w:rsidR="00A16DDB" w:rsidRPr="00D95127" w14:paraId="39068754" w14:textId="77777777" w:rsidTr="008935AC">
        <w:trPr>
          <w:trHeight w:val="1275"/>
        </w:trPr>
        <w:tc>
          <w:tcPr>
            <w:tcW w:w="785" w:type="pct"/>
            <w:tcBorders>
              <w:top w:val="single" w:sz="4" w:space="0" w:color="auto"/>
              <w:left w:val="single" w:sz="4" w:space="0" w:color="auto"/>
              <w:bottom w:val="single" w:sz="4" w:space="0" w:color="auto"/>
              <w:right w:val="single" w:sz="4" w:space="0" w:color="auto"/>
            </w:tcBorders>
            <w:vAlign w:val="center"/>
            <w:hideMark/>
          </w:tcPr>
          <w:p w14:paraId="2768B5BE" w14:textId="77777777" w:rsidR="00A16DDB" w:rsidRPr="00D95127" w:rsidRDefault="00A16DDB" w:rsidP="008935AC">
            <w:pPr>
              <w:jc w:val="left"/>
              <w:rPr>
                <w:rFonts w:cs="Times New Roman"/>
                <w:color w:val="000000"/>
                <w:sz w:val="20"/>
                <w:szCs w:val="20"/>
                <w:lang w:val="cs-CZ"/>
              </w:rPr>
            </w:pPr>
          </w:p>
        </w:tc>
        <w:tc>
          <w:tcPr>
            <w:tcW w:w="787" w:type="pct"/>
            <w:tcBorders>
              <w:top w:val="nil"/>
              <w:left w:val="nil"/>
              <w:bottom w:val="single" w:sz="4" w:space="0" w:color="auto"/>
              <w:right w:val="single" w:sz="4" w:space="0" w:color="auto"/>
            </w:tcBorders>
            <w:shd w:val="clear" w:color="auto" w:fill="auto"/>
            <w:vAlign w:val="center"/>
            <w:hideMark/>
          </w:tcPr>
          <w:p w14:paraId="771107CC" w14:textId="77777777" w:rsidR="00A16DDB" w:rsidRPr="00D95127" w:rsidRDefault="00A16DDB" w:rsidP="008935AC">
            <w:pPr>
              <w:jc w:val="center"/>
              <w:rPr>
                <w:rFonts w:cs="Times New Roman"/>
                <w:color w:val="000000"/>
                <w:sz w:val="20"/>
                <w:szCs w:val="20"/>
                <w:lang w:val="cs-CZ"/>
              </w:rPr>
            </w:pPr>
            <w:r w:rsidRPr="00D95127">
              <w:rPr>
                <w:rFonts w:cs="Times New Roman"/>
                <w:color w:val="000000"/>
                <w:sz w:val="20"/>
                <w:szCs w:val="20"/>
                <w:lang w:val="cs-CZ"/>
              </w:rPr>
              <w:t>nízká produktivita práce českého potravinářství</w:t>
            </w:r>
          </w:p>
        </w:tc>
        <w:tc>
          <w:tcPr>
            <w:tcW w:w="686" w:type="pct"/>
            <w:tcBorders>
              <w:top w:val="nil"/>
              <w:left w:val="nil"/>
              <w:bottom w:val="single" w:sz="4" w:space="0" w:color="auto"/>
              <w:right w:val="single" w:sz="4" w:space="0" w:color="auto"/>
            </w:tcBorders>
            <w:shd w:val="clear" w:color="auto" w:fill="auto"/>
            <w:vAlign w:val="center"/>
            <w:hideMark/>
          </w:tcPr>
          <w:p w14:paraId="63650BC7" w14:textId="77777777" w:rsidR="00A16DDB" w:rsidRPr="00D95127" w:rsidRDefault="00A16DDB" w:rsidP="008935AC">
            <w:pPr>
              <w:jc w:val="center"/>
              <w:rPr>
                <w:rFonts w:cs="Times New Roman"/>
                <w:color w:val="000000"/>
                <w:sz w:val="20"/>
                <w:szCs w:val="20"/>
                <w:lang w:val="cs-CZ"/>
              </w:rPr>
            </w:pPr>
            <w:r w:rsidRPr="00D95127">
              <w:rPr>
                <w:rFonts w:cs="Times New Roman"/>
                <w:color w:val="000000"/>
                <w:sz w:val="20"/>
                <w:szCs w:val="20"/>
                <w:lang w:val="cs-CZ"/>
              </w:rPr>
              <w:t>Jsou nuceni vyvážet živá zvířata.</w:t>
            </w:r>
          </w:p>
        </w:tc>
        <w:tc>
          <w:tcPr>
            <w:tcW w:w="570" w:type="pct"/>
            <w:tcBorders>
              <w:top w:val="nil"/>
              <w:left w:val="nil"/>
              <w:bottom w:val="single" w:sz="4" w:space="0" w:color="auto"/>
              <w:right w:val="single" w:sz="4" w:space="0" w:color="auto"/>
            </w:tcBorders>
            <w:shd w:val="clear" w:color="auto" w:fill="auto"/>
            <w:vAlign w:val="center"/>
            <w:hideMark/>
          </w:tcPr>
          <w:p w14:paraId="3681B613" w14:textId="77777777" w:rsidR="00A16DDB" w:rsidRPr="00D95127" w:rsidRDefault="00A16DDB" w:rsidP="008935AC">
            <w:pPr>
              <w:jc w:val="center"/>
              <w:rPr>
                <w:rFonts w:cs="Times New Roman"/>
                <w:color w:val="000000"/>
                <w:sz w:val="20"/>
                <w:szCs w:val="20"/>
                <w:lang w:val="cs-CZ"/>
              </w:rPr>
            </w:pPr>
            <w:r w:rsidRPr="00D95127">
              <w:rPr>
                <w:rFonts w:cs="Times New Roman"/>
                <w:color w:val="000000"/>
                <w:sz w:val="20"/>
                <w:szCs w:val="20"/>
                <w:lang w:val="cs-CZ"/>
              </w:rPr>
              <w:t>Zvýšit produktivitu práce českého potravinářství.</w:t>
            </w:r>
          </w:p>
        </w:tc>
        <w:tc>
          <w:tcPr>
            <w:tcW w:w="801" w:type="pct"/>
            <w:tcBorders>
              <w:top w:val="nil"/>
              <w:left w:val="nil"/>
              <w:bottom w:val="single" w:sz="4" w:space="0" w:color="auto"/>
              <w:right w:val="single" w:sz="4" w:space="0" w:color="auto"/>
            </w:tcBorders>
            <w:shd w:val="clear" w:color="000000" w:fill="FFF2CC"/>
            <w:vAlign w:val="center"/>
            <w:hideMark/>
          </w:tcPr>
          <w:p w14:paraId="2932B625" w14:textId="77777777" w:rsidR="00A16DDB" w:rsidRPr="00D95127" w:rsidRDefault="00A16DDB" w:rsidP="008935AC">
            <w:pPr>
              <w:jc w:val="center"/>
              <w:rPr>
                <w:rFonts w:cs="Times New Roman"/>
                <w:color w:val="000000"/>
                <w:sz w:val="20"/>
                <w:szCs w:val="20"/>
                <w:lang w:val="cs-CZ"/>
              </w:rPr>
            </w:pPr>
            <w:r w:rsidRPr="00D95127">
              <w:rPr>
                <w:rFonts w:eastAsia="Times New Roman" w:cs="Times New Roman"/>
                <w:color w:val="000000"/>
                <w:sz w:val="20"/>
                <w:szCs w:val="20"/>
                <w:lang w:val="cs-CZ" w:eastAsia="cs-CZ"/>
              </w:rPr>
              <w:t>nízká atraktivita odvětví, chybějící učňovské školství v oboru, problémy s možností řešit prostřednictvím pracovníků z 3 zemích</w:t>
            </w:r>
          </w:p>
        </w:tc>
        <w:tc>
          <w:tcPr>
            <w:tcW w:w="685" w:type="pct"/>
            <w:tcBorders>
              <w:top w:val="nil"/>
              <w:left w:val="nil"/>
              <w:bottom w:val="single" w:sz="4" w:space="0" w:color="auto"/>
              <w:right w:val="single" w:sz="4" w:space="0" w:color="auto"/>
            </w:tcBorders>
            <w:shd w:val="clear" w:color="auto" w:fill="auto"/>
            <w:vAlign w:val="center"/>
            <w:hideMark/>
          </w:tcPr>
          <w:p w14:paraId="1982689C" w14:textId="77777777" w:rsidR="00A16DDB" w:rsidRPr="00D95127" w:rsidRDefault="00A16DDB" w:rsidP="008935AC">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2018/0216, Čl. 64 d), g), h)</w:t>
            </w:r>
          </w:p>
        </w:tc>
        <w:tc>
          <w:tcPr>
            <w:tcW w:w="685" w:type="pct"/>
            <w:tcBorders>
              <w:top w:val="nil"/>
              <w:left w:val="nil"/>
              <w:bottom w:val="single" w:sz="4" w:space="0" w:color="auto"/>
              <w:right w:val="single" w:sz="4" w:space="0" w:color="auto"/>
            </w:tcBorders>
            <w:shd w:val="clear" w:color="auto" w:fill="auto"/>
            <w:vAlign w:val="center"/>
            <w:hideMark/>
          </w:tcPr>
          <w:p w14:paraId="3AF3E0DE" w14:textId="77777777" w:rsidR="00A16DDB" w:rsidRPr="00D95127" w:rsidRDefault="00A16DDB" w:rsidP="008935AC">
            <w:pPr>
              <w:jc w:val="center"/>
              <w:rPr>
                <w:rFonts w:cs="Times New Roman"/>
                <w:color w:val="000000"/>
                <w:sz w:val="20"/>
                <w:szCs w:val="20"/>
                <w:lang w:val="cs-CZ"/>
              </w:rPr>
            </w:pPr>
            <w:r w:rsidRPr="00D95127">
              <w:rPr>
                <w:rFonts w:cs="Times New Roman"/>
                <w:color w:val="000000"/>
                <w:sz w:val="20"/>
                <w:szCs w:val="20"/>
                <w:lang w:val="cs-CZ"/>
              </w:rPr>
              <w:t>Výměna znalostí a informace</w:t>
            </w:r>
          </w:p>
        </w:tc>
      </w:tr>
      <w:tr w:rsidR="00A16DDB" w:rsidRPr="00D95127" w14:paraId="1D20CC30" w14:textId="77777777" w:rsidTr="008935AC">
        <w:trPr>
          <w:trHeight w:val="1500"/>
        </w:trPr>
        <w:tc>
          <w:tcPr>
            <w:tcW w:w="785" w:type="pct"/>
            <w:tcBorders>
              <w:top w:val="single" w:sz="4" w:space="0" w:color="auto"/>
              <w:left w:val="single" w:sz="4" w:space="0" w:color="auto"/>
              <w:bottom w:val="single" w:sz="4" w:space="0" w:color="auto"/>
              <w:right w:val="single" w:sz="4" w:space="0" w:color="auto"/>
            </w:tcBorders>
            <w:vAlign w:val="center"/>
            <w:hideMark/>
          </w:tcPr>
          <w:p w14:paraId="4A8283D2" w14:textId="77777777" w:rsidR="00A16DDB" w:rsidRPr="00D95127" w:rsidRDefault="00A16DDB" w:rsidP="008935AC">
            <w:pPr>
              <w:jc w:val="left"/>
              <w:rPr>
                <w:rFonts w:cs="Times New Roman"/>
                <w:color w:val="000000"/>
                <w:sz w:val="20"/>
                <w:szCs w:val="20"/>
                <w:lang w:val="cs-CZ"/>
              </w:rPr>
            </w:pPr>
          </w:p>
        </w:tc>
        <w:tc>
          <w:tcPr>
            <w:tcW w:w="787" w:type="pct"/>
            <w:tcBorders>
              <w:top w:val="nil"/>
              <w:left w:val="nil"/>
              <w:bottom w:val="single" w:sz="4" w:space="0" w:color="auto"/>
              <w:right w:val="single" w:sz="4" w:space="0" w:color="auto"/>
            </w:tcBorders>
            <w:shd w:val="clear" w:color="auto" w:fill="auto"/>
            <w:vAlign w:val="bottom"/>
            <w:hideMark/>
          </w:tcPr>
          <w:p w14:paraId="0C07F51F" w14:textId="77777777" w:rsidR="00A16DDB" w:rsidRPr="00D95127" w:rsidRDefault="00A16DDB" w:rsidP="008935AC">
            <w:pPr>
              <w:jc w:val="center"/>
              <w:rPr>
                <w:rFonts w:cs="Times New Roman"/>
                <w:color w:val="000000"/>
                <w:sz w:val="20"/>
                <w:szCs w:val="20"/>
                <w:lang w:val="cs-CZ"/>
              </w:rPr>
            </w:pPr>
            <w:r w:rsidRPr="00D95127">
              <w:rPr>
                <w:rFonts w:eastAsia="Times New Roman" w:cs="Times New Roman"/>
                <w:color w:val="000000"/>
                <w:sz w:val="20"/>
                <w:szCs w:val="20"/>
                <w:lang w:val="cs-CZ" w:eastAsia="cs-CZ"/>
              </w:rPr>
              <w:t>Podniky bez půdy (specializace na chov monogastrů) nemají podporu ve stabilním příjmu z přímých plateb.</w:t>
            </w:r>
          </w:p>
        </w:tc>
        <w:tc>
          <w:tcPr>
            <w:tcW w:w="686" w:type="pct"/>
            <w:tcBorders>
              <w:top w:val="nil"/>
              <w:left w:val="nil"/>
              <w:bottom w:val="single" w:sz="4" w:space="0" w:color="auto"/>
              <w:right w:val="single" w:sz="4" w:space="0" w:color="auto"/>
            </w:tcBorders>
            <w:shd w:val="clear" w:color="auto" w:fill="auto"/>
            <w:vAlign w:val="center"/>
            <w:hideMark/>
          </w:tcPr>
          <w:p w14:paraId="285353F8" w14:textId="77777777" w:rsidR="00A16DDB" w:rsidRPr="00D95127" w:rsidRDefault="00A16DDB" w:rsidP="008935AC">
            <w:pPr>
              <w:jc w:val="center"/>
              <w:rPr>
                <w:rFonts w:cs="Times New Roman"/>
                <w:color w:val="000000"/>
                <w:sz w:val="20"/>
                <w:szCs w:val="20"/>
                <w:lang w:val="cs-CZ"/>
              </w:rPr>
            </w:pPr>
            <w:r w:rsidRPr="00D95127">
              <w:rPr>
                <w:rFonts w:eastAsia="Times New Roman" w:cs="Times New Roman"/>
                <w:color w:val="000000"/>
                <w:sz w:val="20"/>
                <w:szCs w:val="20"/>
                <w:lang w:val="cs-CZ" w:eastAsia="cs-CZ"/>
              </w:rPr>
              <w:t>útlum výroby a investic</w:t>
            </w:r>
          </w:p>
        </w:tc>
        <w:tc>
          <w:tcPr>
            <w:tcW w:w="570" w:type="pct"/>
            <w:tcBorders>
              <w:top w:val="nil"/>
              <w:left w:val="nil"/>
              <w:bottom w:val="single" w:sz="4" w:space="0" w:color="auto"/>
              <w:right w:val="single" w:sz="4" w:space="0" w:color="auto"/>
            </w:tcBorders>
            <w:shd w:val="clear" w:color="auto" w:fill="auto"/>
            <w:vAlign w:val="center"/>
            <w:hideMark/>
          </w:tcPr>
          <w:p w14:paraId="1FC9234B" w14:textId="77777777" w:rsidR="00A16DDB" w:rsidRPr="00D95127" w:rsidRDefault="00A16DDB" w:rsidP="008935AC">
            <w:pPr>
              <w:jc w:val="center"/>
              <w:rPr>
                <w:rFonts w:cs="Times New Roman"/>
                <w:color w:val="0070C0"/>
                <w:sz w:val="20"/>
                <w:szCs w:val="20"/>
                <w:lang w:val="cs-CZ"/>
              </w:rPr>
            </w:pPr>
            <w:r w:rsidRPr="00D95127">
              <w:rPr>
                <w:rFonts w:eastAsia="Times New Roman" w:cs="Times New Roman"/>
                <w:color w:val="0070C0"/>
                <w:sz w:val="20"/>
                <w:szCs w:val="20"/>
                <w:lang w:val="cs-CZ" w:eastAsia="cs-CZ"/>
              </w:rPr>
              <w:t>Nepřímý podíl na intervenci na podporu organické hmoty do půdy</w:t>
            </w:r>
          </w:p>
        </w:tc>
        <w:tc>
          <w:tcPr>
            <w:tcW w:w="801" w:type="pct"/>
            <w:tcBorders>
              <w:top w:val="nil"/>
              <w:left w:val="nil"/>
              <w:bottom w:val="single" w:sz="4" w:space="0" w:color="auto"/>
              <w:right w:val="single" w:sz="4" w:space="0" w:color="auto"/>
            </w:tcBorders>
            <w:shd w:val="clear" w:color="auto" w:fill="auto"/>
            <w:vAlign w:val="center"/>
            <w:hideMark/>
          </w:tcPr>
          <w:p w14:paraId="025BB1B1" w14:textId="77777777" w:rsidR="00A16DDB" w:rsidRPr="00D95127" w:rsidRDefault="00A16DDB" w:rsidP="008935AC">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napříč celým sektorem</w:t>
            </w:r>
          </w:p>
        </w:tc>
        <w:tc>
          <w:tcPr>
            <w:tcW w:w="685" w:type="pct"/>
            <w:tcBorders>
              <w:top w:val="nil"/>
              <w:left w:val="nil"/>
              <w:bottom w:val="single" w:sz="4" w:space="0" w:color="auto"/>
              <w:right w:val="single" w:sz="4" w:space="0" w:color="auto"/>
            </w:tcBorders>
            <w:shd w:val="clear" w:color="auto" w:fill="auto"/>
            <w:vAlign w:val="center"/>
            <w:hideMark/>
          </w:tcPr>
          <w:p w14:paraId="12BC84AE" w14:textId="77777777" w:rsidR="00A16DDB" w:rsidRPr="00D95127" w:rsidRDefault="00A16DDB" w:rsidP="008935AC">
            <w:pPr>
              <w:jc w:val="center"/>
              <w:rPr>
                <w:rFonts w:cs="Times New Roman"/>
                <w:color w:val="000000"/>
                <w:sz w:val="20"/>
                <w:szCs w:val="20"/>
                <w:lang w:val="cs-CZ"/>
              </w:rPr>
            </w:pPr>
            <w:r w:rsidRPr="00D95127">
              <w:rPr>
                <w:rFonts w:eastAsia="Times New Roman" w:cs="Times New Roman"/>
                <w:color w:val="000000"/>
                <w:sz w:val="20"/>
                <w:szCs w:val="20"/>
                <w:lang w:val="cs-CZ" w:eastAsia="cs-CZ"/>
              </w:rPr>
              <w:t>2018/0216, Čl. 60, odst. 1.a)(vii)</w:t>
            </w:r>
          </w:p>
        </w:tc>
        <w:tc>
          <w:tcPr>
            <w:tcW w:w="685" w:type="pct"/>
            <w:tcBorders>
              <w:top w:val="nil"/>
              <w:left w:val="nil"/>
              <w:bottom w:val="single" w:sz="4" w:space="0" w:color="auto"/>
              <w:right w:val="single" w:sz="4" w:space="0" w:color="auto"/>
            </w:tcBorders>
            <w:shd w:val="clear" w:color="auto" w:fill="auto"/>
            <w:vAlign w:val="center"/>
            <w:hideMark/>
          </w:tcPr>
          <w:p w14:paraId="653AD596" w14:textId="0110F027" w:rsidR="00A16DDB" w:rsidRPr="00D95127" w:rsidRDefault="00A16DDB" w:rsidP="008935AC">
            <w:pPr>
              <w:jc w:val="center"/>
              <w:rPr>
                <w:rFonts w:cs="Times New Roman"/>
                <w:color w:val="000000"/>
                <w:sz w:val="20"/>
                <w:szCs w:val="20"/>
                <w:lang w:val="cs-CZ"/>
              </w:rPr>
            </w:pPr>
          </w:p>
        </w:tc>
      </w:tr>
      <w:tr w:rsidR="00A16DDB" w:rsidRPr="00D95127" w14:paraId="34DD0EF6" w14:textId="77777777" w:rsidTr="008935AC">
        <w:trPr>
          <w:trHeight w:val="765"/>
        </w:trPr>
        <w:tc>
          <w:tcPr>
            <w:tcW w:w="785" w:type="pct"/>
            <w:tcBorders>
              <w:top w:val="single" w:sz="4" w:space="0" w:color="auto"/>
              <w:left w:val="single" w:sz="4" w:space="0" w:color="auto"/>
              <w:bottom w:val="single" w:sz="4" w:space="0" w:color="auto"/>
              <w:right w:val="single" w:sz="4" w:space="0" w:color="auto"/>
            </w:tcBorders>
            <w:vAlign w:val="center"/>
            <w:hideMark/>
          </w:tcPr>
          <w:p w14:paraId="0E46081C" w14:textId="77777777" w:rsidR="00A16DDB" w:rsidRPr="00D95127" w:rsidRDefault="00A16DDB" w:rsidP="008935AC">
            <w:pPr>
              <w:jc w:val="left"/>
              <w:rPr>
                <w:rFonts w:cs="Times New Roman"/>
                <w:color w:val="000000"/>
                <w:sz w:val="20"/>
                <w:szCs w:val="20"/>
                <w:lang w:val="cs-CZ"/>
              </w:rPr>
            </w:pPr>
          </w:p>
        </w:tc>
        <w:tc>
          <w:tcPr>
            <w:tcW w:w="787" w:type="pct"/>
            <w:tcBorders>
              <w:top w:val="nil"/>
              <w:left w:val="nil"/>
              <w:bottom w:val="single" w:sz="4" w:space="0" w:color="auto"/>
              <w:right w:val="single" w:sz="4" w:space="0" w:color="auto"/>
            </w:tcBorders>
            <w:shd w:val="clear" w:color="auto" w:fill="auto"/>
            <w:vAlign w:val="center"/>
            <w:hideMark/>
          </w:tcPr>
          <w:p w14:paraId="2FB1D644" w14:textId="77777777" w:rsidR="00A16DDB" w:rsidRPr="00D95127" w:rsidRDefault="00A16DDB" w:rsidP="008935AC">
            <w:pPr>
              <w:jc w:val="center"/>
              <w:rPr>
                <w:rFonts w:cs="Times New Roman"/>
                <w:color w:val="000000"/>
                <w:sz w:val="20"/>
                <w:szCs w:val="20"/>
                <w:lang w:val="cs-CZ"/>
              </w:rPr>
            </w:pPr>
            <w:r w:rsidRPr="00D95127">
              <w:rPr>
                <w:rFonts w:cs="Times New Roman"/>
                <w:color w:val="000000"/>
                <w:sz w:val="20"/>
                <w:szCs w:val="20"/>
                <w:lang w:val="cs-CZ"/>
              </w:rPr>
              <w:t xml:space="preserve">nedostatečná integrace vertikály, která by umožnila </w:t>
            </w:r>
            <w:r w:rsidRPr="00D95127">
              <w:rPr>
                <w:rFonts w:eastAsia="Times New Roman" w:cs="Times New Roman"/>
                <w:color w:val="000000"/>
                <w:sz w:val="20"/>
                <w:szCs w:val="20"/>
                <w:lang w:val="cs-CZ" w:eastAsia="cs-CZ"/>
              </w:rPr>
              <w:t>optimalizovat</w:t>
            </w:r>
            <w:r w:rsidRPr="00D95127">
              <w:rPr>
                <w:rFonts w:cs="Times New Roman"/>
                <w:color w:val="000000"/>
                <w:sz w:val="20"/>
                <w:szCs w:val="20"/>
                <w:lang w:val="cs-CZ"/>
              </w:rPr>
              <w:t xml:space="preserve"> náklady</w:t>
            </w:r>
          </w:p>
        </w:tc>
        <w:tc>
          <w:tcPr>
            <w:tcW w:w="686" w:type="pct"/>
            <w:tcBorders>
              <w:top w:val="nil"/>
              <w:left w:val="nil"/>
              <w:bottom w:val="single" w:sz="4" w:space="0" w:color="auto"/>
              <w:right w:val="single" w:sz="4" w:space="0" w:color="auto"/>
            </w:tcBorders>
            <w:shd w:val="clear" w:color="auto" w:fill="auto"/>
            <w:vAlign w:val="center"/>
            <w:hideMark/>
          </w:tcPr>
          <w:p w14:paraId="5475BC1A" w14:textId="77777777" w:rsidR="00A16DDB" w:rsidRPr="00D95127" w:rsidRDefault="00A16DDB" w:rsidP="008935AC">
            <w:pPr>
              <w:jc w:val="center"/>
              <w:rPr>
                <w:rFonts w:cs="Times New Roman"/>
                <w:color w:val="000000"/>
                <w:sz w:val="20"/>
                <w:szCs w:val="20"/>
                <w:lang w:val="cs-CZ"/>
              </w:rPr>
            </w:pPr>
            <w:r w:rsidRPr="00D95127">
              <w:rPr>
                <w:rFonts w:eastAsia="Times New Roman" w:cs="Times New Roman"/>
                <w:color w:val="000000"/>
                <w:sz w:val="20"/>
                <w:szCs w:val="20"/>
                <w:lang w:val="cs-CZ" w:eastAsia="cs-CZ"/>
              </w:rPr>
              <w:t>U zemědělců panuje  obava z nejistoty</w:t>
            </w:r>
            <w:r w:rsidRPr="00D95127">
              <w:rPr>
                <w:rFonts w:cs="Times New Roman"/>
                <w:color w:val="000000"/>
                <w:sz w:val="20"/>
                <w:szCs w:val="20"/>
                <w:lang w:val="cs-CZ"/>
              </w:rPr>
              <w:t xml:space="preserve"> na </w:t>
            </w:r>
            <w:r w:rsidRPr="00D95127">
              <w:rPr>
                <w:rFonts w:eastAsia="Times New Roman" w:cs="Times New Roman"/>
                <w:color w:val="000000"/>
                <w:sz w:val="20"/>
                <w:szCs w:val="20"/>
                <w:lang w:val="cs-CZ" w:eastAsia="cs-CZ"/>
              </w:rPr>
              <w:t>trhu, z</w:t>
            </w:r>
            <w:r w:rsidRPr="00D95127">
              <w:rPr>
                <w:rFonts w:cs="Times New Roman"/>
                <w:color w:val="000000"/>
                <w:sz w:val="20"/>
                <w:szCs w:val="20"/>
                <w:lang w:val="cs-CZ"/>
              </w:rPr>
              <w:t xml:space="preserve"> administrativní zátěže.</w:t>
            </w:r>
          </w:p>
        </w:tc>
        <w:tc>
          <w:tcPr>
            <w:tcW w:w="570" w:type="pct"/>
            <w:tcBorders>
              <w:top w:val="nil"/>
              <w:left w:val="nil"/>
              <w:bottom w:val="single" w:sz="4" w:space="0" w:color="auto"/>
              <w:right w:val="single" w:sz="4" w:space="0" w:color="auto"/>
            </w:tcBorders>
            <w:shd w:val="clear" w:color="auto" w:fill="auto"/>
            <w:vAlign w:val="center"/>
            <w:hideMark/>
          </w:tcPr>
          <w:p w14:paraId="43BE23A3" w14:textId="77777777" w:rsidR="00A16DDB" w:rsidRPr="00D95127" w:rsidRDefault="00A16DDB" w:rsidP="008935AC">
            <w:pPr>
              <w:jc w:val="center"/>
              <w:rPr>
                <w:rFonts w:cs="Times New Roman"/>
                <w:color w:val="000000"/>
                <w:sz w:val="20"/>
                <w:szCs w:val="20"/>
                <w:lang w:val="cs-CZ"/>
              </w:rPr>
            </w:pPr>
            <w:r w:rsidRPr="00D95127">
              <w:rPr>
                <w:rFonts w:eastAsia="Times New Roman" w:cs="Times New Roman"/>
                <w:color w:val="000000"/>
                <w:sz w:val="20"/>
                <w:szCs w:val="20"/>
                <w:lang w:val="cs-CZ" w:eastAsia="cs-CZ"/>
              </w:rPr>
              <w:t>zvážit možnost</w:t>
            </w:r>
            <w:r w:rsidRPr="00D95127">
              <w:rPr>
                <w:rFonts w:cs="Times New Roman"/>
                <w:color w:val="000000"/>
                <w:sz w:val="20"/>
                <w:szCs w:val="20"/>
                <w:lang w:val="cs-CZ"/>
              </w:rPr>
              <w:t xml:space="preserve"> vertikální </w:t>
            </w:r>
            <w:r w:rsidRPr="00D95127">
              <w:rPr>
                <w:rFonts w:eastAsia="Times New Roman" w:cs="Times New Roman"/>
                <w:color w:val="000000"/>
                <w:sz w:val="20"/>
                <w:szCs w:val="20"/>
                <w:lang w:val="cs-CZ" w:eastAsia="cs-CZ"/>
              </w:rPr>
              <w:t>integrace</w:t>
            </w:r>
            <w:r w:rsidRPr="00D95127">
              <w:rPr>
                <w:rFonts w:cs="Times New Roman"/>
                <w:color w:val="000000"/>
                <w:sz w:val="20"/>
                <w:szCs w:val="20"/>
                <w:lang w:val="cs-CZ"/>
              </w:rPr>
              <w:t>.</w:t>
            </w:r>
          </w:p>
        </w:tc>
        <w:tc>
          <w:tcPr>
            <w:tcW w:w="801" w:type="pct"/>
            <w:tcBorders>
              <w:top w:val="nil"/>
              <w:left w:val="nil"/>
              <w:bottom w:val="single" w:sz="4" w:space="0" w:color="auto"/>
              <w:right w:val="single" w:sz="4" w:space="0" w:color="auto"/>
            </w:tcBorders>
            <w:shd w:val="clear" w:color="auto" w:fill="auto"/>
            <w:vAlign w:val="center"/>
            <w:hideMark/>
          </w:tcPr>
          <w:p w14:paraId="7069F728" w14:textId="01D9C490" w:rsidR="00A16DDB" w:rsidRPr="00D95127" w:rsidRDefault="00A16DDB" w:rsidP="008935AC">
            <w:pPr>
              <w:jc w:val="center"/>
              <w:rPr>
                <w:rFonts w:cs="Times New Roman"/>
                <w:color w:val="000000"/>
                <w:sz w:val="20"/>
                <w:szCs w:val="20"/>
                <w:lang w:val="cs-CZ"/>
              </w:rPr>
            </w:pPr>
            <w:r w:rsidRPr="00D95127">
              <w:rPr>
                <w:rFonts w:eastAsia="Times New Roman" w:cs="Times New Roman"/>
                <w:color w:val="000000"/>
                <w:sz w:val="20"/>
                <w:szCs w:val="20"/>
                <w:lang w:val="cs-CZ" w:eastAsia="cs-CZ"/>
              </w:rPr>
              <w:t>část podniků</w:t>
            </w:r>
          </w:p>
        </w:tc>
        <w:tc>
          <w:tcPr>
            <w:tcW w:w="685" w:type="pct"/>
            <w:tcBorders>
              <w:top w:val="nil"/>
              <w:left w:val="nil"/>
              <w:bottom w:val="single" w:sz="4" w:space="0" w:color="auto"/>
              <w:right w:val="single" w:sz="4" w:space="0" w:color="auto"/>
            </w:tcBorders>
            <w:shd w:val="clear" w:color="auto" w:fill="auto"/>
            <w:vAlign w:val="center"/>
            <w:hideMark/>
          </w:tcPr>
          <w:p w14:paraId="2C3BBCA8" w14:textId="77777777" w:rsidR="00A16DDB" w:rsidRPr="00D95127" w:rsidRDefault="00A16DDB" w:rsidP="008935AC">
            <w:pPr>
              <w:jc w:val="center"/>
              <w:rPr>
                <w:rFonts w:cs="Times New Roman"/>
                <w:color w:val="000000"/>
                <w:sz w:val="20"/>
                <w:szCs w:val="20"/>
                <w:lang w:val="cs-CZ"/>
              </w:rPr>
            </w:pPr>
            <w:r w:rsidRPr="00D95127">
              <w:rPr>
                <w:rFonts w:eastAsia="Times New Roman" w:cs="Times New Roman"/>
                <w:color w:val="000000"/>
                <w:sz w:val="20"/>
                <w:szCs w:val="20"/>
                <w:lang w:val="cs-CZ" w:eastAsia="cs-CZ"/>
              </w:rPr>
              <w:t>2018/0216, Čl. 64 g)</w:t>
            </w:r>
          </w:p>
        </w:tc>
        <w:tc>
          <w:tcPr>
            <w:tcW w:w="685" w:type="pct"/>
            <w:tcBorders>
              <w:top w:val="nil"/>
              <w:left w:val="nil"/>
              <w:bottom w:val="single" w:sz="4" w:space="0" w:color="auto"/>
              <w:right w:val="single" w:sz="4" w:space="0" w:color="auto"/>
            </w:tcBorders>
            <w:shd w:val="clear" w:color="auto" w:fill="auto"/>
            <w:vAlign w:val="center"/>
            <w:hideMark/>
          </w:tcPr>
          <w:p w14:paraId="0AC14E14" w14:textId="77777777" w:rsidR="00A16DDB" w:rsidRPr="00D95127" w:rsidRDefault="00A16DDB" w:rsidP="008935AC">
            <w:pPr>
              <w:jc w:val="cente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podniková záležitost</w:t>
            </w:r>
          </w:p>
        </w:tc>
      </w:tr>
      <w:bookmarkEnd w:id="1148"/>
    </w:tbl>
    <w:p w14:paraId="1F93C7F7" w14:textId="77777777" w:rsidR="00A16DDB" w:rsidRPr="00D95127" w:rsidRDefault="00A16DDB" w:rsidP="00A16DDB">
      <w:pPr>
        <w:ind w:firstLine="709"/>
        <w:rPr>
          <w:rFonts w:cs="Times New Roman"/>
          <w:szCs w:val="24"/>
          <w:u w:val="single"/>
          <w:lang w:val="cs-CZ"/>
        </w:rPr>
      </w:pPr>
    </w:p>
    <w:p w14:paraId="036B04FC" w14:textId="77777777" w:rsidR="00A16DDB" w:rsidRPr="00A10E5C" w:rsidRDefault="00A16DDB" w:rsidP="00A10E5C">
      <w:pPr>
        <w:pStyle w:val="UZEINormaln"/>
        <w:rPr>
          <w:u w:val="single"/>
        </w:rPr>
      </w:pPr>
      <w:r w:rsidRPr="00A10E5C">
        <w:rPr>
          <w:u w:val="single"/>
        </w:rPr>
        <w:t>Tabulka „teorie změny“ znovu opakuje už zmíněné problémy a potřeby. Obecně se hovoří o nerentabilitě a nekonkurenceschopnosti, přitom ale objektivní důvod pro to v reálné ekonomice není. Identifikují se proto potřeby takového typu, které vesměs souvisí s nastavením hospodářsko-politických nástrojů k 1.) vytvoření transparentního jednotného trhu EU v drůbežářském agrobyznysu. Je zde určitá schizofrenie, neboť na druhou stranu 2.) se zdůrazňuje i potřeba se naopak vůči produkci ostatních členských zemí vymezit a chránit. - V každém případě ale netransparentní trh a nejistota tržních podmínek zvyšují transakční náklady a jsou problémem odvětví výkrmu kuřat.</w:t>
      </w:r>
    </w:p>
    <w:p w14:paraId="3BAAD824" w14:textId="77777777" w:rsidR="00A16DDB" w:rsidRPr="00D95127" w:rsidRDefault="00A16DDB" w:rsidP="00A10E5C">
      <w:pPr>
        <w:pStyle w:val="UZEINormaln"/>
      </w:pPr>
      <w:r w:rsidRPr="00D95127">
        <w:t xml:space="preserve">Podpory v chovu nosnic výrazně přispívají zlepšení ekonomických výsledků chovatelů. Velmi významnou roli však v ekonomickém výsledku chovatelů nosnic hraje aktuální situace na trhu, která ovlivňuje CZV vajec. </w:t>
      </w:r>
    </w:p>
    <w:p w14:paraId="7326C996" w14:textId="7E9F3037" w:rsidR="00A16DDB" w:rsidRPr="00D95127" w:rsidRDefault="00A16DDB" w:rsidP="00A10E5C">
      <w:pPr>
        <w:pStyle w:val="UZEINormaln"/>
        <w:rPr>
          <w:u w:val="single"/>
        </w:rPr>
      </w:pPr>
    </w:p>
    <w:p w14:paraId="32107282" w14:textId="77777777" w:rsidR="00A16DDB" w:rsidRPr="00D95127" w:rsidRDefault="00A16DDB" w:rsidP="00A10E5C">
      <w:pPr>
        <w:pStyle w:val="UZEINormaln"/>
        <w:rPr>
          <w:rFonts w:cs="Times New Roman"/>
        </w:rPr>
      </w:pPr>
      <w:r w:rsidRPr="00D95127">
        <w:rPr>
          <w:rFonts w:cs="Times New Roman"/>
        </w:rPr>
        <w:t>Níže uvedené potřeby lze řešit financováním, a to jak v rámci PRV: investice do zemědělských podniků, podpora mladých zemědělců; tak i v rámci Národních podpor: ozdravení chovu, podpora dobrých životních podmínek, podpora propagace tuzemských vajec, podpora propojení výroby a obchodu (zřizování vlastních prodejen). Propagaci domácí produkce a prosazování zájmu chovatelů vůči obchodním řetězcům lze podporovat i přes organizace producentů (podpory v rámci SOT).</w:t>
      </w:r>
    </w:p>
    <w:p w14:paraId="3C05B82C" w14:textId="4A1685B2" w:rsidR="00A16DDB" w:rsidRPr="00D95127" w:rsidRDefault="00A16DDB" w:rsidP="00A10E5C">
      <w:pPr>
        <w:pStyle w:val="UZEITaB"/>
        <w:ind w:left="1276" w:hanging="1276"/>
      </w:pPr>
      <w:bookmarkStart w:id="1149" w:name="_Toc81738550"/>
      <w:r w:rsidRPr="00D95127">
        <w:t>Teorie změny – chov nosnic</w:t>
      </w:r>
      <w:bookmarkEnd w:id="1149"/>
    </w:p>
    <w:tbl>
      <w:tblPr>
        <w:tblW w:w="10081" w:type="dxa"/>
        <w:tblInd w:w="70" w:type="dxa"/>
        <w:tblLayout w:type="fixed"/>
        <w:tblCellMar>
          <w:left w:w="70" w:type="dxa"/>
          <w:right w:w="70" w:type="dxa"/>
        </w:tblCellMar>
        <w:tblLook w:val="04A0" w:firstRow="1" w:lastRow="0" w:firstColumn="1" w:lastColumn="0" w:noHBand="0" w:noVBand="1"/>
      </w:tblPr>
      <w:tblGrid>
        <w:gridCol w:w="1121"/>
        <w:gridCol w:w="1351"/>
        <w:gridCol w:w="1826"/>
        <w:gridCol w:w="1025"/>
        <w:gridCol w:w="1531"/>
        <w:gridCol w:w="1100"/>
        <w:gridCol w:w="1077"/>
        <w:gridCol w:w="1050"/>
      </w:tblGrid>
      <w:tr w:rsidR="00A16DDB" w:rsidRPr="00D95127" w14:paraId="4EDC3C3D" w14:textId="77777777" w:rsidTr="00A10E5C">
        <w:trPr>
          <w:trHeight w:val="507"/>
        </w:trPr>
        <w:tc>
          <w:tcPr>
            <w:tcW w:w="11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774CBF" w14:textId="77777777" w:rsidR="00A16DDB" w:rsidRPr="00D95127" w:rsidRDefault="00A16DDB" w:rsidP="007A627A">
            <w:pPr>
              <w:rPr>
                <w:rFonts w:eastAsia="Times New Roman" w:cs="Times New Roman"/>
                <w:b/>
                <w:bCs/>
                <w:color w:val="000000"/>
                <w:sz w:val="20"/>
                <w:szCs w:val="20"/>
                <w:lang w:val="cs-CZ" w:eastAsia="cs-CZ"/>
              </w:rPr>
            </w:pPr>
            <w:r w:rsidRPr="00D95127">
              <w:rPr>
                <w:rFonts w:eastAsia="Times New Roman" w:cs="Times New Roman"/>
                <w:b/>
                <w:bCs/>
                <w:color w:val="000000"/>
                <w:sz w:val="20"/>
                <w:szCs w:val="20"/>
                <w:lang w:val="cs-CZ" w:eastAsia="cs-CZ"/>
              </w:rPr>
              <w:t>Problém</w:t>
            </w:r>
          </w:p>
        </w:tc>
        <w:tc>
          <w:tcPr>
            <w:tcW w:w="1351" w:type="dxa"/>
            <w:tcBorders>
              <w:top w:val="single" w:sz="4" w:space="0" w:color="auto"/>
              <w:left w:val="nil"/>
              <w:bottom w:val="single" w:sz="4" w:space="0" w:color="auto"/>
              <w:right w:val="single" w:sz="4" w:space="0" w:color="auto"/>
            </w:tcBorders>
            <w:shd w:val="clear" w:color="auto" w:fill="auto"/>
            <w:vAlign w:val="center"/>
            <w:hideMark/>
          </w:tcPr>
          <w:p w14:paraId="75C81047" w14:textId="77777777" w:rsidR="00A16DDB" w:rsidRPr="00D95127" w:rsidRDefault="00A16DDB" w:rsidP="007A627A">
            <w:pPr>
              <w:rPr>
                <w:rFonts w:eastAsia="Times New Roman" w:cs="Times New Roman"/>
                <w:b/>
                <w:bCs/>
                <w:color w:val="000000"/>
                <w:sz w:val="20"/>
                <w:szCs w:val="20"/>
                <w:lang w:val="cs-CZ" w:eastAsia="cs-CZ"/>
              </w:rPr>
            </w:pPr>
            <w:r w:rsidRPr="00D95127">
              <w:rPr>
                <w:rFonts w:eastAsia="Times New Roman" w:cs="Times New Roman"/>
                <w:b/>
                <w:bCs/>
                <w:color w:val="000000"/>
                <w:sz w:val="20"/>
                <w:szCs w:val="20"/>
                <w:lang w:val="cs-CZ" w:eastAsia="cs-CZ"/>
              </w:rPr>
              <w:t>Příčiny</w:t>
            </w:r>
          </w:p>
        </w:tc>
        <w:tc>
          <w:tcPr>
            <w:tcW w:w="1826" w:type="dxa"/>
            <w:tcBorders>
              <w:top w:val="single" w:sz="4" w:space="0" w:color="auto"/>
              <w:left w:val="nil"/>
              <w:bottom w:val="single" w:sz="4" w:space="0" w:color="auto"/>
              <w:right w:val="single" w:sz="4" w:space="0" w:color="auto"/>
            </w:tcBorders>
            <w:shd w:val="clear" w:color="auto" w:fill="auto"/>
            <w:vAlign w:val="center"/>
            <w:hideMark/>
          </w:tcPr>
          <w:p w14:paraId="17256C48" w14:textId="77777777" w:rsidR="00A16DDB" w:rsidRPr="00D95127" w:rsidRDefault="00A16DDB" w:rsidP="007A627A">
            <w:pPr>
              <w:rPr>
                <w:rFonts w:eastAsia="Times New Roman" w:cs="Times New Roman"/>
                <w:b/>
                <w:bCs/>
                <w:color w:val="000000"/>
                <w:sz w:val="20"/>
                <w:szCs w:val="20"/>
                <w:lang w:val="cs-CZ" w:eastAsia="cs-CZ"/>
              </w:rPr>
            </w:pPr>
            <w:r w:rsidRPr="00D95127">
              <w:rPr>
                <w:rFonts w:eastAsia="Times New Roman" w:cs="Times New Roman"/>
                <w:b/>
                <w:bCs/>
                <w:color w:val="000000"/>
                <w:sz w:val="20"/>
                <w:szCs w:val="20"/>
                <w:lang w:val="cs-CZ" w:eastAsia="cs-CZ"/>
              </w:rPr>
              <w:t>Převládající chování/reakce zemědělců</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14:paraId="11B7BCA2" w14:textId="77777777" w:rsidR="00A16DDB" w:rsidRPr="00D95127" w:rsidRDefault="00A16DDB" w:rsidP="007A627A">
            <w:pPr>
              <w:rPr>
                <w:rFonts w:eastAsia="Times New Roman" w:cs="Times New Roman"/>
                <w:b/>
                <w:bCs/>
                <w:color w:val="000000"/>
                <w:sz w:val="20"/>
                <w:szCs w:val="20"/>
                <w:lang w:val="cs-CZ" w:eastAsia="cs-CZ"/>
              </w:rPr>
            </w:pPr>
            <w:r w:rsidRPr="00D95127">
              <w:rPr>
                <w:rFonts w:eastAsia="Times New Roman" w:cs="Times New Roman"/>
                <w:b/>
                <w:bCs/>
                <w:color w:val="000000"/>
                <w:sz w:val="20"/>
                <w:szCs w:val="20"/>
                <w:lang w:val="cs-CZ" w:eastAsia="cs-CZ"/>
              </w:rPr>
              <w:t>Nutná změna</w:t>
            </w:r>
          </w:p>
        </w:tc>
        <w:tc>
          <w:tcPr>
            <w:tcW w:w="1531" w:type="dxa"/>
            <w:tcBorders>
              <w:top w:val="single" w:sz="4" w:space="0" w:color="auto"/>
              <w:left w:val="nil"/>
              <w:bottom w:val="single" w:sz="4" w:space="0" w:color="auto"/>
              <w:right w:val="single" w:sz="4" w:space="0" w:color="auto"/>
            </w:tcBorders>
            <w:shd w:val="clear" w:color="auto" w:fill="auto"/>
            <w:vAlign w:val="center"/>
            <w:hideMark/>
          </w:tcPr>
          <w:p w14:paraId="50CC485A" w14:textId="77777777" w:rsidR="00A16DDB" w:rsidRPr="00D95127" w:rsidRDefault="00A16DDB" w:rsidP="007A627A">
            <w:pPr>
              <w:rPr>
                <w:rFonts w:eastAsia="Times New Roman" w:cs="Times New Roman"/>
                <w:b/>
                <w:bCs/>
                <w:color w:val="000000"/>
                <w:sz w:val="20"/>
                <w:szCs w:val="20"/>
                <w:lang w:val="cs-CZ" w:eastAsia="cs-CZ"/>
              </w:rPr>
            </w:pPr>
            <w:r w:rsidRPr="00D95127">
              <w:rPr>
                <w:rFonts w:eastAsia="Times New Roman" w:cs="Times New Roman"/>
                <w:b/>
                <w:bCs/>
                <w:color w:val="000000"/>
                <w:sz w:val="20"/>
                <w:szCs w:val="20"/>
                <w:lang w:val="cs-CZ" w:eastAsia="cs-CZ"/>
              </w:rPr>
              <w:t>Kvantifikace</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80072B2" w14:textId="77777777" w:rsidR="00A16DDB" w:rsidRPr="00D95127" w:rsidRDefault="00A16DDB" w:rsidP="007A627A">
            <w:pPr>
              <w:rPr>
                <w:rFonts w:eastAsia="Times New Roman" w:cs="Times New Roman"/>
                <w:b/>
                <w:bCs/>
                <w:color w:val="000000"/>
                <w:sz w:val="20"/>
                <w:szCs w:val="20"/>
                <w:lang w:val="cs-CZ" w:eastAsia="cs-CZ"/>
              </w:rPr>
            </w:pPr>
            <w:r w:rsidRPr="00D95127">
              <w:rPr>
                <w:rFonts w:eastAsia="Times New Roman" w:cs="Times New Roman"/>
                <w:b/>
                <w:bCs/>
                <w:color w:val="000000"/>
                <w:sz w:val="20"/>
                <w:szCs w:val="20"/>
                <w:lang w:val="cs-CZ" w:eastAsia="cs-CZ"/>
              </w:rPr>
              <w:t>Typ intervence</w:t>
            </w:r>
          </w:p>
        </w:tc>
        <w:tc>
          <w:tcPr>
            <w:tcW w:w="1077" w:type="dxa"/>
            <w:tcBorders>
              <w:top w:val="single" w:sz="4" w:space="0" w:color="auto"/>
              <w:left w:val="nil"/>
              <w:bottom w:val="single" w:sz="4" w:space="0" w:color="auto"/>
              <w:right w:val="single" w:sz="4" w:space="0" w:color="auto"/>
            </w:tcBorders>
            <w:shd w:val="clear" w:color="auto" w:fill="auto"/>
            <w:vAlign w:val="center"/>
            <w:hideMark/>
          </w:tcPr>
          <w:p w14:paraId="543CF3E0" w14:textId="77777777" w:rsidR="00A16DDB" w:rsidRPr="00D95127" w:rsidRDefault="00A16DDB" w:rsidP="007A627A">
            <w:pPr>
              <w:rPr>
                <w:rFonts w:eastAsia="Times New Roman" w:cs="Times New Roman"/>
                <w:b/>
                <w:bCs/>
                <w:color w:val="000000"/>
                <w:sz w:val="20"/>
                <w:szCs w:val="20"/>
                <w:lang w:val="cs-CZ" w:eastAsia="cs-CZ"/>
              </w:rPr>
            </w:pPr>
            <w:r w:rsidRPr="00D95127">
              <w:rPr>
                <w:rFonts w:eastAsia="Times New Roman" w:cs="Times New Roman"/>
                <w:b/>
                <w:bCs/>
                <w:color w:val="000000"/>
                <w:sz w:val="20"/>
                <w:szCs w:val="20"/>
                <w:lang w:val="cs-CZ" w:eastAsia="cs-CZ"/>
              </w:rPr>
              <w:t>Intervence</w:t>
            </w:r>
          </w:p>
        </w:tc>
        <w:tc>
          <w:tcPr>
            <w:tcW w:w="1050" w:type="dxa"/>
            <w:tcBorders>
              <w:top w:val="single" w:sz="4" w:space="0" w:color="auto"/>
              <w:left w:val="nil"/>
              <w:bottom w:val="single" w:sz="4" w:space="0" w:color="auto"/>
              <w:right w:val="single" w:sz="4" w:space="0" w:color="auto"/>
            </w:tcBorders>
            <w:shd w:val="clear" w:color="auto" w:fill="auto"/>
            <w:vAlign w:val="center"/>
            <w:hideMark/>
          </w:tcPr>
          <w:p w14:paraId="4164B0B7" w14:textId="77777777" w:rsidR="00A16DDB" w:rsidRPr="00D95127" w:rsidRDefault="00A16DDB" w:rsidP="007A627A">
            <w:pPr>
              <w:rPr>
                <w:rFonts w:eastAsia="Times New Roman" w:cs="Times New Roman"/>
                <w:b/>
                <w:bCs/>
                <w:color w:val="000000"/>
                <w:sz w:val="20"/>
                <w:szCs w:val="20"/>
                <w:lang w:val="cs-CZ" w:eastAsia="cs-CZ"/>
              </w:rPr>
            </w:pPr>
            <w:r w:rsidRPr="00D95127">
              <w:rPr>
                <w:rFonts w:eastAsia="Times New Roman" w:cs="Times New Roman"/>
                <w:b/>
                <w:bCs/>
                <w:color w:val="000000"/>
                <w:sz w:val="20"/>
                <w:szCs w:val="20"/>
                <w:lang w:val="cs-CZ" w:eastAsia="cs-CZ"/>
              </w:rPr>
              <w:t>Prvek intervence</w:t>
            </w:r>
          </w:p>
        </w:tc>
      </w:tr>
      <w:tr w:rsidR="00A16DDB" w:rsidRPr="00D95127" w14:paraId="1E25E72E" w14:textId="77777777" w:rsidTr="00A10E5C">
        <w:trPr>
          <w:trHeight w:val="1360"/>
        </w:trPr>
        <w:tc>
          <w:tcPr>
            <w:tcW w:w="1121" w:type="dxa"/>
            <w:tcBorders>
              <w:top w:val="nil"/>
              <w:left w:val="single" w:sz="4" w:space="0" w:color="auto"/>
              <w:bottom w:val="single" w:sz="4" w:space="0" w:color="auto"/>
              <w:right w:val="single" w:sz="4" w:space="0" w:color="auto"/>
            </w:tcBorders>
            <w:shd w:val="clear" w:color="auto" w:fill="auto"/>
            <w:vAlign w:val="center"/>
            <w:hideMark/>
          </w:tcPr>
          <w:p w14:paraId="71FFCF3E"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Nízká rentabilita výroby vajec</w:t>
            </w:r>
          </w:p>
        </w:tc>
        <w:tc>
          <w:tcPr>
            <w:tcW w:w="1351" w:type="dxa"/>
            <w:tcBorders>
              <w:top w:val="nil"/>
              <w:left w:val="nil"/>
              <w:bottom w:val="single" w:sz="4" w:space="0" w:color="auto"/>
              <w:right w:val="single" w:sz="4" w:space="0" w:color="auto"/>
            </w:tcBorders>
            <w:shd w:val="clear" w:color="auto" w:fill="auto"/>
            <w:vAlign w:val="center"/>
            <w:hideMark/>
          </w:tcPr>
          <w:p w14:paraId="7DBE6A9E"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 xml:space="preserve">Relativně vysoké pracovní náklady (15 % nákladů), náklady na krmiva, nižší užitkovost (0 17 % ve srovnání se ČS EU) </w:t>
            </w:r>
          </w:p>
        </w:tc>
        <w:tc>
          <w:tcPr>
            <w:tcW w:w="1826" w:type="dxa"/>
            <w:tcBorders>
              <w:top w:val="nil"/>
              <w:left w:val="nil"/>
              <w:bottom w:val="single" w:sz="4" w:space="0" w:color="auto"/>
              <w:right w:val="single" w:sz="4" w:space="0" w:color="auto"/>
            </w:tcBorders>
            <w:shd w:val="clear" w:color="auto" w:fill="auto"/>
            <w:vAlign w:val="center"/>
            <w:hideMark/>
          </w:tcPr>
          <w:p w14:paraId="0D0D1B39"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Snaha o vybalancování krmiv v rámci finančních možností (minimalizace nákladů na krmiva)</w:t>
            </w:r>
          </w:p>
        </w:tc>
        <w:tc>
          <w:tcPr>
            <w:tcW w:w="1025" w:type="dxa"/>
            <w:tcBorders>
              <w:top w:val="nil"/>
              <w:left w:val="nil"/>
              <w:bottom w:val="single" w:sz="4" w:space="0" w:color="auto"/>
              <w:right w:val="single" w:sz="4" w:space="0" w:color="auto"/>
            </w:tcBorders>
            <w:shd w:val="clear" w:color="auto" w:fill="auto"/>
            <w:vAlign w:val="center"/>
            <w:hideMark/>
          </w:tcPr>
          <w:p w14:paraId="4ADA1BDE"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Lepší propagace domácí produkce vedoucí ke zvýšení ceny vajec</w:t>
            </w:r>
          </w:p>
        </w:tc>
        <w:tc>
          <w:tcPr>
            <w:tcW w:w="1531" w:type="dxa"/>
            <w:tcBorders>
              <w:top w:val="nil"/>
              <w:left w:val="nil"/>
              <w:bottom w:val="single" w:sz="4" w:space="0" w:color="auto"/>
              <w:right w:val="single" w:sz="4" w:space="0" w:color="auto"/>
            </w:tcBorders>
            <w:shd w:val="clear" w:color="auto" w:fill="auto"/>
            <w:vAlign w:val="center"/>
            <w:hideMark/>
          </w:tcPr>
          <w:p w14:paraId="2C6BFC66"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odhadem zhruba 35 % produkce</w:t>
            </w:r>
          </w:p>
        </w:tc>
        <w:tc>
          <w:tcPr>
            <w:tcW w:w="1100" w:type="dxa"/>
            <w:tcBorders>
              <w:top w:val="nil"/>
              <w:left w:val="nil"/>
              <w:bottom w:val="single" w:sz="4" w:space="0" w:color="auto"/>
              <w:right w:val="single" w:sz="4" w:space="0" w:color="auto"/>
            </w:tcBorders>
            <w:shd w:val="clear" w:color="auto" w:fill="auto"/>
            <w:vAlign w:val="center"/>
            <w:hideMark/>
          </w:tcPr>
          <w:p w14:paraId="45BEAC59"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národní podpory</w:t>
            </w:r>
          </w:p>
        </w:tc>
        <w:tc>
          <w:tcPr>
            <w:tcW w:w="1077" w:type="dxa"/>
            <w:tcBorders>
              <w:top w:val="nil"/>
              <w:left w:val="nil"/>
              <w:bottom w:val="single" w:sz="4" w:space="0" w:color="auto"/>
              <w:right w:val="single" w:sz="4" w:space="0" w:color="auto"/>
            </w:tcBorders>
            <w:shd w:val="clear" w:color="auto" w:fill="auto"/>
            <w:vAlign w:val="center"/>
            <w:hideMark/>
          </w:tcPr>
          <w:p w14:paraId="3EE69D43"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národní podpory</w:t>
            </w:r>
          </w:p>
        </w:tc>
        <w:tc>
          <w:tcPr>
            <w:tcW w:w="1050" w:type="dxa"/>
            <w:tcBorders>
              <w:top w:val="nil"/>
              <w:left w:val="nil"/>
              <w:bottom w:val="single" w:sz="4" w:space="0" w:color="auto"/>
              <w:right w:val="single" w:sz="4" w:space="0" w:color="auto"/>
            </w:tcBorders>
            <w:shd w:val="clear" w:color="auto" w:fill="auto"/>
            <w:vAlign w:val="center"/>
            <w:hideMark/>
          </w:tcPr>
          <w:p w14:paraId="302BDF65"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Podpora z národních zdrojů</w:t>
            </w:r>
          </w:p>
        </w:tc>
      </w:tr>
      <w:tr w:rsidR="00A16DDB" w:rsidRPr="00D95127" w14:paraId="59324393" w14:textId="77777777" w:rsidTr="00A10E5C">
        <w:trPr>
          <w:trHeight w:val="1195"/>
        </w:trPr>
        <w:tc>
          <w:tcPr>
            <w:tcW w:w="1121" w:type="dxa"/>
            <w:vMerge w:val="restart"/>
            <w:tcBorders>
              <w:top w:val="nil"/>
              <w:left w:val="single" w:sz="4" w:space="0" w:color="auto"/>
              <w:bottom w:val="single" w:sz="4" w:space="0" w:color="auto"/>
              <w:right w:val="single" w:sz="4" w:space="0" w:color="auto"/>
            </w:tcBorders>
            <w:shd w:val="clear" w:color="auto" w:fill="auto"/>
            <w:vAlign w:val="center"/>
            <w:hideMark/>
          </w:tcPr>
          <w:p w14:paraId="2F22A01C"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Tlak řetězců a zájmových skupin na přechod k alternativním technologiím chovu</w:t>
            </w:r>
          </w:p>
        </w:tc>
        <w:tc>
          <w:tcPr>
            <w:tcW w:w="1351" w:type="dxa"/>
            <w:vMerge w:val="restart"/>
            <w:tcBorders>
              <w:top w:val="nil"/>
              <w:left w:val="single" w:sz="4" w:space="0" w:color="auto"/>
              <w:bottom w:val="single" w:sz="4" w:space="0" w:color="auto"/>
              <w:right w:val="single" w:sz="4" w:space="0" w:color="auto"/>
            </w:tcBorders>
            <w:shd w:val="clear" w:color="auto" w:fill="auto"/>
            <w:vAlign w:val="center"/>
            <w:hideMark/>
          </w:tcPr>
          <w:p w14:paraId="5E652830"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Welfare trendy</w:t>
            </w:r>
          </w:p>
        </w:tc>
        <w:tc>
          <w:tcPr>
            <w:tcW w:w="1826" w:type="dxa"/>
            <w:vMerge w:val="restart"/>
            <w:tcBorders>
              <w:top w:val="nil"/>
              <w:left w:val="single" w:sz="4" w:space="0" w:color="auto"/>
              <w:bottom w:val="single" w:sz="4" w:space="0" w:color="auto"/>
              <w:right w:val="single" w:sz="4" w:space="0" w:color="auto"/>
            </w:tcBorders>
            <w:shd w:val="clear" w:color="auto" w:fill="auto"/>
            <w:vAlign w:val="center"/>
            <w:hideMark/>
          </w:tcPr>
          <w:p w14:paraId="69C3A75B"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Nepřipravenost ke změně technologií</w:t>
            </w:r>
          </w:p>
        </w:tc>
        <w:tc>
          <w:tcPr>
            <w:tcW w:w="1025" w:type="dxa"/>
            <w:vMerge w:val="restart"/>
            <w:tcBorders>
              <w:top w:val="nil"/>
              <w:left w:val="single" w:sz="4" w:space="0" w:color="auto"/>
              <w:bottom w:val="single" w:sz="4" w:space="0" w:color="auto"/>
              <w:right w:val="single" w:sz="4" w:space="0" w:color="auto"/>
            </w:tcBorders>
            <w:shd w:val="clear" w:color="auto" w:fill="auto"/>
            <w:vAlign w:val="center"/>
            <w:hideMark/>
          </w:tcPr>
          <w:p w14:paraId="11F839CF"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Obměna technologie obohacených klecí na chov ve voliérách nebo podlahových chovech. Pro zachování stavu nosnic je nutná výstavba nových hal pro jejich ustájení.</w:t>
            </w:r>
          </w:p>
        </w:tc>
        <w:tc>
          <w:tcPr>
            <w:tcW w:w="1531" w:type="dxa"/>
            <w:tcBorders>
              <w:top w:val="nil"/>
              <w:left w:val="nil"/>
              <w:bottom w:val="single" w:sz="4" w:space="0" w:color="auto"/>
              <w:right w:val="single" w:sz="4" w:space="0" w:color="auto"/>
            </w:tcBorders>
            <w:shd w:val="clear" w:color="auto" w:fill="auto"/>
            <w:vAlign w:val="center"/>
            <w:hideMark/>
          </w:tcPr>
          <w:p w14:paraId="7ACE7550" w14:textId="77777777" w:rsidR="00A16DDB" w:rsidRPr="00D95127" w:rsidRDefault="00A16DDB" w:rsidP="007A627A">
            <w:pPr>
              <w:rPr>
                <w:rFonts w:eastAsia="Times New Roman" w:cs="Times New Roman"/>
                <w:sz w:val="20"/>
                <w:szCs w:val="20"/>
                <w:lang w:val="cs-CZ" w:eastAsia="cs-CZ"/>
              </w:rPr>
            </w:pPr>
            <w:r w:rsidRPr="00D95127">
              <w:rPr>
                <w:rFonts w:eastAsia="Times New Roman" w:cs="Times New Roman"/>
                <w:sz w:val="20"/>
                <w:szCs w:val="20"/>
                <w:lang w:val="cs-CZ" w:eastAsia="cs-CZ"/>
              </w:rPr>
              <w:t>84 % stavů nosnic. Finanční rámec: technologie 2 025 mil. Kč, nové stavby hal včetně technologie 722,4 mil. Kč</w:t>
            </w:r>
          </w:p>
        </w:tc>
        <w:tc>
          <w:tcPr>
            <w:tcW w:w="1100" w:type="dxa"/>
            <w:tcBorders>
              <w:top w:val="nil"/>
              <w:left w:val="nil"/>
              <w:bottom w:val="single" w:sz="4" w:space="0" w:color="auto"/>
              <w:right w:val="single" w:sz="4" w:space="0" w:color="auto"/>
            </w:tcBorders>
            <w:shd w:val="clear" w:color="auto" w:fill="auto"/>
            <w:vAlign w:val="center"/>
            <w:hideMark/>
          </w:tcPr>
          <w:p w14:paraId="5D778A54"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Investice</w:t>
            </w:r>
          </w:p>
        </w:tc>
        <w:tc>
          <w:tcPr>
            <w:tcW w:w="1077" w:type="dxa"/>
            <w:tcBorders>
              <w:top w:val="nil"/>
              <w:left w:val="nil"/>
              <w:bottom w:val="single" w:sz="4" w:space="0" w:color="auto"/>
              <w:right w:val="single" w:sz="4" w:space="0" w:color="auto"/>
            </w:tcBorders>
            <w:shd w:val="clear" w:color="auto" w:fill="auto"/>
            <w:vAlign w:val="center"/>
            <w:hideMark/>
          </w:tcPr>
          <w:p w14:paraId="4E02938E"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investice do hmotných aktiv (k zajištění zdraví a dobrých životních podmínek zvířat)</w:t>
            </w:r>
          </w:p>
        </w:tc>
        <w:tc>
          <w:tcPr>
            <w:tcW w:w="1050" w:type="dxa"/>
            <w:tcBorders>
              <w:top w:val="nil"/>
              <w:left w:val="nil"/>
              <w:bottom w:val="single" w:sz="4" w:space="0" w:color="auto"/>
              <w:right w:val="single" w:sz="4" w:space="0" w:color="auto"/>
            </w:tcBorders>
            <w:shd w:val="clear" w:color="auto" w:fill="auto"/>
            <w:vAlign w:val="center"/>
            <w:hideMark/>
          </w:tcPr>
          <w:p w14:paraId="53E37CA9"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 xml:space="preserve">Podpora investic vybraných technologií </w:t>
            </w:r>
          </w:p>
        </w:tc>
      </w:tr>
      <w:tr w:rsidR="00A16DDB" w:rsidRPr="00D95127" w14:paraId="1BC4E0BC" w14:textId="77777777" w:rsidTr="00A10E5C">
        <w:trPr>
          <w:trHeight w:val="1091"/>
        </w:trPr>
        <w:tc>
          <w:tcPr>
            <w:tcW w:w="1121" w:type="dxa"/>
            <w:vMerge/>
            <w:tcBorders>
              <w:top w:val="nil"/>
              <w:left w:val="single" w:sz="4" w:space="0" w:color="auto"/>
              <w:bottom w:val="single" w:sz="4" w:space="0" w:color="auto"/>
              <w:right w:val="single" w:sz="4" w:space="0" w:color="auto"/>
            </w:tcBorders>
            <w:vAlign w:val="center"/>
            <w:hideMark/>
          </w:tcPr>
          <w:p w14:paraId="7857329E" w14:textId="77777777" w:rsidR="00A16DDB" w:rsidRPr="00D95127" w:rsidRDefault="00A16DDB" w:rsidP="007A627A">
            <w:pPr>
              <w:rPr>
                <w:rFonts w:eastAsia="Times New Roman" w:cs="Times New Roman"/>
                <w:color w:val="000000"/>
                <w:sz w:val="20"/>
                <w:szCs w:val="20"/>
                <w:lang w:val="cs-CZ" w:eastAsia="cs-CZ"/>
              </w:rPr>
            </w:pPr>
          </w:p>
        </w:tc>
        <w:tc>
          <w:tcPr>
            <w:tcW w:w="1351" w:type="dxa"/>
            <w:vMerge/>
            <w:tcBorders>
              <w:top w:val="nil"/>
              <w:left w:val="single" w:sz="4" w:space="0" w:color="auto"/>
              <w:bottom w:val="single" w:sz="4" w:space="0" w:color="auto"/>
              <w:right w:val="single" w:sz="4" w:space="0" w:color="auto"/>
            </w:tcBorders>
            <w:vAlign w:val="center"/>
            <w:hideMark/>
          </w:tcPr>
          <w:p w14:paraId="443DDDE5" w14:textId="77777777" w:rsidR="00A16DDB" w:rsidRPr="00D95127" w:rsidRDefault="00A16DDB" w:rsidP="007A627A">
            <w:pPr>
              <w:rPr>
                <w:rFonts w:eastAsia="Times New Roman" w:cs="Times New Roman"/>
                <w:color w:val="000000"/>
                <w:sz w:val="20"/>
                <w:szCs w:val="20"/>
                <w:lang w:val="cs-CZ" w:eastAsia="cs-CZ"/>
              </w:rPr>
            </w:pPr>
          </w:p>
        </w:tc>
        <w:tc>
          <w:tcPr>
            <w:tcW w:w="1826" w:type="dxa"/>
            <w:vMerge/>
            <w:tcBorders>
              <w:top w:val="nil"/>
              <w:left w:val="single" w:sz="4" w:space="0" w:color="auto"/>
              <w:bottom w:val="single" w:sz="4" w:space="0" w:color="auto"/>
              <w:right w:val="single" w:sz="4" w:space="0" w:color="auto"/>
            </w:tcBorders>
            <w:vAlign w:val="center"/>
            <w:hideMark/>
          </w:tcPr>
          <w:p w14:paraId="147675D5" w14:textId="77777777" w:rsidR="00A16DDB" w:rsidRPr="00D95127" w:rsidRDefault="00A16DDB" w:rsidP="007A627A">
            <w:pPr>
              <w:rPr>
                <w:rFonts w:eastAsia="Times New Roman" w:cs="Times New Roman"/>
                <w:color w:val="000000"/>
                <w:sz w:val="20"/>
                <w:szCs w:val="20"/>
                <w:lang w:val="cs-CZ" w:eastAsia="cs-CZ"/>
              </w:rPr>
            </w:pPr>
          </w:p>
        </w:tc>
        <w:tc>
          <w:tcPr>
            <w:tcW w:w="1025" w:type="dxa"/>
            <w:vMerge/>
            <w:tcBorders>
              <w:top w:val="nil"/>
              <w:left w:val="single" w:sz="4" w:space="0" w:color="auto"/>
              <w:bottom w:val="single" w:sz="4" w:space="0" w:color="auto"/>
              <w:right w:val="single" w:sz="4" w:space="0" w:color="auto"/>
            </w:tcBorders>
            <w:vAlign w:val="center"/>
            <w:hideMark/>
          </w:tcPr>
          <w:p w14:paraId="1F93257A" w14:textId="77777777" w:rsidR="00A16DDB" w:rsidRPr="00D95127" w:rsidRDefault="00A16DDB" w:rsidP="007A627A">
            <w:pPr>
              <w:rPr>
                <w:rFonts w:eastAsia="Times New Roman" w:cs="Times New Roman"/>
                <w:color w:val="000000"/>
                <w:sz w:val="20"/>
                <w:szCs w:val="20"/>
                <w:lang w:val="cs-CZ" w:eastAsia="cs-CZ"/>
              </w:rPr>
            </w:pPr>
          </w:p>
        </w:tc>
        <w:tc>
          <w:tcPr>
            <w:tcW w:w="1531" w:type="dxa"/>
            <w:tcBorders>
              <w:top w:val="nil"/>
              <w:left w:val="nil"/>
              <w:bottom w:val="single" w:sz="4" w:space="0" w:color="auto"/>
              <w:right w:val="single" w:sz="4" w:space="0" w:color="auto"/>
            </w:tcBorders>
            <w:shd w:val="clear" w:color="auto" w:fill="auto"/>
            <w:vAlign w:val="center"/>
            <w:hideMark/>
          </w:tcPr>
          <w:p w14:paraId="6B117C87" w14:textId="77777777" w:rsidR="00A16DDB" w:rsidRPr="00D95127" w:rsidRDefault="00A16DDB" w:rsidP="007A627A">
            <w:pPr>
              <w:rPr>
                <w:rFonts w:eastAsia="Times New Roman" w:cs="Times New Roman"/>
                <w:sz w:val="20"/>
                <w:szCs w:val="20"/>
                <w:lang w:val="cs-CZ" w:eastAsia="cs-CZ"/>
              </w:rPr>
            </w:pPr>
            <w:r w:rsidRPr="00D95127">
              <w:rPr>
                <w:rFonts w:eastAsia="Times New Roman" w:cs="Times New Roman"/>
                <w:sz w:val="20"/>
                <w:szCs w:val="20"/>
                <w:lang w:val="cs-CZ" w:eastAsia="cs-CZ"/>
              </w:rPr>
              <w:t>84 % stavů kuřic. Finanční rámec: technologie 752,5 mil. Kč, nové stavby hal včetně technologie  361,2 mil. Kč</w:t>
            </w:r>
          </w:p>
        </w:tc>
        <w:tc>
          <w:tcPr>
            <w:tcW w:w="1100" w:type="dxa"/>
            <w:tcBorders>
              <w:top w:val="nil"/>
              <w:left w:val="nil"/>
              <w:bottom w:val="single" w:sz="4" w:space="0" w:color="auto"/>
              <w:right w:val="single" w:sz="4" w:space="0" w:color="auto"/>
            </w:tcBorders>
            <w:shd w:val="clear" w:color="auto" w:fill="auto"/>
            <w:vAlign w:val="center"/>
            <w:hideMark/>
          </w:tcPr>
          <w:p w14:paraId="18E344A0"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Investice</w:t>
            </w:r>
          </w:p>
        </w:tc>
        <w:tc>
          <w:tcPr>
            <w:tcW w:w="1077" w:type="dxa"/>
            <w:tcBorders>
              <w:top w:val="nil"/>
              <w:left w:val="nil"/>
              <w:bottom w:val="single" w:sz="4" w:space="0" w:color="auto"/>
              <w:right w:val="single" w:sz="4" w:space="0" w:color="auto"/>
            </w:tcBorders>
            <w:shd w:val="clear" w:color="auto" w:fill="auto"/>
            <w:vAlign w:val="center"/>
            <w:hideMark/>
          </w:tcPr>
          <w:p w14:paraId="61CC7215"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investice do hmotných aktiv (k zajištění zdraví a dobrých životních podmínek zvířat)</w:t>
            </w:r>
          </w:p>
        </w:tc>
        <w:tc>
          <w:tcPr>
            <w:tcW w:w="1050" w:type="dxa"/>
            <w:tcBorders>
              <w:top w:val="nil"/>
              <w:left w:val="nil"/>
              <w:bottom w:val="single" w:sz="4" w:space="0" w:color="auto"/>
              <w:right w:val="single" w:sz="4" w:space="0" w:color="auto"/>
            </w:tcBorders>
            <w:shd w:val="clear" w:color="auto" w:fill="auto"/>
            <w:vAlign w:val="center"/>
            <w:hideMark/>
          </w:tcPr>
          <w:p w14:paraId="7B41862A"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 xml:space="preserve">Podpora investic vybraných technologií </w:t>
            </w:r>
          </w:p>
        </w:tc>
      </w:tr>
      <w:tr w:rsidR="00A16DDB" w:rsidRPr="00D95127" w14:paraId="18963E4D" w14:textId="77777777" w:rsidTr="00A10E5C">
        <w:trPr>
          <w:trHeight w:val="791"/>
        </w:trPr>
        <w:tc>
          <w:tcPr>
            <w:tcW w:w="1121" w:type="dxa"/>
            <w:vMerge/>
            <w:tcBorders>
              <w:top w:val="nil"/>
              <w:left w:val="single" w:sz="4" w:space="0" w:color="auto"/>
              <w:bottom w:val="single" w:sz="4" w:space="0" w:color="auto"/>
              <w:right w:val="single" w:sz="4" w:space="0" w:color="auto"/>
            </w:tcBorders>
            <w:vAlign w:val="center"/>
            <w:hideMark/>
          </w:tcPr>
          <w:p w14:paraId="6AEE604A" w14:textId="77777777" w:rsidR="00A16DDB" w:rsidRPr="00D95127" w:rsidRDefault="00A16DDB" w:rsidP="007A627A">
            <w:pPr>
              <w:rPr>
                <w:rFonts w:eastAsia="Times New Roman" w:cs="Times New Roman"/>
                <w:color w:val="000000"/>
                <w:sz w:val="20"/>
                <w:szCs w:val="20"/>
                <w:lang w:val="cs-CZ" w:eastAsia="cs-CZ"/>
              </w:rPr>
            </w:pPr>
          </w:p>
        </w:tc>
        <w:tc>
          <w:tcPr>
            <w:tcW w:w="1351" w:type="dxa"/>
            <w:vMerge/>
            <w:tcBorders>
              <w:top w:val="nil"/>
              <w:left w:val="single" w:sz="4" w:space="0" w:color="auto"/>
              <w:bottom w:val="single" w:sz="4" w:space="0" w:color="auto"/>
              <w:right w:val="single" w:sz="4" w:space="0" w:color="auto"/>
            </w:tcBorders>
            <w:vAlign w:val="center"/>
            <w:hideMark/>
          </w:tcPr>
          <w:p w14:paraId="55F0E879" w14:textId="77777777" w:rsidR="00A16DDB" w:rsidRPr="00D95127" w:rsidRDefault="00A16DDB" w:rsidP="007A627A">
            <w:pPr>
              <w:rPr>
                <w:rFonts w:eastAsia="Times New Roman" w:cs="Times New Roman"/>
                <w:color w:val="000000"/>
                <w:sz w:val="20"/>
                <w:szCs w:val="20"/>
                <w:lang w:val="cs-CZ" w:eastAsia="cs-CZ"/>
              </w:rPr>
            </w:pPr>
          </w:p>
        </w:tc>
        <w:tc>
          <w:tcPr>
            <w:tcW w:w="1826" w:type="dxa"/>
            <w:vMerge/>
            <w:tcBorders>
              <w:top w:val="nil"/>
              <w:left w:val="single" w:sz="4" w:space="0" w:color="auto"/>
              <w:bottom w:val="single" w:sz="4" w:space="0" w:color="auto"/>
              <w:right w:val="single" w:sz="4" w:space="0" w:color="auto"/>
            </w:tcBorders>
            <w:vAlign w:val="center"/>
            <w:hideMark/>
          </w:tcPr>
          <w:p w14:paraId="161351E3" w14:textId="77777777" w:rsidR="00A16DDB" w:rsidRPr="00D95127" w:rsidRDefault="00A16DDB" w:rsidP="007A627A">
            <w:pPr>
              <w:rPr>
                <w:rFonts w:eastAsia="Times New Roman" w:cs="Times New Roman"/>
                <w:color w:val="000000"/>
                <w:sz w:val="20"/>
                <w:szCs w:val="20"/>
                <w:lang w:val="cs-CZ" w:eastAsia="cs-CZ"/>
              </w:rPr>
            </w:pPr>
          </w:p>
        </w:tc>
        <w:tc>
          <w:tcPr>
            <w:tcW w:w="1025" w:type="dxa"/>
            <w:vMerge/>
            <w:tcBorders>
              <w:top w:val="nil"/>
              <w:left w:val="single" w:sz="4" w:space="0" w:color="auto"/>
              <w:bottom w:val="single" w:sz="4" w:space="0" w:color="auto"/>
              <w:right w:val="single" w:sz="4" w:space="0" w:color="auto"/>
            </w:tcBorders>
            <w:vAlign w:val="center"/>
            <w:hideMark/>
          </w:tcPr>
          <w:p w14:paraId="7E392277" w14:textId="77777777" w:rsidR="00A16DDB" w:rsidRPr="00D95127" w:rsidRDefault="00A16DDB" w:rsidP="007A627A">
            <w:pPr>
              <w:rPr>
                <w:rFonts w:eastAsia="Times New Roman" w:cs="Times New Roman"/>
                <w:color w:val="000000"/>
                <w:sz w:val="20"/>
                <w:szCs w:val="20"/>
                <w:lang w:val="cs-CZ" w:eastAsia="cs-CZ"/>
              </w:rPr>
            </w:pPr>
          </w:p>
        </w:tc>
        <w:tc>
          <w:tcPr>
            <w:tcW w:w="1531" w:type="dxa"/>
            <w:tcBorders>
              <w:top w:val="nil"/>
              <w:left w:val="nil"/>
              <w:bottom w:val="single" w:sz="4" w:space="0" w:color="auto"/>
              <w:right w:val="single" w:sz="4" w:space="0" w:color="auto"/>
            </w:tcBorders>
            <w:shd w:val="clear" w:color="auto" w:fill="auto"/>
            <w:vAlign w:val="center"/>
            <w:hideMark/>
          </w:tcPr>
          <w:p w14:paraId="70EC277D" w14:textId="77777777" w:rsidR="00A16DDB" w:rsidRPr="00D95127" w:rsidRDefault="00A16DDB" w:rsidP="007A627A">
            <w:pPr>
              <w:rPr>
                <w:rFonts w:eastAsia="Times New Roman" w:cs="Times New Roman"/>
                <w:sz w:val="20"/>
                <w:szCs w:val="20"/>
                <w:lang w:val="cs-CZ" w:eastAsia="cs-CZ"/>
              </w:rPr>
            </w:pPr>
            <w:r w:rsidRPr="00D95127">
              <w:rPr>
                <w:rFonts w:eastAsia="Times New Roman" w:cs="Times New Roman"/>
                <w:sz w:val="20"/>
                <w:szCs w:val="20"/>
                <w:lang w:val="cs-CZ" w:eastAsia="cs-CZ"/>
              </w:rPr>
              <w:t>84 % stavů nosnic</w:t>
            </w:r>
          </w:p>
        </w:tc>
        <w:tc>
          <w:tcPr>
            <w:tcW w:w="1100" w:type="dxa"/>
            <w:tcBorders>
              <w:top w:val="nil"/>
              <w:left w:val="nil"/>
              <w:bottom w:val="single" w:sz="4" w:space="0" w:color="auto"/>
              <w:right w:val="single" w:sz="4" w:space="0" w:color="auto"/>
            </w:tcBorders>
            <w:shd w:val="clear" w:color="auto" w:fill="auto"/>
            <w:vAlign w:val="center"/>
            <w:hideMark/>
          </w:tcPr>
          <w:p w14:paraId="2EB3D4C8"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Poradenství, výměna znalostí a informací</w:t>
            </w:r>
          </w:p>
        </w:tc>
        <w:tc>
          <w:tcPr>
            <w:tcW w:w="1077" w:type="dxa"/>
            <w:tcBorders>
              <w:top w:val="nil"/>
              <w:left w:val="nil"/>
              <w:bottom w:val="single" w:sz="4" w:space="0" w:color="auto"/>
              <w:right w:val="single" w:sz="4" w:space="0" w:color="auto"/>
            </w:tcBorders>
            <w:shd w:val="clear" w:color="auto" w:fill="auto"/>
            <w:vAlign w:val="center"/>
            <w:hideMark/>
          </w:tcPr>
          <w:p w14:paraId="43F6C590"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Podpora poradenství (spojená se změnou technologie)</w:t>
            </w:r>
          </w:p>
        </w:tc>
        <w:tc>
          <w:tcPr>
            <w:tcW w:w="1050" w:type="dxa"/>
            <w:tcBorders>
              <w:top w:val="nil"/>
              <w:left w:val="nil"/>
              <w:bottom w:val="single" w:sz="4" w:space="0" w:color="auto"/>
              <w:right w:val="single" w:sz="4" w:space="0" w:color="auto"/>
            </w:tcBorders>
            <w:shd w:val="clear" w:color="auto" w:fill="auto"/>
            <w:vAlign w:val="center"/>
            <w:hideMark/>
          </w:tcPr>
          <w:p w14:paraId="6D05F509"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Podpora poradenství, přípravy zemědělců za změnu technologie</w:t>
            </w:r>
          </w:p>
        </w:tc>
      </w:tr>
      <w:tr w:rsidR="00A16DDB" w:rsidRPr="00D95127" w14:paraId="6E48C095" w14:textId="77777777" w:rsidTr="00A10E5C">
        <w:trPr>
          <w:trHeight w:val="672"/>
        </w:trPr>
        <w:tc>
          <w:tcPr>
            <w:tcW w:w="1121" w:type="dxa"/>
            <w:vMerge/>
            <w:tcBorders>
              <w:top w:val="nil"/>
              <w:left w:val="single" w:sz="4" w:space="0" w:color="auto"/>
              <w:bottom w:val="single" w:sz="4" w:space="0" w:color="auto"/>
              <w:right w:val="single" w:sz="4" w:space="0" w:color="auto"/>
            </w:tcBorders>
            <w:vAlign w:val="center"/>
            <w:hideMark/>
          </w:tcPr>
          <w:p w14:paraId="56E0D654" w14:textId="77777777" w:rsidR="00A16DDB" w:rsidRPr="00D95127" w:rsidRDefault="00A16DDB" w:rsidP="007A627A">
            <w:pPr>
              <w:rPr>
                <w:rFonts w:eastAsia="Times New Roman" w:cs="Times New Roman"/>
                <w:color w:val="000000"/>
                <w:sz w:val="20"/>
                <w:szCs w:val="20"/>
                <w:lang w:val="cs-CZ" w:eastAsia="cs-CZ"/>
              </w:rPr>
            </w:pPr>
          </w:p>
        </w:tc>
        <w:tc>
          <w:tcPr>
            <w:tcW w:w="1351" w:type="dxa"/>
            <w:vMerge/>
            <w:tcBorders>
              <w:top w:val="nil"/>
              <w:left w:val="single" w:sz="4" w:space="0" w:color="auto"/>
              <w:bottom w:val="single" w:sz="4" w:space="0" w:color="auto"/>
              <w:right w:val="single" w:sz="4" w:space="0" w:color="auto"/>
            </w:tcBorders>
            <w:vAlign w:val="center"/>
            <w:hideMark/>
          </w:tcPr>
          <w:p w14:paraId="0A8B43DD" w14:textId="77777777" w:rsidR="00A16DDB" w:rsidRPr="00D95127" w:rsidRDefault="00A16DDB" w:rsidP="007A627A">
            <w:pPr>
              <w:rPr>
                <w:rFonts w:eastAsia="Times New Roman" w:cs="Times New Roman"/>
                <w:color w:val="000000"/>
                <w:sz w:val="20"/>
                <w:szCs w:val="20"/>
                <w:lang w:val="cs-CZ" w:eastAsia="cs-CZ"/>
              </w:rPr>
            </w:pPr>
          </w:p>
        </w:tc>
        <w:tc>
          <w:tcPr>
            <w:tcW w:w="1826" w:type="dxa"/>
            <w:vMerge/>
            <w:tcBorders>
              <w:top w:val="nil"/>
              <w:left w:val="single" w:sz="4" w:space="0" w:color="auto"/>
              <w:bottom w:val="single" w:sz="4" w:space="0" w:color="auto"/>
              <w:right w:val="single" w:sz="4" w:space="0" w:color="auto"/>
            </w:tcBorders>
            <w:vAlign w:val="center"/>
            <w:hideMark/>
          </w:tcPr>
          <w:p w14:paraId="1BB7259E" w14:textId="77777777" w:rsidR="00A16DDB" w:rsidRPr="00D95127" w:rsidRDefault="00A16DDB" w:rsidP="007A627A">
            <w:pPr>
              <w:rPr>
                <w:rFonts w:eastAsia="Times New Roman" w:cs="Times New Roman"/>
                <w:color w:val="000000"/>
                <w:sz w:val="20"/>
                <w:szCs w:val="20"/>
                <w:lang w:val="cs-CZ" w:eastAsia="cs-CZ"/>
              </w:rPr>
            </w:pPr>
          </w:p>
        </w:tc>
        <w:tc>
          <w:tcPr>
            <w:tcW w:w="1025" w:type="dxa"/>
            <w:tcBorders>
              <w:top w:val="nil"/>
              <w:left w:val="nil"/>
              <w:bottom w:val="single" w:sz="4" w:space="0" w:color="auto"/>
              <w:right w:val="single" w:sz="4" w:space="0" w:color="auto"/>
            </w:tcBorders>
            <w:shd w:val="clear" w:color="auto" w:fill="auto"/>
            <w:vAlign w:val="center"/>
            <w:hideMark/>
          </w:tcPr>
          <w:p w14:paraId="5C2AD7F1"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Ponechání volby výrobku na spotřebiteli</w:t>
            </w:r>
          </w:p>
        </w:tc>
        <w:tc>
          <w:tcPr>
            <w:tcW w:w="1531" w:type="dxa"/>
            <w:tcBorders>
              <w:top w:val="nil"/>
              <w:left w:val="nil"/>
              <w:bottom w:val="single" w:sz="4" w:space="0" w:color="auto"/>
              <w:right w:val="single" w:sz="4" w:space="0" w:color="auto"/>
            </w:tcBorders>
            <w:shd w:val="clear" w:color="auto" w:fill="auto"/>
            <w:vAlign w:val="center"/>
            <w:hideMark/>
          </w:tcPr>
          <w:p w14:paraId="72AB2592"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spotřebitel ovlivňuje max. 5%</w:t>
            </w:r>
          </w:p>
        </w:tc>
        <w:tc>
          <w:tcPr>
            <w:tcW w:w="1100" w:type="dxa"/>
            <w:tcBorders>
              <w:top w:val="nil"/>
              <w:left w:val="nil"/>
              <w:bottom w:val="single" w:sz="4" w:space="0" w:color="auto"/>
              <w:right w:val="single" w:sz="4" w:space="0" w:color="auto"/>
            </w:tcBorders>
            <w:shd w:val="clear" w:color="auto" w:fill="auto"/>
            <w:vAlign w:val="center"/>
            <w:hideMark/>
          </w:tcPr>
          <w:p w14:paraId="2ACD36E5"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mimo rámec SZP</w:t>
            </w:r>
          </w:p>
        </w:tc>
        <w:tc>
          <w:tcPr>
            <w:tcW w:w="1077" w:type="dxa"/>
            <w:tcBorders>
              <w:top w:val="nil"/>
              <w:left w:val="nil"/>
              <w:bottom w:val="single" w:sz="4" w:space="0" w:color="auto"/>
              <w:right w:val="single" w:sz="4" w:space="0" w:color="auto"/>
            </w:tcBorders>
            <w:shd w:val="clear" w:color="auto" w:fill="auto"/>
            <w:vAlign w:val="center"/>
            <w:hideMark/>
          </w:tcPr>
          <w:p w14:paraId="1DBFB58D"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mimo rámec SZP</w:t>
            </w:r>
          </w:p>
        </w:tc>
        <w:tc>
          <w:tcPr>
            <w:tcW w:w="1050" w:type="dxa"/>
            <w:tcBorders>
              <w:top w:val="nil"/>
              <w:left w:val="nil"/>
              <w:bottom w:val="single" w:sz="4" w:space="0" w:color="auto"/>
              <w:right w:val="single" w:sz="4" w:space="0" w:color="auto"/>
            </w:tcBorders>
            <w:shd w:val="clear" w:color="auto" w:fill="auto"/>
            <w:vAlign w:val="center"/>
            <w:hideMark/>
          </w:tcPr>
          <w:p w14:paraId="5EA4AB34"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mimo rámec SZP</w:t>
            </w:r>
          </w:p>
        </w:tc>
      </w:tr>
      <w:tr w:rsidR="00A16DDB" w:rsidRPr="00D95127" w14:paraId="2D2B232C" w14:textId="77777777" w:rsidTr="00A10E5C">
        <w:trPr>
          <w:trHeight w:val="761"/>
        </w:trPr>
        <w:tc>
          <w:tcPr>
            <w:tcW w:w="1121" w:type="dxa"/>
            <w:tcBorders>
              <w:top w:val="nil"/>
              <w:left w:val="single" w:sz="4" w:space="0" w:color="auto"/>
              <w:bottom w:val="single" w:sz="4" w:space="0" w:color="auto"/>
              <w:right w:val="single" w:sz="4" w:space="0" w:color="auto"/>
            </w:tcBorders>
            <w:shd w:val="clear" w:color="auto" w:fill="auto"/>
            <w:vAlign w:val="center"/>
            <w:hideMark/>
          </w:tcPr>
          <w:p w14:paraId="7810F409"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 xml:space="preserve">Dominantní vliv obchodních řetězců v maloobchodním prodeji </w:t>
            </w:r>
          </w:p>
        </w:tc>
        <w:tc>
          <w:tcPr>
            <w:tcW w:w="1351" w:type="dxa"/>
            <w:tcBorders>
              <w:top w:val="nil"/>
              <w:left w:val="nil"/>
              <w:bottom w:val="single" w:sz="4" w:space="0" w:color="auto"/>
              <w:right w:val="single" w:sz="4" w:space="0" w:color="auto"/>
            </w:tcBorders>
            <w:shd w:val="clear" w:color="auto" w:fill="auto"/>
            <w:vAlign w:val="center"/>
            <w:hideMark/>
          </w:tcPr>
          <w:p w14:paraId="3D6EEA4A"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Slabá vyjednávací pozice zemědělců vůči řetězcům</w:t>
            </w:r>
          </w:p>
        </w:tc>
        <w:tc>
          <w:tcPr>
            <w:tcW w:w="1826" w:type="dxa"/>
            <w:tcBorders>
              <w:top w:val="nil"/>
              <w:left w:val="nil"/>
              <w:bottom w:val="single" w:sz="4" w:space="0" w:color="auto"/>
              <w:right w:val="single" w:sz="4" w:space="0" w:color="auto"/>
            </w:tcBorders>
            <w:shd w:val="clear" w:color="auto" w:fill="auto"/>
            <w:vAlign w:val="center"/>
            <w:hideMark/>
          </w:tcPr>
          <w:p w14:paraId="631EFDCF"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Nízké ceny za tuzemská vejce</w:t>
            </w:r>
          </w:p>
        </w:tc>
        <w:tc>
          <w:tcPr>
            <w:tcW w:w="1025" w:type="dxa"/>
            <w:tcBorders>
              <w:top w:val="nil"/>
              <w:left w:val="nil"/>
              <w:bottom w:val="single" w:sz="4" w:space="0" w:color="auto"/>
              <w:right w:val="single" w:sz="4" w:space="0" w:color="auto"/>
            </w:tcBorders>
            <w:shd w:val="clear" w:color="auto" w:fill="auto"/>
            <w:vAlign w:val="center"/>
            <w:hideMark/>
          </w:tcPr>
          <w:p w14:paraId="36FBE1BD"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Zvýšit vyjednávací schopnost zemědělců</w:t>
            </w:r>
          </w:p>
        </w:tc>
        <w:tc>
          <w:tcPr>
            <w:tcW w:w="1531" w:type="dxa"/>
            <w:tcBorders>
              <w:top w:val="nil"/>
              <w:left w:val="nil"/>
              <w:bottom w:val="single" w:sz="4" w:space="0" w:color="auto"/>
              <w:right w:val="single" w:sz="4" w:space="0" w:color="auto"/>
            </w:tcBorders>
            <w:shd w:val="clear" w:color="auto" w:fill="auto"/>
            <w:vAlign w:val="center"/>
            <w:hideMark/>
          </w:tcPr>
          <w:p w14:paraId="780FECF1"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všechny řetězce dominantní</w:t>
            </w:r>
          </w:p>
        </w:tc>
        <w:tc>
          <w:tcPr>
            <w:tcW w:w="1100" w:type="dxa"/>
            <w:tcBorders>
              <w:top w:val="nil"/>
              <w:left w:val="nil"/>
              <w:bottom w:val="single" w:sz="4" w:space="0" w:color="auto"/>
              <w:right w:val="single" w:sz="4" w:space="0" w:color="auto"/>
            </w:tcBorders>
            <w:shd w:val="clear" w:color="auto" w:fill="auto"/>
            <w:vAlign w:val="center"/>
            <w:hideMark/>
          </w:tcPr>
          <w:p w14:paraId="1601DF3A"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úprava tržní síly řetězců - mimo rámec SZP</w:t>
            </w:r>
          </w:p>
        </w:tc>
        <w:tc>
          <w:tcPr>
            <w:tcW w:w="1077" w:type="dxa"/>
            <w:tcBorders>
              <w:top w:val="nil"/>
              <w:left w:val="nil"/>
              <w:bottom w:val="single" w:sz="4" w:space="0" w:color="auto"/>
              <w:right w:val="single" w:sz="4" w:space="0" w:color="auto"/>
            </w:tcBorders>
            <w:shd w:val="clear" w:color="auto" w:fill="auto"/>
            <w:vAlign w:val="center"/>
            <w:hideMark/>
          </w:tcPr>
          <w:p w14:paraId="60DD6958"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úprava tržní síly řetězců - mimo rámec SZP</w:t>
            </w:r>
          </w:p>
        </w:tc>
        <w:tc>
          <w:tcPr>
            <w:tcW w:w="1050" w:type="dxa"/>
            <w:tcBorders>
              <w:top w:val="nil"/>
              <w:left w:val="nil"/>
              <w:bottom w:val="single" w:sz="4" w:space="0" w:color="auto"/>
              <w:right w:val="single" w:sz="4" w:space="0" w:color="auto"/>
            </w:tcBorders>
            <w:shd w:val="clear" w:color="auto" w:fill="auto"/>
            <w:vAlign w:val="center"/>
            <w:hideMark/>
          </w:tcPr>
          <w:p w14:paraId="291F346E"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Legislativní pravidla pro řetězce</w:t>
            </w:r>
          </w:p>
        </w:tc>
      </w:tr>
      <w:tr w:rsidR="00A16DDB" w:rsidRPr="00D95127" w14:paraId="12301E8F" w14:textId="77777777" w:rsidTr="00A10E5C">
        <w:trPr>
          <w:trHeight w:val="732"/>
        </w:trPr>
        <w:tc>
          <w:tcPr>
            <w:tcW w:w="1121" w:type="dxa"/>
            <w:vMerge w:val="restart"/>
            <w:tcBorders>
              <w:top w:val="nil"/>
              <w:left w:val="single" w:sz="4" w:space="0" w:color="auto"/>
              <w:bottom w:val="single" w:sz="4" w:space="0" w:color="auto"/>
              <w:right w:val="single" w:sz="4" w:space="0" w:color="auto"/>
            </w:tcBorders>
            <w:shd w:val="clear" w:color="auto" w:fill="auto"/>
            <w:vAlign w:val="center"/>
            <w:hideMark/>
          </w:tcPr>
          <w:p w14:paraId="6AF12633"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Absence diferenciace produktů prostřednictvím vertikálních režimů kvality</w:t>
            </w:r>
          </w:p>
        </w:tc>
        <w:tc>
          <w:tcPr>
            <w:tcW w:w="1351" w:type="dxa"/>
            <w:vMerge w:val="restart"/>
            <w:tcBorders>
              <w:top w:val="nil"/>
              <w:left w:val="single" w:sz="4" w:space="0" w:color="auto"/>
              <w:bottom w:val="single" w:sz="4" w:space="0" w:color="auto"/>
              <w:right w:val="single" w:sz="4" w:space="0" w:color="auto"/>
            </w:tcBorders>
            <w:shd w:val="clear" w:color="auto" w:fill="auto"/>
            <w:vAlign w:val="center"/>
            <w:hideMark/>
          </w:tcPr>
          <w:p w14:paraId="40535CDA"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Orientace spotřebitele převážně na cenu výrobků, ne na kvalitu</w:t>
            </w:r>
          </w:p>
        </w:tc>
        <w:tc>
          <w:tcPr>
            <w:tcW w:w="1826" w:type="dxa"/>
            <w:tcBorders>
              <w:top w:val="nil"/>
              <w:left w:val="nil"/>
              <w:bottom w:val="single" w:sz="4" w:space="0" w:color="auto"/>
              <w:right w:val="single" w:sz="4" w:space="0" w:color="auto"/>
            </w:tcBorders>
            <w:shd w:val="clear" w:color="auto" w:fill="auto"/>
            <w:vAlign w:val="center"/>
            <w:hideMark/>
          </w:tcPr>
          <w:p w14:paraId="591DE771"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Nízké ceny za tuzemská vejce</w:t>
            </w:r>
          </w:p>
        </w:tc>
        <w:tc>
          <w:tcPr>
            <w:tcW w:w="1025" w:type="dxa"/>
            <w:tcBorders>
              <w:top w:val="nil"/>
              <w:left w:val="nil"/>
              <w:bottom w:val="single" w:sz="4" w:space="0" w:color="auto"/>
              <w:right w:val="single" w:sz="4" w:space="0" w:color="auto"/>
            </w:tcBorders>
            <w:shd w:val="clear" w:color="auto" w:fill="auto"/>
            <w:vAlign w:val="center"/>
            <w:hideMark/>
          </w:tcPr>
          <w:p w14:paraId="6B44C87E"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 xml:space="preserve">Informování spotřebitelů </w:t>
            </w:r>
          </w:p>
        </w:tc>
        <w:tc>
          <w:tcPr>
            <w:tcW w:w="1531" w:type="dxa"/>
            <w:vMerge w:val="restart"/>
            <w:tcBorders>
              <w:top w:val="nil"/>
              <w:left w:val="single" w:sz="4" w:space="0" w:color="auto"/>
              <w:bottom w:val="single" w:sz="4" w:space="0" w:color="auto"/>
              <w:right w:val="single" w:sz="4" w:space="0" w:color="auto"/>
            </w:tcBorders>
            <w:shd w:val="clear" w:color="auto" w:fill="auto"/>
            <w:vAlign w:val="center"/>
            <w:hideMark/>
          </w:tcPr>
          <w:p w14:paraId="48CC7FEF"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průřezově celé odvětví</w:t>
            </w:r>
          </w:p>
        </w:tc>
        <w:tc>
          <w:tcPr>
            <w:tcW w:w="1100" w:type="dxa"/>
            <w:tcBorders>
              <w:top w:val="nil"/>
              <w:left w:val="nil"/>
              <w:bottom w:val="single" w:sz="4" w:space="0" w:color="auto"/>
              <w:right w:val="single" w:sz="4" w:space="0" w:color="auto"/>
            </w:tcBorders>
            <w:shd w:val="clear" w:color="auto" w:fill="auto"/>
            <w:vAlign w:val="center"/>
            <w:hideMark/>
          </w:tcPr>
          <w:p w14:paraId="6854DEE5" w14:textId="77777777" w:rsidR="00A16DDB" w:rsidRPr="00D95127" w:rsidRDefault="00A16DDB" w:rsidP="007A627A">
            <w:pPr>
              <w:rPr>
                <w:rFonts w:eastAsia="Times New Roman" w:cs="Times New Roman"/>
                <w:color w:val="0070C0"/>
                <w:sz w:val="20"/>
                <w:szCs w:val="20"/>
                <w:lang w:val="cs-CZ" w:eastAsia="cs-CZ"/>
              </w:rPr>
            </w:pPr>
            <w:r w:rsidRPr="00D95127">
              <w:rPr>
                <w:rFonts w:eastAsia="Times New Roman" w:cs="Times New Roman"/>
                <w:color w:val="0070C0"/>
                <w:sz w:val="20"/>
                <w:szCs w:val="20"/>
                <w:lang w:val="cs-CZ" w:eastAsia="cs-CZ"/>
              </w:rPr>
              <w:t xml:space="preserve">propagace, komunikace a marketing </w:t>
            </w:r>
          </w:p>
        </w:tc>
        <w:tc>
          <w:tcPr>
            <w:tcW w:w="1077" w:type="dxa"/>
            <w:tcBorders>
              <w:top w:val="nil"/>
              <w:left w:val="nil"/>
              <w:bottom w:val="single" w:sz="4" w:space="0" w:color="auto"/>
              <w:right w:val="single" w:sz="4" w:space="0" w:color="auto"/>
            </w:tcBorders>
            <w:shd w:val="clear" w:color="auto" w:fill="auto"/>
            <w:vAlign w:val="center"/>
            <w:hideMark/>
          </w:tcPr>
          <w:p w14:paraId="1AF7E6B0" w14:textId="77777777" w:rsidR="00A16DDB" w:rsidRPr="00D95127" w:rsidRDefault="00A16DDB" w:rsidP="007A627A">
            <w:pPr>
              <w:rPr>
                <w:rFonts w:eastAsia="Times New Roman" w:cs="Times New Roman"/>
                <w:color w:val="0070C0"/>
                <w:sz w:val="20"/>
                <w:szCs w:val="20"/>
                <w:lang w:val="cs-CZ" w:eastAsia="cs-CZ"/>
              </w:rPr>
            </w:pPr>
            <w:r w:rsidRPr="00D95127">
              <w:rPr>
                <w:rFonts w:eastAsia="Times New Roman" w:cs="Times New Roman"/>
                <w:color w:val="0070C0"/>
                <w:sz w:val="20"/>
                <w:szCs w:val="20"/>
                <w:lang w:val="cs-CZ" w:eastAsia="cs-CZ"/>
              </w:rPr>
              <w:t>Zavádění systémů sledování a certifikace</w:t>
            </w:r>
          </w:p>
        </w:tc>
        <w:tc>
          <w:tcPr>
            <w:tcW w:w="1050" w:type="dxa"/>
            <w:tcBorders>
              <w:top w:val="nil"/>
              <w:left w:val="nil"/>
              <w:bottom w:val="single" w:sz="4" w:space="0" w:color="auto"/>
              <w:right w:val="single" w:sz="4" w:space="0" w:color="auto"/>
            </w:tcBorders>
            <w:shd w:val="clear" w:color="auto" w:fill="auto"/>
            <w:vAlign w:val="center"/>
            <w:hideMark/>
          </w:tcPr>
          <w:p w14:paraId="3359AC34" w14:textId="77777777" w:rsidR="00A16DDB" w:rsidRPr="00D95127" w:rsidRDefault="00A16DDB" w:rsidP="007A627A">
            <w:pPr>
              <w:rPr>
                <w:rFonts w:eastAsia="Times New Roman" w:cs="Times New Roman"/>
                <w:color w:val="0070C0"/>
                <w:sz w:val="20"/>
                <w:szCs w:val="20"/>
                <w:lang w:val="cs-CZ" w:eastAsia="cs-CZ"/>
              </w:rPr>
            </w:pPr>
            <w:r w:rsidRPr="00D95127">
              <w:rPr>
                <w:rFonts w:eastAsia="Times New Roman" w:cs="Times New Roman"/>
                <w:color w:val="0070C0"/>
                <w:sz w:val="20"/>
                <w:szCs w:val="20"/>
                <w:lang w:val="cs-CZ" w:eastAsia="cs-CZ"/>
              </w:rPr>
              <w:t>Propagace českých výrobků</w:t>
            </w:r>
          </w:p>
        </w:tc>
      </w:tr>
      <w:tr w:rsidR="00A16DDB" w:rsidRPr="00D95127" w14:paraId="2A702E34" w14:textId="77777777" w:rsidTr="00A10E5C">
        <w:trPr>
          <w:trHeight w:val="986"/>
        </w:trPr>
        <w:tc>
          <w:tcPr>
            <w:tcW w:w="1121" w:type="dxa"/>
            <w:vMerge/>
            <w:tcBorders>
              <w:top w:val="nil"/>
              <w:left w:val="single" w:sz="4" w:space="0" w:color="auto"/>
              <w:bottom w:val="single" w:sz="4" w:space="0" w:color="auto"/>
              <w:right w:val="single" w:sz="4" w:space="0" w:color="auto"/>
            </w:tcBorders>
            <w:vAlign w:val="center"/>
            <w:hideMark/>
          </w:tcPr>
          <w:p w14:paraId="5B111B5B" w14:textId="77777777" w:rsidR="00A16DDB" w:rsidRPr="00D95127" w:rsidRDefault="00A16DDB" w:rsidP="007A627A">
            <w:pPr>
              <w:rPr>
                <w:rFonts w:eastAsia="Times New Roman" w:cs="Times New Roman"/>
                <w:color w:val="000000"/>
                <w:sz w:val="20"/>
                <w:szCs w:val="20"/>
                <w:lang w:val="cs-CZ" w:eastAsia="cs-CZ"/>
              </w:rPr>
            </w:pPr>
          </w:p>
        </w:tc>
        <w:tc>
          <w:tcPr>
            <w:tcW w:w="1351" w:type="dxa"/>
            <w:vMerge/>
            <w:tcBorders>
              <w:top w:val="nil"/>
              <w:left w:val="single" w:sz="4" w:space="0" w:color="auto"/>
              <w:bottom w:val="single" w:sz="4" w:space="0" w:color="auto"/>
              <w:right w:val="single" w:sz="4" w:space="0" w:color="auto"/>
            </w:tcBorders>
            <w:vAlign w:val="center"/>
            <w:hideMark/>
          </w:tcPr>
          <w:p w14:paraId="3A534FDF" w14:textId="77777777" w:rsidR="00A16DDB" w:rsidRPr="00D95127" w:rsidRDefault="00A16DDB" w:rsidP="007A627A">
            <w:pPr>
              <w:rPr>
                <w:rFonts w:eastAsia="Times New Roman" w:cs="Times New Roman"/>
                <w:color w:val="000000"/>
                <w:sz w:val="20"/>
                <w:szCs w:val="20"/>
                <w:lang w:val="cs-CZ" w:eastAsia="cs-CZ"/>
              </w:rPr>
            </w:pPr>
          </w:p>
        </w:tc>
        <w:tc>
          <w:tcPr>
            <w:tcW w:w="1826" w:type="dxa"/>
            <w:tcBorders>
              <w:top w:val="nil"/>
              <w:left w:val="nil"/>
              <w:bottom w:val="single" w:sz="4" w:space="0" w:color="auto"/>
              <w:right w:val="single" w:sz="4" w:space="0" w:color="auto"/>
            </w:tcBorders>
            <w:shd w:val="clear" w:color="auto" w:fill="auto"/>
            <w:vAlign w:val="center"/>
            <w:hideMark/>
          </w:tcPr>
          <w:p w14:paraId="292BE160"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 xml:space="preserve">Konkurence ze strany levnějších dovozových vajec </w:t>
            </w:r>
          </w:p>
        </w:tc>
        <w:tc>
          <w:tcPr>
            <w:tcW w:w="1025" w:type="dxa"/>
            <w:tcBorders>
              <w:top w:val="nil"/>
              <w:left w:val="nil"/>
              <w:bottom w:val="single" w:sz="4" w:space="0" w:color="auto"/>
              <w:right w:val="single" w:sz="4" w:space="0" w:color="auto"/>
            </w:tcBorders>
            <w:shd w:val="clear" w:color="auto" w:fill="auto"/>
            <w:vAlign w:val="center"/>
            <w:hideMark/>
          </w:tcPr>
          <w:p w14:paraId="1371DEAB"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Lepší označení tuzemských vajec (označení CZ na obalu nemusí odpovídat původu)</w:t>
            </w:r>
          </w:p>
        </w:tc>
        <w:tc>
          <w:tcPr>
            <w:tcW w:w="1531" w:type="dxa"/>
            <w:vMerge/>
            <w:tcBorders>
              <w:top w:val="nil"/>
              <w:left w:val="single" w:sz="4" w:space="0" w:color="auto"/>
              <w:bottom w:val="single" w:sz="4" w:space="0" w:color="auto"/>
              <w:right w:val="single" w:sz="4" w:space="0" w:color="auto"/>
            </w:tcBorders>
            <w:vAlign w:val="center"/>
            <w:hideMark/>
          </w:tcPr>
          <w:p w14:paraId="127801D8" w14:textId="77777777" w:rsidR="00A16DDB" w:rsidRPr="00D95127" w:rsidRDefault="00A16DDB" w:rsidP="007A627A">
            <w:pPr>
              <w:rPr>
                <w:rFonts w:eastAsia="Times New Roman" w:cs="Times New Roman"/>
                <w:color w:val="000000"/>
                <w:sz w:val="20"/>
                <w:szCs w:val="20"/>
                <w:lang w:val="cs-CZ" w:eastAsia="cs-CZ"/>
              </w:rPr>
            </w:pPr>
          </w:p>
        </w:tc>
        <w:tc>
          <w:tcPr>
            <w:tcW w:w="1100" w:type="dxa"/>
            <w:tcBorders>
              <w:top w:val="nil"/>
              <w:left w:val="nil"/>
              <w:bottom w:val="single" w:sz="4" w:space="0" w:color="auto"/>
              <w:right w:val="single" w:sz="4" w:space="0" w:color="auto"/>
            </w:tcBorders>
            <w:shd w:val="clear" w:color="auto" w:fill="auto"/>
            <w:vAlign w:val="center"/>
            <w:hideMark/>
          </w:tcPr>
          <w:p w14:paraId="20EB6608"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legislativní úprava - zavést povinnost označení původu na obalu</w:t>
            </w:r>
          </w:p>
        </w:tc>
        <w:tc>
          <w:tcPr>
            <w:tcW w:w="1077" w:type="dxa"/>
            <w:tcBorders>
              <w:top w:val="nil"/>
              <w:left w:val="nil"/>
              <w:bottom w:val="single" w:sz="4" w:space="0" w:color="auto"/>
              <w:right w:val="single" w:sz="4" w:space="0" w:color="auto"/>
            </w:tcBorders>
            <w:shd w:val="clear" w:color="auto" w:fill="auto"/>
            <w:vAlign w:val="center"/>
            <w:hideMark/>
          </w:tcPr>
          <w:p w14:paraId="01B5FAFB"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Legislativní úprava-mimo rámec SZP</w:t>
            </w:r>
          </w:p>
        </w:tc>
        <w:tc>
          <w:tcPr>
            <w:tcW w:w="1050" w:type="dxa"/>
            <w:tcBorders>
              <w:top w:val="nil"/>
              <w:left w:val="nil"/>
              <w:bottom w:val="single" w:sz="4" w:space="0" w:color="auto"/>
              <w:right w:val="single" w:sz="4" w:space="0" w:color="auto"/>
            </w:tcBorders>
            <w:shd w:val="clear" w:color="auto" w:fill="auto"/>
            <w:vAlign w:val="center"/>
            <w:hideMark/>
          </w:tcPr>
          <w:p w14:paraId="3D6A19E5"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legislativní úprava - zavést povinnost označení původu na obalu</w:t>
            </w:r>
          </w:p>
        </w:tc>
      </w:tr>
      <w:tr w:rsidR="00A16DDB" w:rsidRPr="00D95127" w14:paraId="44C5D604" w14:textId="77777777" w:rsidTr="00A10E5C">
        <w:trPr>
          <w:trHeight w:val="507"/>
        </w:trPr>
        <w:tc>
          <w:tcPr>
            <w:tcW w:w="1121" w:type="dxa"/>
            <w:vMerge/>
            <w:tcBorders>
              <w:top w:val="nil"/>
              <w:left w:val="single" w:sz="4" w:space="0" w:color="auto"/>
              <w:bottom w:val="single" w:sz="4" w:space="0" w:color="auto"/>
              <w:right w:val="single" w:sz="4" w:space="0" w:color="auto"/>
            </w:tcBorders>
            <w:vAlign w:val="center"/>
            <w:hideMark/>
          </w:tcPr>
          <w:p w14:paraId="2CA93A5D" w14:textId="77777777" w:rsidR="00A16DDB" w:rsidRPr="00D95127" w:rsidRDefault="00A16DDB" w:rsidP="007A627A">
            <w:pPr>
              <w:rPr>
                <w:rFonts w:eastAsia="Times New Roman" w:cs="Times New Roman"/>
                <w:color w:val="000000"/>
                <w:sz w:val="20"/>
                <w:szCs w:val="20"/>
                <w:lang w:val="cs-CZ" w:eastAsia="cs-CZ"/>
              </w:rPr>
            </w:pPr>
          </w:p>
        </w:tc>
        <w:tc>
          <w:tcPr>
            <w:tcW w:w="1351" w:type="dxa"/>
            <w:vMerge/>
            <w:tcBorders>
              <w:top w:val="nil"/>
              <w:left w:val="single" w:sz="4" w:space="0" w:color="auto"/>
              <w:bottom w:val="single" w:sz="4" w:space="0" w:color="auto"/>
              <w:right w:val="single" w:sz="4" w:space="0" w:color="auto"/>
            </w:tcBorders>
            <w:vAlign w:val="center"/>
            <w:hideMark/>
          </w:tcPr>
          <w:p w14:paraId="7330C179" w14:textId="77777777" w:rsidR="00A16DDB" w:rsidRPr="00D95127" w:rsidRDefault="00A16DDB" w:rsidP="007A627A">
            <w:pPr>
              <w:rPr>
                <w:rFonts w:eastAsia="Times New Roman" w:cs="Times New Roman"/>
                <w:color w:val="000000"/>
                <w:sz w:val="20"/>
                <w:szCs w:val="20"/>
                <w:lang w:val="cs-CZ" w:eastAsia="cs-CZ"/>
              </w:rPr>
            </w:pPr>
          </w:p>
        </w:tc>
        <w:tc>
          <w:tcPr>
            <w:tcW w:w="1826" w:type="dxa"/>
            <w:tcBorders>
              <w:top w:val="nil"/>
              <w:left w:val="nil"/>
              <w:bottom w:val="single" w:sz="4" w:space="0" w:color="auto"/>
              <w:right w:val="single" w:sz="4" w:space="0" w:color="auto"/>
            </w:tcBorders>
            <w:shd w:val="clear" w:color="auto" w:fill="auto"/>
            <w:hideMark/>
          </w:tcPr>
          <w:p w14:paraId="307B27EF"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 </w:t>
            </w:r>
          </w:p>
        </w:tc>
        <w:tc>
          <w:tcPr>
            <w:tcW w:w="1025" w:type="dxa"/>
            <w:tcBorders>
              <w:top w:val="nil"/>
              <w:left w:val="nil"/>
              <w:bottom w:val="single" w:sz="4" w:space="0" w:color="auto"/>
              <w:right w:val="single" w:sz="4" w:space="0" w:color="auto"/>
            </w:tcBorders>
            <w:shd w:val="clear" w:color="auto" w:fill="auto"/>
            <w:vAlign w:val="center"/>
            <w:hideMark/>
          </w:tcPr>
          <w:p w14:paraId="7FB7C1BB"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Zavedení systému kvality pro tuzemská vejce</w:t>
            </w:r>
          </w:p>
        </w:tc>
        <w:tc>
          <w:tcPr>
            <w:tcW w:w="1531" w:type="dxa"/>
            <w:vMerge/>
            <w:tcBorders>
              <w:top w:val="nil"/>
              <w:left w:val="single" w:sz="4" w:space="0" w:color="auto"/>
              <w:bottom w:val="single" w:sz="4" w:space="0" w:color="auto"/>
              <w:right w:val="single" w:sz="4" w:space="0" w:color="auto"/>
            </w:tcBorders>
            <w:vAlign w:val="center"/>
            <w:hideMark/>
          </w:tcPr>
          <w:p w14:paraId="47900ED5" w14:textId="77777777" w:rsidR="00A16DDB" w:rsidRPr="00D95127" w:rsidRDefault="00A16DDB" w:rsidP="007A627A">
            <w:pPr>
              <w:rPr>
                <w:rFonts w:eastAsia="Times New Roman" w:cs="Times New Roman"/>
                <w:color w:val="000000"/>
                <w:sz w:val="20"/>
                <w:szCs w:val="20"/>
                <w:lang w:val="cs-CZ" w:eastAsia="cs-CZ"/>
              </w:rPr>
            </w:pPr>
          </w:p>
        </w:tc>
        <w:tc>
          <w:tcPr>
            <w:tcW w:w="1100" w:type="dxa"/>
            <w:tcBorders>
              <w:top w:val="nil"/>
              <w:left w:val="nil"/>
              <w:bottom w:val="single" w:sz="4" w:space="0" w:color="auto"/>
              <w:right w:val="single" w:sz="4" w:space="0" w:color="auto"/>
            </w:tcBorders>
            <w:shd w:val="clear" w:color="auto" w:fill="auto"/>
            <w:vAlign w:val="center"/>
            <w:hideMark/>
          </w:tcPr>
          <w:p w14:paraId="7C95CA6E"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národní podpory</w:t>
            </w:r>
          </w:p>
        </w:tc>
        <w:tc>
          <w:tcPr>
            <w:tcW w:w="1077" w:type="dxa"/>
            <w:tcBorders>
              <w:top w:val="nil"/>
              <w:left w:val="nil"/>
              <w:bottom w:val="single" w:sz="4" w:space="0" w:color="auto"/>
              <w:right w:val="single" w:sz="4" w:space="0" w:color="auto"/>
            </w:tcBorders>
            <w:shd w:val="clear" w:color="auto" w:fill="auto"/>
            <w:vAlign w:val="center"/>
            <w:hideMark/>
          </w:tcPr>
          <w:p w14:paraId="1983E1FD"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národní podpory</w:t>
            </w:r>
          </w:p>
        </w:tc>
        <w:tc>
          <w:tcPr>
            <w:tcW w:w="1050" w:type="dxa"/>
            <w:tcBorders>
              <w:top w:val="nil"/>
              <w:left w:val="nil"/>
              <w:bottom w:val="single" w:sz="4" w:space="0" w:color="auto"/>
              <w:right w:val="single" w:sz="4" w:space="0" w:color="auto"/>
            </w:tcBorders>
            <w:shd w:val="clear" w:color="auto" w:fill="auto"/>
            <w:vAlign w:val="center"/>
            <w:hideMark/>
          </w:tcPr>
          <w:p w14:paraId="73815C7B"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národní podpory</w:t>
            </w:r>
          </w:p>
        </w:tc>
      </w:tr>
      <w:tr w:rsidR="00A16DDB" w:rsidRPr="00D95127" w14:paraId="65C65E84" w14:textId="77777777" w:rsidTr="00A10E5C">
        <w:trPr>
          <w:trHeight w:val="1076"/>
        </w:trPr>
        <w:tc>
          <w:tcPr>
            <w:tcW w:w="1121" w:type="dxa"/>
            <w:tcBorders>
              <w:top w:val="nil"/>
              <w:left w:val="single" w:sz="4" w:space="0" w:color="auto"/>
              <w:bottom w:val="single" w:sz="4" w:space="0" w:color="auto"/>
              <w:right w:val="single" w:sz="4" w:space="0" w:color="auto"/>
            </w:tcBorders>
            <w:shd w:val="clear" w:color="auto" w:fill="auto"/>
            <w:vAlign w:val="center"/>
            <w:hideMark/>
          </w:tcPr>
          <w:p w14:paraId="74B030B1" w14:textId="77777777" w:rsidR="00A16DDB" w:rsidRPr="00D95127" w:rsidRDefault="00A16DDB" w:rsidP="007A627A">
            <w:pPr>
              <w:rPr>
                <w:rFonts w:eastAsia="Times New Roman" w:cs="Times New Roman"/>
                <w:sz w:val="20"/>
                <w:szCs w:val="20"/>
                <w:lang w:val="cs-CZ" w:eastAsia="cs-CZ"/>
              </w:rPr>
            </w:pPr>
            <w:r w:rsidRPr="00D95127">
              <w:rPr>
                <w:rFonts w:eastAsia="Times New Roman" w:cs="Times New Roman"/>
                <w:sz w:val="20"/>
                <w:szCs w:val="20"/>
                <w:lang w:val="cs-CZ" w:eastAsia="cs-CZ"/>
              </w:rPr>
              <w:t>Obtížné získávání sezónní pracovní síly</w:t>
            </w:r>
          </w:p>
        </w:tc>
        <w:tc>
          <w:tcPr>
            <w:tcW w:w="1351" w:type="dxa"/>
            <w:tcBorders>
              <w:top w:val="nil"/>
              <w:left w:val="nil"/>
              <w:bottom w:val="single" w:sz="4" w:space="0" w:color="auto"/>
              <w:right w:val="single" w:sz="4" w:space="0" w:color="auto"/>
            </w:tcBorders>
            <w:shd w:val="clear" w:color="auto" w:fill="auto"/>
            <w:vAlign w:val="center"/>
            <w:hideMark/>
          </w:tcPr>
          <w:p w14:paraId="2648DCF4"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sezónnost práce, neatraktivní práce</w:t>
            </w:r>
          </w:p>
        </w:tc>
        <w:tc>
          <w:tcPr>
            <w:tcW w:w="1826" w:type="dxa"/>
            <w:tcBorders>
              <w:top w:val="nil"/>
              <w:left w:val="nil"/>
              <w:bottom w:val="single" w:sz="4" w:space="0" w:color="auto"/>
              <w:right w:val="single" w:sz="4" w:space="0" w:color="auto"/>
            </w:tcBorders>
            <w:shd w:val="clear" w:color="auto" w:fill="auto"/>
            <w:vAlign w:val="center"/>
            <w:hideMark/>
          </w:tcPr>
          <w:p w14:paraId="545150C9"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 xml:space="preserve">průběžné hledání pracovních sil; hledání zdrojů v zahraničí </w:t>
            </w:r>
          </w:p>
        </w:tc>
        <w:tc>
          <w:tcPr>
            <w:tcW w:w="1025" w:type="dxa"/>
            <w:tcBorders>
              <w:top w:val="nil"/>
              <w:left w:val="nil"/>
              <w:bottom w:val="single" w:sz="4" w:space="0" w:color="auto"/>
              <w:right w:val="single" w:sz="4" w:space="0" w:color="auto"/>
            </w:tcBorders>
            <w:shd w:val="clear" w:color="auto" w:fill="auto"/>
            <w:vAlign w:val="center"/>
            <w:hideMark/>
          </w:tcPr>
          <w:p w14:paraId="4E95082F"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zlepšit podmínky pro získávání pracovní síly (domácí i zahraniční)</w:t>
            </w:r>
          </w:p>
        </w:tc>
        <w:tc>
          <w:tcPr>
            <w:tcW w:w="1531" w:type="dxa"/>
            <w:tcBorders>
              <w:top w:val="nil"/>
              <w:left w:val="nil"/>
              <w:bottom w:val="single" w:sz="4" w:space="0" w:color="auto"/>
              <w:right w:val="single" w:sz="4" w:space="0" w:color="auto"/>
            </w:tcBorders>
            <w:shd w:val="clear" w:color="auto" w:fill="auto"/>
            <w:vAlign w:val="center"/>
            <w:hideMark/>
          </w:tcPr>
          <w:p w14:paraId="4667D2C2"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průřezově celé odvětví</w:t>
            </w:r>
          </w:p>
        </w:tc>
        <w:tc>
          <w:tcPr>
            <w:tcW w:w="1100" w:type="dxa"/>
            <w:tcBorders>
              <w:top w:val="nil"/>
              <w:left w:val="nil"/>
              <w:bottom w:val="single" w:sz="4" w:space="0" w:color="auto"/>
              <w:right w:val="single" w:sz="4" w:space="0" w:color="auto"/>
            </w:tcBorders>
            <w:shd w:val="clear" w:color="auto" w:fill="auto"/>
            <w:vAlign w:val="center"/>
            <w:hideMark/>
          </w:tcPr>
          <w:p w14:paraId="180D3498"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 xml:space="preserve">národní podpory - nepřímá podpora prostřednictvím šetrného zacházení se zvířaty </w:t>
            </w:r>
          </w:p>
        </w:tc>
        <w:tc>
          <w:tcPr>
            <w:tcW w:w="1077" w:type="dxa"/>
            <w:tcBorders>
              <w:top w:val="nil"/>
              <w:left w:val="nil"/>
              <w:bottom w:val="single" w:sz="4" w:space="0" w:color="auto"/>
              <w:right w:val="single" w:sz="4" w:space="0" w:color="auto"/>
            </w:tcBorders>
            <w:shd w:val="clear" w:color="auto" w:fill="auto"/>
            <w:vAlign w:val="center"/>
            <w:hideMark/>
          </w:tcPr>
          <w:p w14:paraId="4DA77612"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 xml:space="preserve">národní podpory - nepřímá podpora prostřednictvím šetrného zacházení se zvířaty </w:t>
            </w:r>
          </w:p>
        </w:tc>
        <w:tc>
          <w:tcPr>
            <w:tcW w:w="1050" w:type="dxa"/>
            <w:tcBorders>
              <w:top w:val="nil"/>
              <w:left w:val="nil"/>
              <w:bottom w:val="single" w:sz="4" w:space="0" w:color="auto"/>
              <w:right w:val="single" w:sz="4" w:space="0" w:color="auto"/>
            </w:tcBorders>
            <w:shd w:val="clear" w:color="auto" w:fill="auto"/>
            <w:vAlign w:val="center"/>
            <w:hideMark/>
          </w:tcPr>
          <w:p w14:paraId="2C697BFD" w14:textId="77777777" w:rsidR="00A16DDB" w:rsidRPr="00D95127" w:rsidRDefault="00A16DDB" w:rsidP="007A627A">
            <w:pPr>
              <w:rPr>
                <w:rFonts w:eastAsia="Times New Roman" w:cs="Times New Roman"/>
                <w:color w:val="000000"/>
                <w:sz w:val="20"/>
                <w:szCs w:val="20"/>
                <w:lang w:val="cs-CZ" w:eastAsia="cs-CZ"/>
              </w:rPr>
            </w:pPr>
            <w:r w:rsidRPr="00D95127">
              <w:rPr>
                <w:rFonts w:eastAsia="Times New Roman" w:cs="Times New Roman"/>
                <w:color w:val="000000"/>
                <w:sz w:val="20"/>
                <w:szCs w:val="20"/>
                <w:lang w:val="cs-CZ" w:eastAsia="cs-CZ"/>
              </w:rPr>
              <w:t xml:space="preserve">národní podpory - nepřímá podpora prostřednictvím šetrného zacházení se zvířaty </w:t>
            </w:r>
          </w:p>
        </w:tc>
      </w:tr>
    </w:tbl>
    <w:p w14:paraId="0624E458" w14:textId="77777777" w:rsidR="00A16DDB" w:rsidRPr="00D95127" w:rsidRDefault="00A16DDB" w:rsidP="00A16DDB">
      <w:pPr>
        <w:ind w:firstLine="709"/>
        <w:rPr>
          <w:rFonts w:cs="Times New Roman"/>
          <w:szCs w:val="24"/>
          <w:lang w:val="cs-CZ"/>
        </w:rPr>
      </w:pPr>
    </w:p>
    <w:p w14:paraId="1B14A401" w14:textId="77777777" w:rsidR="00A16DDB" w:rsidRPr="00D95127" w:rsidRDefault="00A16DDB" w:rsidP="00A16DDB">
      <w:pPr>
        <w:rPr>
          <w:rFonts w:cs="Times New Roman"/>
          <w:szCs w:val="24"/>
          <w:u w:val="single"/>
          <w:lang w:val="cs-CZ"/>
        </w:rPr>
        <w:sectPr w:rsidR="00A16DDB" w:rsidRPr="00D95127" w:rsidSect="00C82CBD">
          <w:pgSz w:w="16838" w:h="11906" w:orient="landscape"/>
          <w:pgMar w:top="1418" w:right="1418" w:bottom="1418" w:left="1418" w:header="709" w:footer="709" w:gutter="0"/>
          <w:cols w:space="708"/>
          <w:docGrid w:linePitch="360"/>
        </w:sectPr>
      </w:pPr>
      <w:bookmarkStart w:id="1150" w:name="_Toc15304119"/>
      <w:bookmarkStart w:id="1151" w:name="_Toc23509945"/>
      <w:bookmarkStart w:id="1152" w:name="_Toc76137471"/>
      <w:bookmarkStart w:id="1153" w:name="_Toc76637670"/>
      <w:bookmarkEnd w:id="1123"/>
    </w:p>
    <w:p w14:paraId="01E47197" w14:textId="77777777" w:rsidR="00A16DDB" w:rsidRPr="00D95127" w:rsidRDefault="00A16DDB" w:rsidP="0055361F">
      <w:pPr>
        <w:pStyle w:val="Nadpis1"/>
      </w:pPr>
      <w:bookmarkStart w:id="1154" w:name="_Toc80953359"/>
      <w:bookmarkStart w:id="1155" w:name="_Toc81739311"/>
      <w:r w:rsidRPr="00D95127">
        <w:t>SWOT analýza</w:t>
      </w:r>
      <w:bookmarkEnd w:id="1150"/>
      <w:bookmarkEnd w:id="1151"/>
      <w:bookmarkEnd w:id="1152"/>
      <w:bookmarkEnd w:id="1153"/>
      <w:bookmarkEnd w:id="1154"/>
      <w:bookmarkEnd w:id="1155"/>
    </w:p>
    <w:p w14:paraId="33E65C50" w14:textId="77777777" w:rsidR="00A16DDB" w:rsidRPr="0055361F" w:rsidRDefault="00A16DDB" w:rsidP="00A16DDB">
      <w:pPr>
        <w:ind w:firstLine="709"/>
        <w:rPr>
          <w:rStyle w:val="Odkazintenzivn"/>
          <w:rFonts w:cs="Times New Roman"/>
          <w:caps/>
          <w:smallCaps w:val="0"/>
          <w:color w:val="auto"/>
          <w:szCs w:val="24"/>
          <w:lang w:val="cs-CZ"/>
        </w:rPr>
      </w:pPr>
      <w:r w:rsidRPr="0055361F">
        <w:rPr>
          <w:rStyle w:val="Odkazintenzivn"/>
          <w:rFonts w:cs="Times New Roman"/>
          <w:caps/>
          <w:smallCaps w:val="0"/>
          <w:color w:val="auto"/>
          <w:szCs w:val="24"/>
          <w:lang w:val="cs-CZ"/>
        </w:rPr>
        <w:t>Drůbeží maso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17"/>
        <w:gridCol w:w="4499"/>
      </w:tblGrid>
      <w:tr w:rsidR="00A16DDB" w:rsidRPr="00D95127" w14:paraId="314004F9" w14:textId="77777777" w:rsidTr="007A627A">
        <w:tc>
          <w:tcPr>
            <w:tcW w:w="4531" w:type="dxa"/>
            <w:shd w:val="clear" w:color="auto" w:fill="auto"/>
          </w:tcPr>
          <w:p w14:paraId="27703438" w14:textId="77777777" w:rsidR="00A16DDB" w:rsidRPr="00D95127" w:rsidRDefault="00A16DDB" w:rsidP="007A627A">
            <w:pPr>
              <w:jc w:val="center"/>
              <w:rPr>
                <w:rFonts w:cs="Times New Roman"/>
                <w:b/>
                <w:szCs w:val="24"/>
                <w:lang w:val="cs-CZ"/>
              </w:rPr>
            </w:pPr>
            <w:r w:rsidRPr="00D95127">
              <w:rPr>
                <w:rFonts w:cs="Times New Roman"/>
                <w:b/>
                <w:szCs w:val="24"/>
                <w:lang w:val="cs-CZ"/>
              </w:rPr>
              <w:t>Silné stránky</w:t>
            </w:r>
          </w:p>
        </w:tc>
        <w:tc>
          <w:tcPr>
            <w:tcW w:w="4531" w:type="dxa"/>
            <w:shd w:val="clear" w:color="auto" w:fill="auto"/>
          </w:tcPr>
          <w:p w14:paraId="169019F2" w14:textId="77777777" w:rsidR="00A16DDB" w:rsidRPr="00D95127" w:rsidRDefault="00A16DDB" w:rsidP="007A627A">
            <w:pPr>
              <w:jc w:val="center"/>
              <w:rPr>
                <w:rFonts w:cs="Times New Roman"/>
                <w:b/>
                <w:szCs w:val="24"/>
                <w:lang w:val="cs-CZ"/>
              </w:rPr>
            </w:pPr>
            <w:r w:rsidRPr="00D95127">
              <w:rPr>
                <w:rFonts w:cs="Times New Roman"/>
                <w:b/>
                <w:szCs w:val="24"/>
                <w:lang w:val="cs-CZ"/>
              </w:rPr>
              <w:t>Slabé stránky</w:t>
            </w:r>
          </w:p>
        </w:tc>
      </w:tr>
      <w:tr w:rsidR="00A16DDB" w:rsidRPr="00D95127" w14:paraId="7A5CCA7B" w14:textId="77777777" w:rsidTr="007A627A">
        <w:tc>
          <w:tcPr>
            <w:tcW w:w="4531" w:type="dxa"/>
            <w:shd w:val="clear" w:color="auto" w:fill="auto"/>
          </w:tcPr>
          <w:p w14:paraId="000B96CF" w14:textId="49D900CB" w:rsidR="00A16DDB" w:rsidRPr="00D95127" w:rsidRDefault="004A616C" w:rsidP="0055361F">
            <w:pPr>
              <w:pStyle w:val="UZEIOdrky"/>
              <w:ind w:left="460" w:hanging="425"/>
            </w:pPr>
            <w:r>
              <w:t xml:space="preserve">S1: </w:t>
            </w:r>
            <w:r w:rsidR="00A16DDB" w:rsidRPr="00D95127">
              <w:t>Existence podniků s vysokou koncentrací zvířat bez půdy a s potenciálními výhodami z velikosti.</w:t>
            </w:r>
          </w:p>
          <w:p w14:paraId="57A52836" w14:textId="59A67A92" w:rsidR="00A16DDB" w:rsidRPr="00D95127" w:rsidRDefault="004A616C" w:rsidP="0055361F">
            <w:pPr>
              <w:pStyle w:val="UZEIOdrky"/>
              <w:ind w:left="460" w:hanging="425"/>
            </w:pPr>
            <w:r>
              <w:t xml:space="preserve">S2: </w:t>
            </w:r>
            <w:r w:rsidR="00A16DDB" w:rsidRPr="00D95127">
              <w:t>Naprostá většina podniků naplňuje požadavky na pohodu zvířat.</w:t>
            </w:r>
          </w:p>
          <w:p w14:paraId="7604957A" w14:textId="2F5A4E8F" w:rsidR="00A16DDB" w:rsidRPr="00D95127" w:rsidRDefault="004A616C" w:rsidP="0055361F">
            <w:pPr>
              <w:pStyle w:val="UZEIOdrky"/>
              <w:ind w:left="460" w:hanging="425"/>
            </w:pPr>
            <w:r>
              <w:t xml:space="preserve">S3: </w:t>
            </w:r>
            <w:r w:rsidR="00A16DDB" w:rsidRPr="00D95127">
              <w:t>Stabilní domácí poptávka po drůbežím mase.</w:t>
            </w:r>
          </w:p>
          <w:p w14:paraId="28E76C72" w14:textId="709D27C9" w:rsidR="00A16DDB" w:rsidRPr="00D95127" w:rsidRDefault="004A616C" w:rsidP="0055361F">
            <w:pPr>
              <w:pStyle w:val="UZEIOdrky"/>
              <w:ind w:left="460" w:hanging="425"/>
            </w:pPr>
            <w:r>
              <w:t xml:space="preserve">S4: </w:t>
            </w:r>
            <w:r w:rsidR="00A16DDB" w:rsidRPr="00D95127">
              <w:t>Existence těsných (vlastnických) vazeb na zpracovatele – vyšší stupeň integrace.</w:t>
            </w:r>
          </w:p>
          <w:p w14:paraId="51382675" w14:textId="6BC0835C" w:rsidR="00A16DDB" w:rsidRPr="00D95127" w:rsidRDefault="004A616C" w:rsidP="0055361F">
            <w:pPr>
              <w:pStyle w:val="UZEIOdrky"/>
              <w:ind w:left="460" w:hanging="425"/>
            </w:pPr>
            <w:r>
              <w:t xml:space="preserve">S5: </w:t>
            </w:r>
            <w:r w:rsidR="00A16DDB" w:rsidRPr="00D95127">
              <w:t>Ve srovnání s jinými komoditami relativně dobře korigovatelný objem produkce a odolnost proti klimatickým hrozbám</w:t>
            </w:r>
          </w:p>
          <w:p w14:paraId="7228368F" w14:textId="16F3E99B" w:rsidR="00A16DDB" w:rsidRPr="00D95127" w:rsidRDefault="004A616C" w:rsidP="0055361F">
            <w:pPr>
              <w:pStyle w:val="UZEIOdrky"/>
              <w:ind w:left="460" w:hanging="425"/>
            </w:pPr>
            <w:r>
              <w:t xml:space="preserve">S6: </w:t>
            </w:r>
            <w:r w:rsidR="00A16DDB" w:rsidRPr="00D95127">
              <w:t>Kvalitní česká produkce</w:t>
            </w:r>
          </w:p>
          <w:p w14:paraId="0BC206E9" w14:textId="5D7C1D54" w:rsidR="00A16DDB" w:rsidRPr="00D95127" w:rsidRDefault="004A616C" w:rsidP="0055361F">
            <w:pPr>
              <w:pStyle w:val="UZEIOdrky"/>
              <w:ind w:left="460" w:hanging="425"/>
            </w:pPr>
            <w:r>
              <w:t xml:space="preserve">S7: </w:t>
            </w:r>
            <w:r w:rsidR="00A16DDB" w:rsidRPr="00D95127">
              <w:t>Nutričně dobře hodnocený výrobek</w:t>
            </w:r>
          </w:p>
          <w:p w14:paraId="2D8FCEF8" w14:textId="45C766C4" w:rsidR="00A16DDB" w:rsidRPr="00D95127" w:rsidRDefault="004A616C" w:rsidP="0055361F">
            <w:pPr>
              <w:pStyle w:val="UZEIOdrky"/>
              <w:ind w:left="460" w:hanging="425"/>
            </w:pPr>
            <w:r>
              <w:t xml:space="preserve">S8: </w:t>
            </w:r>
            <w:r w:rsidR="00A16DDB" w:rsidRPr="00D95127">
              <w:t>Emise NH3 2,5krát nižší než v odvětví vepřového masa a 6krát nižší než v odvětví nedojeného skotu</w:t>
            </w:r>
          </w:p>
        </w:tc>
        <w:tc>
          <w:tcPr>
            <w:tcW w:w="4531" w:type="dxa"/>
            <w:shd w:val="clear" w:color="auto" w:fill="auto"/>
          </w:tcPr>
          <w:p w14:paraId="0103CE06" w14:textId="6B1768FD" w:rsidR="00A16DDB" w:rsidRPr="00D95127" w:rsidRDefault="004A616C" w:rsidP="0055361F">
            <w:pPr>
              <w:pStyle w:val="UZEIOdrky"/>
              <w:ind w:left="460" w:hanging="425"/>
            </w:pPr>
            <w:r>
              <w:t xml:space="preserve">W1: </w:t>
            </w:r>
            <w:r w:rsidR="00A16DDB" w:rsidRPr="00D95127">
              <w:t xml:space="preserve">Přes významný podíl velkovýroby je produkce odvětví jen těsně rentabilní, a to díky z velké části dotacím MZe. </w:t>
            </w:r>
          </w:p>
          <w:p w14:paraId="0A036C10" w14:textId="2C03A7EE" w:rsidR="00A16DDB" w:rsidRPr="00D95127" w:rsidRDefault="004A616C" w:rsidP="0055361F">
            <w:pPr>
              <w:pStyle w:val="UZEIOdrky"/>
              <w:ind w:left="460" w:hanging="425"/>
            </w:pPr>
            <w:r>
              <w:t xml:space="preserve">W2: </w:t>
            </w:r>
            <w:r w:rsidR="00A16DDB" w:rsidRPr="00D95127">
              <w:t>Asi 3/4 vývozu odvětví je živá drůbež (v přepočtu na hmotnost)</w:t>
            </w:r>
          </w:p>
          <w:p w14:paraId="405557EA" w14:textId="666373B7" w:rsidR="00A16DDB" w:rsidRPr="00D95127" w:rsidRDefault="004A616C" w:rsidP="0055361F">
            <w:pPr>
              <w:pStyle w:val="UZEIOdrky"/>
              <w:ind w:left="460" w:hanging="425"/>
            </w:pPr>
            <w:r>
              <w:t xml:space="preserve">W3: </w:t>
            </w:r>
            <w:r w:rsidR="00A16DDB" w:rsidRPr="00D95127">
              <w:t>Vyšší rizika negativních dopadů velkokapacitních objektů na životní prostředí. (???)</w:t>
            </w:r>
          </w:p>
          <w:p w14:paraId="251A7088" w14:textId="4EE0407D" w:rsidR="00A16DDB" w:rsidRPr="00D95127" w:rsidRDefault="004A616C" w:rsidP="0055361F">
            <w:pPr>
              <w:pStyle w:val="UZEIOdrky"/>
              <w:ind w:left="460" w:hanging="425"/>
            </w:pPr>
            <w:r>
              <w:t xml:space="preserve">W4: </w:t>
            </w:r>
            <w:r w:rsidR="00A16DDB" w:rsidRPr="00D95127">
              <w:t>Vyšší příjmová (?) a nákazová rizika u velkých podniků hospodařících bez půdy.</w:t>
            </w:r>
          </w:p>
          <w:p w14:paraId="025BDC57" w14:textId="49709B9E" w:rsidR="00A16DDB" w:rsidRPr="00D95127" w:rsidRDefault="004A616C" w:rsidP="0055361F">
            <w:pPr>
              <w:pStyle w:val="UZEIOdrky"/>
              <w:ind w:left="460" w:hanging="425"/>
            </w:pPr>
            <w:r>
              <w:t xml:space="preserve">W5: </w:t>
            </w:r>
            <w:r w:rsidR="00A16DDB" w:rsidRPr="00D95127">
              <w:t>Absence národních (soukromých) systémů kvality, resp. vhodného zapojení do nadnárodních řetězců.</w:t>
            </w:r>
          </w:p>
          <w:p w14:paraId="19209B4C" w14:textId="7740323B" w:rsidR="00A16DDB" w:rsidRPr="00D95127" w:rsidRDefault="004A616C" w:rsidP="0055361F">
            <w:pPr>
              <w:pStyle w:val="UZEIOdrky"/>
              <w:ind w:left="460" w:hanging="425"/>
            </w:pPr>
            <w:r>
              <w:t xml:space="preserve">W6: </w:t>
            </w:r>
            <w:r w:rsidR="00A16DDB" w:rsidRPr="00D95127">
              <w:t>Vzhled mnohých velkokapacitních objektů snižující turistickou atraktivitu lokalit</w:t>
            </w:r>
          </w:p>
          <w:p w14:paraId="12F2741A" w14:textId="711DB1B5" w:rsidR="00A16DDB" w:rsidRPr="00D95127" w:rsidRDefault="004A616C" w:rsidP="0055361F">
            <w:pPr>
              <w:pStyle w:val="UZEIOdrky"/>
              <w:ind w:left="460" w:hanging="425"/>
            </w:pPr>
            <w:r>
              <w:t xml:space="preserve">W7: </w:t>
            </w:r>
            <w:r w:rsidR="00A16DDB" w:rsidRPr="00D95127">
              <w:t>Nedostatečné využití zpracovatelských kapacit</w:t>
            </w:r>
          </w:p>
        </w:tc>
      </w:tr>
      <w:tr w:rsidR="00A16DDB" w:rsidRPr="00D95127" w14:paraId="4910E0C8" w14:textId="77777777" w:rsidTr="007A627A">
        <w:tc>
          <w:tcPr>
            <w:tcW w:w="4531" w:type="dxa"/>
            <w:shd w:val="clear" w:color="auto" w:fill="auto"/>
          </w:tcPr>
          <w:p w14:paraId="54D0C3FF" w14:textId="77777777" w:rsidR="00A16DDB" w:rsidRPr="00D95127" w:rsidRDefault="00A16DDB" w:rsidP="007A627A">
            <w:pPr>
              <w:jc w:val="center"/>
              <w:rPr>
                <w:rFonts w:cs="Times New Roman"/>
                <w:b/>
                <w:szCs w:val="24"/>
                <w:lang w:val="cs-CZ"/>
              </w:rPr>
            </w:pPr>
            <w:r w:rsidRPr="00D95127">
              <w:rPr>
                <w:rFonts w:cs="Times New Roman"/>
                <w:b/>
                <w:szCs w:val="24"/>
                <w:lang w:val="cs-CZ"/>
              </w:rPr>
              <w:t>Příležitosti</w:t>
            </w:r>
          </w:p>
        </w:tc>
        <w:tc>
          <w:tcPr>
            <w:tcW w:w="4531" w:type="dxa"/>
            <w:shd w:val="clear" w:color="auto" w:fill="auto"/>
          </w:tcPr>
          <w:p w14:paraId="67FBFC74" w14:textId="77777777" w:rsidR="00A16DDB" w:rsidRPr="00D95127" w:rsidRDefault="00A16DDB" w:rsidP="007A627A">
            <w:pPr>
              <w:jc w:val="center"/>
              <w:rPr>
                <w:rFonts w:cs="Times New Roman"/>
                <w:b/>
                <w:szCs w:val="24"/>
                <w:lang w:val="cs-CZ"/>
              </w:rPr>
            </w:pPr>
            <w:r w:rsidRPr="00D95127">
              <w:rPr>
                <w:rFonts w:cs="Times New Roman"/>
                <w:b/>
                <w:szCs w:val="24"/>
                <w:lang w:val="cs-CZ"/>
              </w:rPr>
              <w:t>Hrozby</w:t>
            </w:r>
          </w:p>
        </w:tc>
      </w:tr>
      <w:tr w:rsidR="00A16DDB" w:rsidRPr="00D95127" w14:paraId="2DC76E33" w14:textId="77777777" w:rsidTr="007A627A">
        <w:tc>
          <w:tcPr>
            <w:tcW w:w="4531" w:type="dxa"/>
            <w:shd w:val="clear" w:color="auto" w:fill="auto"/>
          </w:tcPr>
          <w:p w14:paraId="278C2F0D" w14:textId="11C3911E" w:rsidR="00A16DDB" w:rsidRPr="00D95127" w:rsidRDefault="004A616C" w:rsidP="0055361F">
            <w:pPr>
              <w:pStyle w:val="UZEIOdrky"/>
              <w:ind w:left="460" w:hanging="425"/>
            </w:pPr>
            <w:r>
              <w:t xml:space="preserve">O1: </w:t>
            </w:r>
            <w:r w:rsidR="00A16DDB" w:rsidRPr="00D95127">
              <w:t>Pokračující stabilní domácí poptávka po drůbežím mase.</w:t>
            </w:r>
          </w:p>
          <w:p w14:paraId="47F5C9C2" w14:textId="7D8BED94" w:rsidR="00A16DDB" w:rsidRPr="00D95127" w:rsidRDefault="004A616C" w:rsidP="0055361F">
            <w:pPr>
              <w:pStyle w:val="UZEIOdrky"/>
              <w:ind w:left="460" w:hanging="425"/>
            </w:pPr>
            <w:r>
              <w:t xml:space="preserve">O2: </w:t>
            </w:r>
            <w:r w:rsidR="00A16DDB" w:rsidRPr="00D95127">
              <w:t xml:space="preserve">Zvýšení podílu obchodované produkce prostřednictvím dlouhodobých smluv s odběrateli. </w:t>
            </w:r>
          </w:p>
          <w:p w14:paraId="3B49EE9E" w14:textId="0CFF70DD" w:rsidR="00A16DDB" w:rsidRPr="00D95127" w:rsidRDefault="004A616C" w:rsidP="0055361F">
            <w:pPr>
              <w:pStyle w:val="UZEIOdrky"/>
              <w:ind w:left="460" w:hanging="425"/>
            </w:pPr>
            <w:r>
              <w:t xml:space="preserve">O3: </w:t>
            </w:r>
            <w:r w:rsidR="00A16DDB" w:rsidRPr="00D95127">
              <w:t>Zlepšení efektivnosti a produktivity produkce, také dalším vstupem nezemědělského/zahraničního kapitálu do odvětví (získání kapitálu na technologie, zlepšení managementu).</w:t>
            </w:r>
          </w:p>
          <w:p w14:paraId="1E5406C1" w14:textId="5F55E080" w:rsidR="00A16DDB" w:rsidRPr="00D95127" w:rsidRDefault="004A616C" w:rsidP="0055361F">
            <w:pPr>
              <w:pStyle w:val="UZEIOdrky"/>
              <w:ind w:left="460" w:hanging="425"/>
            </w:pPr>
            <w:r>
              <w:t xml:space="preserve">O4: </w:t>
            </w:r>
            <w:r w:rsidR="00A16DDB" w:rsidRPr="00D95127">
              <w:t>Vytvoření národních (soukromých) systémů kvality v rámci celé vertikály, resp. vhodné zapojení do nadnárodních systémů.</w:t>
            </w:r>
          </w:p>
          <w:p w14:paraId="1893EE69" w14:textId="28F93BB7" w:rsidR="00A16DDB" w:rsidRPr="00D95127" w:rsidRDefault="004A616C" w:rsidP="0055361F">
            <w:pPr>
              <w:pStyle w:val="UZEIOdrky"/>
              <w:ind w:left="460" w:hanging="425"/>
            </w:pPr>
            <w:r>
              <w:t xml:space="preserve">O5: </w:t>
            </w:r>
            <w:r w:rsidR="00A16DDB" w:rsidRPr="00D95127">
              <w:t>Využití nových principů digitální ekonomiky, robotizace provozů</w:t>
            </w:r>
          </w:p>
          <w:p w14:paraId="7E2DF2E1" w14:textId="55D4E802" w:rsidR="00A16DDB" w:rsidRPr="00D95127" w:rsidRDefault="004A616C" w:rsidP="0055361F">
            <w:pPr>
              <w:pStyle w:val="UZEIOdrky"/>
              <w:ind w:left="460" w:hanging="425"/>
            </w:pPr>
            <w:r>
              <w:t xml:space="preserve">O6: </w:t>
            </w:r>
            <w:r w:rsidR="00A16DDB" w:rsidRPr="00D95127">
              <w:t xml:space="preserve">Existence a rozvoj BAT center. </w:t>
            </w:r>
          </w:p>
        </w:tc>
        <w:tc>
          <w:tcPr>
            <w:tcW w:w="4531" w:type="dxa"/>
            <w:shd w:val="clear" w:color="auto" w:fill="auto"/>
          </w:tcPr>
          <w:p w14:paraId="43CB9F8B" w14:textId="5EC6B2EB" w:rsidR="00A16DDB" w:rsidRPr="00D95127" w:rsidRDefault="004A616C" w:rsidP="0055361F">
            <w:pPr>
              <w:pStyle w:val="UZEIOdrky"/>
              <w:ind w:left="460" w:hanging="425"/>
            </w:pPr>
            <w:r>
              <w:t xml:space="preserve">T1: </w:t>
            </w:r>
            <w:r w:rsidR="00A16DDB" w:rsidRPr="00D95127">
              <w:t>Konkurence dovozů masa.</w:t>
            </w:r>
          </w:p>
          <w:p w14:paraId="75B4706F" w14:textId="4B069BD7" w:rsidR="00A16DDB" w:rsidRPr="00D95127" w:rsidRDefault="004A616C" w:rsidP="0055361F">
            <w:pPr>
              <w:pStyle w:val="UZEIOdrky"/>
              <w:ind w:left="460" w:hanging="425"/>
            </w:pPr>
            <w:r>
              <w:t xml:space="preserve">T2: </w:t>
            </w:r>
            <w:r w:rsidR="00A16DDB" w:rsidRPr="00D95127">
              <w:t>Nárůst dovozu ze zemí EU i třetích zemí</w:t>
            </w:r>
          </w:p>
          <w:p w14:paraId="264A4378" w14:textId="3023AB76" w:rsidR="00A16DDB" w:rsidRPr="00D95127" w:rsidRDefault="004A616C" w:rsidP="0055361F">
            <w:pPr>
              <w:pStyle w:val="UZEIOdrky"/>
              <w:ind w:left="460" w:hanging="425"/>
            </w:pPr>
            <w:r>
              <w:t xml:space="preserve">T3: </w:t>
            </w:r>
            <w:r w:rsidR="00A16DDB" w:rsidRPr="00D95127">
              <w:t>Tlak obchodních řetězců</w:t>
            </w:r>
          </w:p>
          <w:p w14:paraId="0A0B10DD" w14:textId="53A3991A" w:rsidR="00A16DDB" w:rsidRPr="00D95127" w:rsidRDefault="004A616C" w:rsidP="0055361F">
            <w:pPr>
              <w:pStyle w:val="UZEIOdrky"/>
              <w:ind w:left="460" w:hanging="425"/>
            </w:pPr>
            <w:r>
              <w:t xml:space="preserve">T4: </w:t>
            </w:r>
            <w:r w:rsidR="00A16DDB" w:rsidRPr="00D95127">
              <w:t>Růst nákladů na práci a krmiva (konkurence bio-energetiky).</w:t>
            </w:r>
          </w:p>
          <w:p w14:paraId="65929F96" w14:textId="07B30CB7" w:rsidR="00A16DDB" w:rsidRPr="00D95127" w:rsidRDefault="004A616C" w:rsidP="0055361F">
            <w:pPr>
              <w:pStyle w:val="UZEIOdrky"/>
              <w:ind w:left="460" w:hanging="425"/>
            </w:pPr>
            <w:r>
              <w:t xml:space="preserve">T5: </w:t>
            </w:r>
            <w:r w:rsidR="00A16DDB" w:rsidRPr="00D95127">
              <w:t>Stále se zpřísňující požadavky na pohodu zvířat (s dopady do omezení produkce a růstu nákladů).</w:t>
            </w:r>
          </w:p>
          <w:p w14:paraId="45012B43" w14:textId="019F409B" w:rsidR="00A16DDB" w:rsidRPr="00D95127" w:rsidRDefault="004A616C" w:rsidP="0055361F">
            <w:pPr>
              <w:pStyle w:val="UZEIOdrky"/>
              <w:ind w:left="460" w:hanging="425"/>
            </w:pPr>
            <w:r>
              <w:t xml:space="preserve">T6: </w:t>
            </w:r>
            <w:r w:rsidR="00A16DDB" w:rsidRPr="00D95127">
              <w:t>Náklady zmírňování změny klimatu a omezení používání určitých látek nebo praktikování určitých technologií</w:t>
            </w:r>
          </w:p>
          <w:p w14:paraId="58E58726" w14:textId="08C7F4FE" w:rsidR="00A16DDB" w:rsidRPr="00D95127" w:rsidRDefault="004A616C" w:rsidP="0055361F">
            <w:pPr>
              <w:pStyle w:val="UZEIOdrky"/>
              <w:ind w:left="460" w:hanging="425"/>
            </w:pPr>
            <w:r>
              <w:t>T</w:t>
            </w:r>
            <w:r w:rsidR="00E7660B">
              <w:t xml:space="preserve">7: </w:t>
            </w:r>
            <w:r w:rsidR="00A16DDB" w:rsidRPr="00D95127">
              <w:t>Malý podíl mladých zemědělců, 50 % lidí v zemědělství je starších 45 let, bude chybět kvalifikovaná pracovní síla.</w:t>
            </w:r>
          </w:p>
          <w:p w14:paraId="787EA686" w14:textId="77777777" w:rsidR="00A16DDB" w:rsidRPr="00D95127" w:rsidRDefault="00A16DDB" w:rsidP="0055361F">
            <w:pPr>
              <w:pStyle w:val="UZEIOdrky"/>
              <w:ind w:left="460" w:hanging="425"/>
            </w:pPr>
            <w:r w:rsidRPr="00D95127">
              <w:t>Vzestup vegetariánství.</w:t>
            </w:r>
          </w:p>
        </w:tc>
      </w:tr>
    </w:tbl>
    <w:p w14:paraId="56DB5665" w14:textId="77777777" w:rsidR="00A16DDB" w:rsidRPr="00D95127" w:rsidRDefault="00A16DDB" w:rsidP="00A16DDB">
      <w:pPr>
        <w:rPr>
          <w:rFonts w:cs="Times New Roman"/>
          <w:szCs w:val="24"/>
          <w:lang w:val="cs-CZ"/>
        </w:rPr>
      </w:pPr>
    </w:p>
    <w:p w14:paraId="72EE1505" w14:textId="77777777" w:rsidR="00B76A61" w:rsidRDefault="00B76A61" w:rsidP="0055361F">
      <w:pPr>
        <w:ind w:firstLine="709"/>
        <w:rPr>
          <w:rStyle w:val="Odkazintenzivn"/>
          <w:rFonts w:cs="Times New Roman"/>
          <w:caps/>
          <w:smallCaps w:val="0"/>
          <w:color w:val="auto"/>
          <w:szCs w:val="24"/>
          <w:lang w:val="cs-CZ"/>
        </w:rPr>
      </w:pPr>
    </w:p>
    <w:p w14:paraId="23AEB496" w14:textId="77777777" w:rsidR="00B76A61" w:rsidRDefault="00B76A61" w:rsidP="0055361F">
      <w:pPr>
        <w:ind w:firstLine="709"/>
        <w:rPr>
          <w:rStyle w:val="Odkazintenzivn"/>
          <w:rFonts w:cs="Times New Roman"/>
          <w:caps/>
          <w:szCs w:val="24"/>
          <w:lang w:val="cs-CZ"/>
        </w:rPr>
      </w:pPr>
    </w:p>
    <w:p w14:paraId="7F0956F9" w14:textId="77777777" w:rsidR="00B76A61" w:rsidRDefault="00B76A61" w:rsidP="0055361F">
      <w:pPr>
        <w:ind w:firstLine="709"/>
        <w:rPr>
          <w:rStyle w:val="Odkazintenzivn"/>
          <w:rFonts w:cs="Times New Roman"/>
          <w:caps/>
          <w:szCs w:val="24"/>
          <w:lang w:val="cs-CZ"/>
        </w:rPr>
      </w:pPr>
    </w:p>
    <w:p w14:paraId="378E3F8D" w14:textId="0052AED2" w:rsidR="00A16DDB" w:rsidRPr="0055361F" w:rsidRDefault="00A16DDB" w:rsidP="0055361F">
      <w:pPr>
        <w:ind w:firstLine="709"/>
        <w:rPr>
          <w:rStyle w:val="Odkazintenzivn"/>
          <w:rFonts w:cs="Times New Roman"/>
          <w:caps/>
          <w:smallCaps w:val="0"/>
          <w:color w:val="auto"/>
          <w:szCs w:val="24"/>
          <w:lang w:val="cs-CZ"/>
        </w:rPr>
      </w:pPr>
      <w:r w:rsidRPr="0055361F">
        <w:rPr>
          <w:rStyle w:val="Odkazintenzivn"/>
          <w:rFonts w:cs="Times New Roman"/>
          <w:caps/>
          <w:smallCaps w:val="0"/>
          <w:color w:val="auto"/>
          <w:szCs w:val="24"/>
          <w:lang w:val="cs-CZ"/>
        </w:rPr>
        <w:t>Vejce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9"/>
        <w:gridCol w:w="4507"/>
      </w:tblGrid>
      <w:tr w:rsidR="00A16DDB" w:rsidRPr="00D95127" w14:paraId="04BF9DD8" w14:textId="77777777" w:rsidTr="007A627A">
        <w:tc>
          <w:tcPr>
            <w:tcW w:w="4531" w:type="dxa"/>
            <w:shd w:val="clear" w:color="auto" w:fill="auto"/>
          </w:tcPr>
          <w:p w14:paraId="6728DC69" w14:textId="77777777" w:rsidR="00A16DDB" w:rsidRPr="00D95127" w:rsidRDefault="00A16DDB" w:rsidP="007A627A">
            <w:pPr>
              <w:jc w:val="center"/>
              <w:rPr>
                <w:rFonts w:cs="Times New Roman"/>
                <w:b/>
                <w:szCs w:val="24"/>
                <w:lang w:val="cs-CZ"/>
              </w:rPr>
            </w:pPr>
            <w:r w:rsidRPr="00D95127">
              <w:rPr>
                <w:rFonts w:cs="Times New Roman"/>
                <w:b/>
                <w:szCs w:val="24"/>
                <w:lang w:val="cs-CZ"/>
              </w:rPr>
              <w:t>Silné stránky</w:t>
            </w:r>
          </w:p>
        </w:tc>
        <w:tc>
          <w:tcPr>
            <w:tcW w:w="4531" w:type="dxa"/>
            <w:shd w:val="clear" w:color="auto" w:fill="auto"/>
          </w:tcPr>
          <w:p w14:paraId="259CA055" w14:textId="77777777" w:rsidR="00A16DDB" w:rsidRPr="00D95127" w:rsidRDefault="00A16DDB" w:rsidP="007A627A">
            <w:pPr>
              <w:jc w:val="center"/>
              <w:rPr>
                <w:rFonts w:cs="Times New Roman"/>
                <w:b/>
                <w:szCs w:val="24"/>
                <w:lang w:val="cs-CZ"/>
              </w:rPr>
            </w:pPr>
            <w:r w:rsidRPr="00D95127">
              <w:rPr>
                <w:rFonts w:cs="Times New Roman"/>
                <w:b/>
                <w:szCs w:val="24"/>
                <w:lang w:val="cs-CZ"/>
              </w:rPr>
              <w:t>Slabé stránky</w:t>
            </w:r>
          </w:p>
        </w:tc>
      </w:tr>
      <w:tr w:rsidR="00A16DDB" w:rsidRPr="00D95127" w14:paraId="5922A54E" w14:textId="77777777" w:rsidTr="007A627A">
        <w:tc>
          <w:tcPr>
            <w:tcW w:w="4531" w:type="dxa"/>
            <w:shd w:val="clear" w:color="auto" w:fill="auto"/>
          </w:tcPr>
          <w:p w14:paraId="46172D74" w14:textId="12294197" w:rsidR="00A16DDB" w:rsidRPr="00D95127" w:rsidRDefault="00B76A61" w:rsidP="0055361F">
            <w:pPr>
              <w:pStyle w:val="UZEIOdrky"/>
              <w:ind w:left="460" w:hanging="425"/>
            </w:pPr>
            <w:r>
              <w:t xml:space="preserve">S1: </w:t>
            </w:r>
            <w:r w:rsidR="00A16DDB" w:rsidRPr="00D95127">
              <w:t xml:space="preserve">Stabilní, v posledních letech mírně rostoucí stavy nosnic </w:t>
            </w:r>
          </w:p>
          <w:p w14:paraId="023787A6" w14:textId="11E17B76" w:rsidR="00A16DDB" w:rsidRPr="00D95127" w:rsidRDefault="00B76A61" w:rsidP="0055361F">
            <w:pPr>
              <w:pStyle w:val="UZEIOdrky"/>
              <w:ind w:left="460" w:hanging="425"/>
            </w:pPr>
            <w:r>
              <w:t xml:space="preserve">S2: </w:t>
            </w:r>
            <w:r w:rsidR="00A16DDB" w:rsidRPr="00D95127">
              <w:t>Stabilní, v posledních letech mírně rostoucí produkce vajec</w:t>
            </w:r>
          </w:p>
          <w:p w14:paraId="275B89E1" w14:textId="2EADE4FE" w:rsidR="00A16DDB" w:rsidRPr="00D95127" w:rsidRDefault="00B76A61" w:rsidP="0055361F">
            <w:pPr>
              <w:pStyle w:val="UZEIOdrky"/>
              <w:ind w:left="460" w:hanging="425"/>
            </w:pPr>
            <w:r>
              <w:t xml:space="preserve">S3: </w:t>
            </w:r>
            <w:r w:rsidR="00A16DDB" w:rsidRPr="00D95127">
              <w:t>Dobrá kvalita vajec/kontrola kvality</w:t>
            </w:r>
          </w:p>
          <w:p w14:paraId="7DC53469" w14:textId="1CD6437A" w:rsidR="00A16DDB" w:rsidRPr="00D95127" w:rsidRDefault="00B76A61" w:rsidP="0055361F">
            <w:pPr>
              <w:pStyle w:val="UZEIOdrky"/>
              <w:ind w:left="460" w:hanging="425"/>
            </w:pPr>
            <w:r>
              <w:t xml:space="preserve">S4: </w:t>
            </w:r>
            <w:r w:rsidR="00A16DDB" w:rsidRPr="00D95127">
              <w:t>Rostoucí vývoz násadových vajec</w:t>
            </w:r>
          </w:p>
        </w:tc>
        <w:tc>
          <w:tcPr>
            <w:tcW w:w="4531" w:type="dxa"/>
            <w:shd w:val="clear" w:color="auto" w:fill="auto"/>
          </w:tcPr>
          <w:p w14:paraId="11788F6B" w14:textId="2CDFBE87" w:rsidR="00A16DDB" w:rsidRPr="00D95127" w:rsidRDefault="00B76A61" w:rsidP="0055361F">
            <w:pPr>
              <w:pStyle w:val="UZEIOdrky"/>
              <w:ind w:left="460" w:hanging="425"/>
            </w:pPr>
            <w:r>
              <w:t xml:space="preserve">W1: </w:t>
            </w:r>
            <w:r w:rsidR="00A16DDB" w:rsidRPr="00D95127">
              <w:t>Relativně vysoké náklady na produkci konzumních vajec (záporná rentabilita bez podpor)</w:t>
            </w:r>
          </w:p>
        </w:tc>
      </w:tr>
      <w:tr w:rsidR="00A16DDB" w:rsidRPr="00D95127" w14:paraId="2541352B" w14:textId="77777777" w:rsidTr="007A627A">
        <w:tc>
          <w:tcPr>
            <w:tcW w:w="4531" w:type="dxa"/>
            <w:shd w:val="clear" w:color="auto" w:fill="auto"/>
          </w:tcPr>
          <w:p w14:paraId="212C8C56" w14:textId="77777777" w:rsidR="00A16DDB" w:rsidRPr="00D95127" w:rsidRDefault="00A16DDB" w:rsidP="007A627A">
            <w:pPr>
              <w:jc w:val="center"/>
              <w:rPr>
                <w:rFonts w:cs="Times New Roman"/>
                <w:b/>
                <w:szCs w:val="24"/>
                <w:lang w:val="cs-CZ"/>
              </w:rPr>
            </w:pPr>
            <w:r w:rsidRPr="00D95127">
              <w:rPr>
                <w:rFonts w:cs="Times New Roman"/>
                <w:b/>
                <w:szCs w:val="24"/>
                <w:lang w:val="cs-CZ"/>
              </w:rPr>
              <w:t>Příležitosti</w:t>
            </w:r>
          </w:p>
        </w:tc>
        <w:tc>
          <w:tcPr>
            <w:tcW w:w="4531" w:type="dxa"/>
            <w:shd w:val="clear" w:color="auto" w:fill="auto"/>
          </w:tcPr>
          <w:p w14:paraId="45108167" w14:textId="77777777" w:rsidR="00A16DDB" w:rsidRPr="00D95127" w:rsidRDefault="00A16DDB" w:rsidP="007A627A">
            <w:pPr>
              <w:jc w:val="center"/>
              <w:rPr>
                <w:rFonts w:cs="Times New Roman"/>
                <w:b/>
                <w:szCs w:val="24"/>
                <w:lang w:val="cs-CZ"/>
              </w:rPr>
            </w:pPr>
            <w:r w:rsidRPr="00D95127">
              <w:rPr>
                <w:rFonts w:cs="Times New Roman"/>
                <w:b/>
                <w:szCs w:val="24"/>
                <w:lang w:val="cs-CZ"/>
              </w:rPr>
              <w:t>Hrozby</w:t>
            </w:r>
          </w:p>
        </w:tc>
      </w:tr>
      <w:tr w:rsidR="00A16DDB" w:rsidRPr="00D95127" w14:paraId="63B0C36D" w14:textId="77777777" w:rsidTr="007A627A">
        <w:tc>
          <w:tcPr>
            <w:tcW w:w="4531" w:type="dxa"/>
            <w:shd w:val="clear" w:color="auto" w:fill="auto"/>
          </w:tcPr>
          <w:p w14:paraId="51A189E9" w14:textId="1C4895FF" w:rsidR="00A16DDB" w:rsidRPr="00D95127" w:rsidRDefault="00B76A61" w:rsidP="0055361F">
            <w:pPr>
              <w:pStyle w:val="UZEIOdrky"/>
              <w:ind w:left="460" w:hanging="425"/>
            </w:pPr>
            <w:r>
              <w:t xml:space="preserve">O1: </w:t>
            </w:r>
            <w:r w:rsidR="00A16DDB" w:rsidRPr="00D95127">
              <w:t>Rostoucí poptávka po bílkovinné stravě</w:t>
            </w:r>
          </w:p>
          <w:p w14:paraId="3D34A0F0" w14:textId="30FF2EB5" w:rsidR="00A16DDB" w:rsidRPr="00D95127" w:rsidRDefault="00B76A61" w:rsidP="0055361F">
            <w:pPr>
              <w:pStyle w:val="UZEIOdrky"/>
              <w:ind w:left="460" w:hanging="425"/>
            </w:pPr>
            <w:r>
              <w:t xml:space="preserve">O2: </w:t>
            </w:r>
            <w:r w:rsidR="00A16DDB" w:rsidRPr="00D95127">
              <w:t xml:space="preserve">Obava spotřebitelů z kvality dovozových vajec (opakující se v posledních letech zprávy o kontaminaci vajec, přítomnosti salmonel) </w:t>
            </w:r>
          </w:p>
        </w:tc>
        <w:tc>
          <w:tcPr>
            <w:tcW w:w="4531" w:type="dxa"/>
            <w:shd w:val="clear" w:color="auto" w:fill="auto"/>
          </w:tcPr>
          <w:p w14:paraId="270EE33E" w14:textId="2074561B" w:rsidR="00A16DDB" w:rsidRPr="00D95127" w:rsidRDefault="00B76A61" w:rsidP="0055361F">
            <w:pPr>
              <w:pStyle w:val="UZEIOdrky"/>
              <w:ind w:left="460" w:hanging="425"/>
            </w:pPr>
            <w:r>
              <w:t xml:space="preserve">T1: </w:t>
            </w:r>
            <w:r w:rsidR="00A16DDB" w:rsidRPr="00D95127">
              <w:t>Levné dovozové konzumní vejce</w:t>
            </w:r>
          </w:p>
          <w:p w14:paraId="01308304" w14:textId="6B28553A" w:rsidR="00A16DDB" w:rsidRPr="00D95127" w:rsidRDefault="00B76A61" w:rsidP="0055361F">
            <w:pPr>
              <w:pStyle w:val="UZEIOdrky"/>
              <w:ind w:left="460" w:hanging="425"/>
            </w:pPr>
            <w:r>
              <w:t xml:space="preserve">T2: </w:t>
            </w:r>
            <w:r w:rsidR="00A16DDB" w:rsidRPr="00D95127">
              <w:t>Zvyšující se požadavky na welfare zvířat</w:t>
            </w:r>
          </w:p>
          <w:p w14:paraId="3D1EDA7D" w14:textId="2AAA87CC" w:rsidR="00A16DDB" w:rsidRPr="00D95127" w:rsidRDefault="00A16DDB" w:rsidP="0055361F">
            <w:pPr>
              <w:pStyle w:val="UZEIOdrky"/>
              <w:ind w:left="460" w:hanging="425"/>
            </w:pPr>
            <w:r w:rsidRPr="00D95127">
              <w:t xml:space="preserve">Zaměření některých spotřebitelů na </w:t>
            </w:r>
            <w:r w:rsidR="00B76A61">
              <w:t xml:space="preserve">T3: </w:t>
            </w:r>
            <w:r w:rsidRPr="00D95127">
              <w:t>cenu (vlastní pozorování spotřebitelů v obchodě)</w:t>
            </w:r>
          </w:p>
        </w:tc>
      </w:tr>
    </w:tbl>
    <w:p w14:paraId="0F4625FC" w14:textId="77777777" w:rsidR="00A16DDB" w:rsidRPr="00D95127" w:rsidRDefault="00A16DDB" w:rsidP="00A16DDB">
      <w:pPr>
        <w:rPr>
          <w:rFonts w:cs="Times New Roman"/>
          <w:szCs w:val="24"/>
          <w:lang w:val="cs-CZ"/>
        </w:rPr>
      </w:pPr>
    </w:p>
    <w:p w14:paraId="112BF1EB" w14:textId="77777777" w:rsidR="00A16DDB" w:rsidRPr="00D95127" w:rsidRDefault="00A16DDB" w:rsidP="004A616C">
      <w:pPr>
        <w:pStyle w:val="UZEINormaln"/>
      </w:pPr>
      <w:r w:rsidRPr="00D95127">
        <w:t>Reference (další jsou uvedeny přímo v textu):</w:t>
      </w:r>
    </w:p>
    <w:p w14:paraId="5DEC6EC7" w14:textId="77777777" w:rsidR="00A16DDB" w:rsidRPr="00D95127" w:rsidRDefault="00A16DDB" w:rsidP="004A616C">
      <w:pPr>
        <w:pStyle w:val="UZEINormaln"/>
      </w:pPr>
      <w:r w:rsidRPr="00D95127">
        <w:t>Van Horne, P.L.M., Bondt, N. Competitivness of the EU egg sector, base year 2015. international comparison of production costs. Wageningen economic research, Wageningen, June, 2017</w:t>
      </w:r>
    </w:p>
    <w:p w14:paraId="5262C127" w14:textId="77777777" w:rsidR="00A16DDB" w:rsidRPr="00D95127" w:rsidRDefault="00A16DDB" w:rsidP="004A616C">
      <w:pPr>
        <w:pStyle w:val="UZEINormaln"/>
      </w:pPr>
      <w:r w:rsidRPr="00D95127">
        <w:t>Van Horne, P.L.M., Bondt, N. Competitivness of the EU egg sector, base year 2017. international comparison of production costs. Wageningen economic research, Wageningen, June, 2019</w:t>
      </w:r>
    </w:p>
    <w:p w14:paraId="3198CE7C" w14:textId="77777777" w:rsidR="00A16DDB" w:rsidRPr="00D95127" w:rsidRDefault="00A16DDB" w:rsidP="004A616C">
      <w:pPr>
        <w:pStyle w:val="UZEINormaln"/>
      </w:pPr>
    </w:p>
    <w:p w14:paraId="4E36324E" w14:textId="77777777" w:rsidR="00A16DDB" w:rsidRPr="00D95127" w:rsidRDefault="00A16DDB" w:rsidP="00B76A61">
      <w:pPr>
        <w:pStyle w:val="UZEINadpis1stbezsla"/>
      </w:pPr>
      <w:r w:rsidRPr="00D95127">
        <w:br w:type="page"/>
      </w:r>
      <w:bookmarkStart w:id="1156" w:name="_Toc15304121"/>
      <w:bookmarkStart w:id="1157" w:name="_Toc23509946"/>
      <w:bookmarkStart w:id="1158" w:name="_Toc76137472"/>
      <w:bookmarkStart w:id="1159" w:name="_Toc76637671"/>
      <w:bookmarkStart w:id="1160" w:name="_Toc80953360"/>
      <w:bookmarkStart w:id="1161" w:name="_Toc81739312"/>
      <w:r w:rsidRPr="00D95127">
        <w:t>OVCE A KOZY</w:t>
      </w:r>
      <w:bookmarkEnd w:id="1156"/>
      <w:bookmarkEnd w:id="1157"/>
      <w:bookmarkEnd w:id="1158"/>
      <w:bookmarkEnd w:id="1159"/>
      <w:bookmarkEnd w:id="1160"/>
      <w:bookmarkEnd w:id="1161"/>
    </w:p>
    <w:p w14:paraId="1034AA36" w14:textId="77777777" w:rsidR="00A16DDB" w:rsidRPr="00D95127" w:rsidRDefault="00A16DDB" w:rsidP="00B76A61">
      <w:pPr>
        <w:pStyle w:val="UZEINormaln"/>
      </w:pPr>
      <w:r w:rsidRPr="00D95127">
        <w:t xml:space="preserve">Chov ovcí a koz má značný environmentální význam, který spočívá zejména v účelném využití trvalých travních porostů, přispívání k udržení biodiverzity a údržbě krajiny a produkci zdravých potravin. </w:t>
      </w:r>
    </w:p>
    <w:p w14:paraId="4F72A538" w14:textId="77777777" w:rsidR="00A16DDB" w:rsidRPr="00D95127" w:rsidRDefault="00A16DDB" w:rsidP="00B76A61">
      <w:pPr>
        <w:pStyle w:val="UZEINormaln"/>
      </w:pPr>
      <w:r w:rsidRPr="00D95127">
        <w:t xml:space="preserve">Většinou jsou ovce a kozy chovány na svažitých oblastech, kde není možná alternativní zemědělská produkce a chov ovcí a koz je zde velmi vhodný a prospívá rovněž biodiverzitě.  S ohledem na skutečnost, že chov je především v marginálních oblastech a v oblastech s přírodním omezením, hrozí v případě rušení chovů riziko opouštění půdy nebo rozorávání travních porostů.  </w:t>
      </w:r>
    </w:p>
    <w:p w14:paraId="7C3939BF" w14:textId="77777777" w:rsidR="00A16DDB" w:rsidRPr="00D95127" w:rsidRDefault="00A16DDB" w:rsidP="00B76A61">
      <w:pPr>
        <w:pStyle w:val="UZEINormaln"/>
        <w:rPr>
          <w:color w:val="000000"/>
        </w:rPr>
      </w:pPr>
      <w:r w:rsidRPr="00D95127">
        <w:rPr>
          <w:color w:val="000000"/>
        </w:rPr>
        <w:t xml:space="preserve">Chovy ovcí a koz mají zvýšený potenciál vznikat či rozšiřovat se a takto generovat nová pracovní místa především v oblastech s možností jejich pastevního odchovu. Jejich chov může být realizován v horských a podhorských oblastech s nízkým stupněm alternativních druhů zemědělské výroby, a tak vytvářet pracovní místa právě v těchto oblastech.  Tato hospodářská zvířata se většinou chovají v ekologickém systému hospodaření. Mléko se často zpracovává přímo na farmě, což pak představuje zpravidla další přínos k zaměstnanosti. </w:t>
      </w:r>
    </w:p>
    <w:p w14:paraId="3A693D83" w14:textId="77777777" w:rsidR="00A16DDB" w:rsidRPr="00D95127" w:rsidRDefault="00A16DDB" w:rsidP="00B76A61">
      <w:pPr>
        <w:pStyle w:val="UZEINormaln"/>
        <w:rPr>
          <w:color w:val="000000"/>
        </w:rPr>
      </w:pPr>
      <w:r w:rsidRPr="00D95127">
        <w:rPr>
          <w:color w:val="000000"/>
        </w:rPr>
        <w:t xml:space="preserve">Z dat o pracovních nákladech na chov ovcí a koz vyplývá, že bylo na ně v roce 2018 přímo vázáno celkem zhruba 1 700 zemědělských pracovníků (v přepočtu na plný roční pracovní úvazek). V období 2016-2018 byly stavy chovaných ovcí stabilizované, stavy podstatně méně početných koz rostly, celkový význam chovu ovcí a koz pro udržování zemědělské zaměstnanosti se prakticky nezměnil (z údajů o nákladech vyplývá, že i v pracnosti těchto chovů došlo jen k zanedbatelným změnám). Lze předpokládat, že ve většině takto zaměřených podniků se na celkovém pracovním vstupu nadprůměrně podílí neplacený pracovní vstup (tj. práce majitelů farmy a jejich rodinných příslušníků). </w:t>
      </w:r>
    </w:p>
    <w:p w14:paraId="72699E6F" w14:textId="77777777" w:rsidR="00A16DDB" w:rsidRPr="00D95127" w:rsidRDefault="00A16DDB" w:rsidP="00DE7D57">
      <w:pPr>
        <w:pStyle w:val="Nadpis1"/>
        <w:numPr>
          <w:ilvl w:val="0"/>
          <w:numId w:val="31"/>
        </w:numPr>
      </w:pPr>
      <w:bookmarkStart w:id="1162" w:name="_Toc15304122"/>
      <w:bookmarkStart w:id="1163" w:name="_Toc23509947"/>
      <w:bookmarkStart w:id="1164" w:name="_Toc76137473"/>
      <w:bookmarkStart w:id="1165" w:name="_Toc76637672"/>
      <w:bookmarkStart w:id="1166" w:name="_Toc80953361"/>
      <w:bookmarkStart w:id="1167" w:name="_Toc81739313"/>
      <w:r w:rsidRPr="00D95127">
        <w:t>Analýza stávajících/navrhovaných právních předpisů EK/ČR a pravděpodobné nastavení směrů a cílů SZP</w:t>
      </w:r>
      <w:bookmarkEnd w:id="1162"/>
      <w:bookmarkEnd w:id="1163"/>
      <w:bookmarkEnd w:id="1164"/>
      <w:bookmarkEnd w:id="1165"/>
      <w:bookmarkEnd w:id="1166"/>
      <w:bookmarkEnd w:id="1167"/>
    </w:p>
    <w:p w14:paraId="58EFEBFA" w14:textId="77777777" w:rsidR="00A16DDB" w:rsidRPr="00B76A61" w:rsidRDefault="00A16DDB" w:rsidP="00B76A61">
      <w:pPr>
        <w:pStyle w:val="UZEINormaln"/>
        <w:rPr>
          <w:u w:val="single"/>
        </w:rPr>
      </w:pPr>
      <w:r w:rsidRPr="00B76A61">
        <w:rPr>
          <w:u w:val="single"/>
        </w:rPr>
        <w:t>Tato část je zpracována souhrnně v základním analytickém dokumentu za oblast konkurenceschopnost zemědělství.</w:t>
      </w:r>
    </w:p>
    <w:p w14:paraId="0CE179A7" w14:textId="77777777" w:rsidR="00B76A61" w:rsidRDefault="00B76A61">
      <w:pPr>
        <w:spacing w:after="160" w:line="259" w:lineRule="auto"/>
        <w:jc w:val="left"/>
        <w:rPr>
          <w:rFonts w:eastAsiaTheme="majorEastAsia" w:cs="Times New Roman"/>
          <w:b/>
          <w:bCs/>
          <w:szCs w:val="24"/>
          <w:lang w:val="cs-CZ"/>
        </w:rPr>
      </w:pPr>
      <w:bookmarkStart w:id="1168" w:name="_Toc15304123"/>
      <w:bookmarkStart w:id="1169" w:name="_Toc23509948"/>
      <w:bookmarkStart w:id="1170" w:name="_Toc76137474"/>
      <w:bookmarkStart w:id="1171" w:name="_Toc76637673"/>
      <w:bookmarkStart w:id="1172" w:name="_Toc80953362"/>
      <w:r>
        <w:rPr>
          <w:szCs w:val="24"/>
        </w:rPr>
        <w:br w:type="page"/>
      </w:r>
    </w:p>
    <w:p w14:paraId="073CC624" w14:textId="555A865D" w:rsidR="00A16DDB" w:rsidRPr="00D95127" w:rsidRDefault="00A16DDB" w:rsidP="00B76A61">
      <w:pPr>
        <w:pStyle w:val="Nadpis1"/>
      </w:pPr>
      <w:bookmarkStart w:id="1173" w:name="_Toc81739314"/>
      <w:r w:rsidRPr="00D95127">
        <w:t>Co je skutečným problémem, na který má politika reagovat?</w:t>
      </w:r>
      <w:bookmarkEnd w:id="1168"/>
      <w:bookmarkEnd w:id="1169"/>
      <w:bookmarkEnd w:id="1170"/>
      <w:bookmarkEnd w:id="1171"/>
      <w:bookmarkEnd w:id="1172"/>
      <w:bookmarkEnd w:id="1173"/>
    </w:p>
    <w:p w14:paraId="418A1145" w14:textId="77777777" w:rsidR="00A16DDB" w:rsidRPr="00D95127" w:rsidRDefault="00A16DDB" w:rsidP="00B76A61">
      <w:pPr>
        <w:pStyle w:val="UZEIOdrky"/>
      </w:pPr>
      <w:r w:rsidRPr="00D95127">
        <w:t>Roztříštěnost chovu, zejména u koz</w:t>
      </w:r>
    </w:p>
    <w:p w14:paraId="68C554C3" w14:textId="77777777" w:rsidR="00A16DDB" w:rsidRPr="00D95127" w:rsidRDefault="00A16DDB" w:rsidP="00B76A61">
      <w:pPr>
        <w:pStyle w:val="UZEIOdrky"/>
      </w:pPr>
      <w:r w:rsidRPr="00D95127">
        <w:t>Záporná rentabilita chovu</w:t>
      </w:r>
    </w:p>
    <w:p w14:paraId="7551AEBA" w14:textId="77777777" w:rsidR="00A16DDB" w:rsidRPr="00D95127" w:rsidRDefault="00A16DDB" w:rsidP="00B76A61">
      <w:pPr>
        <w:pStyle w:val="UZEIOdrky"/>
      </w:pPr>
      <w:r w:rsidRPr="00D95127">
        <w:t>Nefunkční odbytová organizace Oveko</w:t>
      </w:r>
    </w:p>
    <w:p w14:paraId="59A9195E" w14:textId="77777777" w:rsidR="00A16DDB" w:rsidRPr="00D95127" w:rsidRDefault="00A16DDB" w:rsidP="00B76A61">
      <w:pPr>
        <w:pStyle w:val="UZEIOdrky"/>
      </w:pPr>
      <w:r w:rsidRPr="00D95127">
        <w:t>Problémy v oblasti animal welfare</w:t>
      </w:r>
    </w:p>
    <w:p w14:paraId="4059FB0B" w14:textId="77777777" w:rsidR="00B76A61" w:rsidRDefault="00B76A61">
      <w:pPr>
        <w:spacing w:after="160" w:line="259" w:lineRule="auto"/>
        <w:jc w:val="left"/>
        <w:rPr>
          <w:rFonts w:eastAsiaTheme="majorEastAsia" w:cs="Times New Roman"/>
          <w:b/>
          <w:bCs/>
          <w:sz w:val="28"/>
          <w:szCs w:val="32"/>
          <w:lang w:val="cs-CZ"/>
        </w:rPr>
      </w:pPr>
      <w:bookmarkStart w:id="1174" w:name="_Toc15304124"/>
      <w:bookmarkStart w:id="1175" w:name="_Toc23509949"/>
      <w:bookmarkStart w:id="1176" w:name="_Toc76137475"/>
      <w:bookmarkStart w:id="1177" w:name="_Toc76637674"/>
      <w:bookmarkStart w:id="1178" w:name="_Toc80953363"/>
      <w:r>
        <w:br w:type="page"/>
      </w:r>
    </w:p>
    <w:p w14:paraId="473F1878" w14:textId="6F7A429A" w:rsidR="00A16DDB" w:rsidRPr="00D95127" w:rsidRDefault="00A16DDB" w:rsidP="00B76A61">
      <w:pPr>
        <w:pStyle w:val="Nadpis1"/>
      </w:pPr>
      <w:bookmarkStart w:id="1179" w:name="_Toc81739315"/>
      <w:r w:rsidRPr="00D95127">
        <w:t>Jaký je mechanizmus a příčiny tohoto problému?</w:t>
      </w:r>
      <w:bookmarkEnd w:id="1174"/>
      <w:bookmarkEnd w:id="1175"/>
      <w:bookmarkEnd w:id="1176"/>
      <w:bookmarkEnd w:id="1177"/>
      <w:bookmarkEnd w:id="1178"/>
      <w:bookmarkEnd w:id="1179"/>
    </w:p>
    <w:p w14:paraId="48567143" w14:textId="3916510B" w:rsidR="00A16DDB" w:rsidRPr="00B76A61" w:rsidRDefault="00A16DDB" w:rsidP="00B76A61">
      <w:pPr>
        <w:pStyle w:val="UZEINormaln"/>
      </w:pPr>
      <w:r w:rsidRPr="00D95127">
        <w:t xml:space="preserve">Zásadním problémem je značná roztříštěnost chovů. K 1.4.2021 bylo v ČR chováno celkem 183 145 kusů ovcí a 25 409 ks koz. Malá stáda do velikosti 10 ks tvoří celkem 70 % podniků a podíl zvířat v nich je 16 % z celkového stavu, jedná se o tzv. hobby chovy. Na druhé straně existují podniky se stády nad 100 ks, která tvoří např. o ovcí cca 3,6 % počtu chovů, ale chovají více než 36 % z celkového stavu ovcí.  U koz tvoří podíl stád nad 50 ks jen 2 % chovů, ale s podílem 30,3 % stavů koz. Zpracování nadojeného mléka je většinou prováděno přímo farmě. Obecně malá a střední stáda jsou ustájena v objektech, které nebyly původně určeny k chovu ovcí a koz. To společně s administrativními problémy zřizování pastevních areálů a nízkou kvalitou pastevních porostů zejména v uplynulých 2 let přináší i problémy z hlediska welfare. Dalším problémem je odbyt ovčí vlny, není k dispozici prádelna a přádelna. Konkurence dovozové vlny je cenově dumpingová a náklady na stříháni jsou vyšší nežli cena v případě prodeje vlny.  </w:t>
      </w:r>
    </w:p>
    <w:p w14:paraId="3743E830" w14:textId="7F002B9B" w:rsidR="00A16DDB" w:rsidRPr="00D95127" w:rsidRDefault="00A16DDB" w:rsidP="00B76A61">
      <w:pPr>
        <w:pStyle w:val="UZEINormaln"/>
      </w:pPr>
      <w:r w:rsidRPr="00D95127">
        <w:t xml:space="preserve">Spotřeba jehněčího a kozího masa je dlouhodobě na úrovni 0,4 kg na osobu a rok. Podíl jehňat a kůzlat na jatkách kolem 5 % z celkového počtu poražených zvířat. V posledních letech nedocházelo k významným změnám v cenách za jatečná jehňata (cca 45-48 Kč/kg v živém) a ovce (cca 13-18 Kč/kg v živém). Bilance zahraničního obchodu s jehněčím a kozím masem je dlouhodobě záporná.  Obě komodity se sledují ve statistikách společně. </w:t>
      </w:r>
    </w:p>
    <w:p w14:paraId="098C3D1D" w14:textId="234AD3E1" w:rsidR="00A16DDB" w:rsidRPr="00B76A61" w:rsidRDefault="00A16DDB" w:rsidP="00B76A61">
      <w:pPr>
        <w:pStyle w:val="UZEINormaln"/>
      </w:pPr>
      <w:r w:rsidRPr="00D95127">
        <w:t xml:space="preserve"> Zahraniční obchod s živými zvířaty v případě koz byl zanedbatelný. Pozitivním jevem je, že se v posledních letech zvyšovala produkce kozího mléka a kozích sýrů. Cena za kg čerstvých kozích sýrů se v posledních letech překročila úroveň  300 Kč/kg.</w:t>
      </w:r>
    </w:p>
    <w:p w14:paraId="6411492A" w14:textId="77777777" w:rsidR="00A16DDB" w:rsidRPr="00B76A61" w:rsidRDefault="00A16DDB" w:rsidP="00B76A61">
      <w:pPr>
        <w:pStyle w:val="UZEINormaln"/>
        <w:rPr>
          <w:b/>
          <w:bCs/>
        </w:rPr>
      </w:pPr>
      <w:r w:rsidRPr="00B76A61">
        <w:rPr>
          <w:b/>
          <w:bCs/>
        </w:rPr>
        <w:t xml:space="preserve">Základní problémy </w:t>
      </w:r>
    </w:p>
    <w:p w14:paraId="0630C2FA" w14:textId="77777777" w:rsidR="00A16DDB" w:rsidRPr="00D95127" w:rsidRDefault="00A16DDB" w:rsidP="00B76A61">
      <w:pPr>
        <w:pStyle w:val="UZEINormaln"/>
      </w:pPr>
      <w:r w:rsidRPr="00D95127">
        <w:t xml:space="preserve">V prvním je nutno jmenovat ustájovací prostory, většinou se jde o adaptované bývalé kravíny nebo skladovací haly. Dále se jedná o problematiku pastevních areálů a následně i faremního zpracování. Řešení těchto uvedených problémů je jednou z cest ke zvýšení zejména ekonomiky chovu včetně welfare a péče o genofond. </w:t>
      </w:r>
    </w:p>
    <w:p w14:paraId="17B4A7D2" w14:textId="77777777" w:rsidR="00A16DDB" w:rsidRPr="00B76A61" w:rsidRDefault="00A16DDB" w:rsidP="00B76A61">
      <w:pPr>
        <w:pStyle w:val="UZEINormaln"/>
        <w:rPr>
          <w:b/>
        </w:rPr>
      </w:pPr>
      <w:r w:rsidRPr="00B76A61">
        <w:rPr>
          <w:b/>
        </w:rPr>
        <w:t>Ekonomika chovu ovcí a koz</w:t>
      </w:r>
    </w:p>
    <w:p w14:paraId="0896E335" w14:textId="77777777" w:rsidR="00A16DDB" w:rsidRPr="00D95127" w:rsidRDefault="00A16DDB" w:rsidP="00B76A61">
      <w:pPr>
        <w:pStyle w:val="UZEINormaln"/>
      </w:pPr>
      <w:r w:rsidRPr="00D95127">
        <w:t>Náklady na bahnici včetně obratu stáda se pohybovaly od roku 2015 ve výši 6-7,3 tis. Kč. Tržby za prodaná jehňata a brakované bahnice nepokrývaly vynaložené náklady. Nákladová míra rentability převyšovala -50 %. Po započtení přímých a nepřímých podpor došlo k významnému zlepšení ekonomiky chovu, souhrnná rentabilita kolísala od -7,1 % do -0,4 %. Ceny se u jehňat pohybují v rozmezí 45,- až 48,- Kč za kilo živé váhy, u bahnic v poslední době ceny klesly na 13,- Kč za kilo živé váhy. Pokud se týká porážek, tak v roce 2020 bylo poraženo celkem 148 716 ovcí, z toho na jatkách 9716 ks, jehňat bylo poraženo celkem 118 897 ks, z toho na jatkách 7897 ks. Pokud se týká koz, tak z celkových 30 634 ks poražených celkem, bylo na jatkách poraženo 634 ks.  V roce 2019 bylo dojených ovcí 1326 ks a produkce mléka 350 000 litrů, výroba sýrů byla na úrovni 88 t a cena 300,- Kč/kg sýra.</w:t>
      </w:r>
    </w:p>
    <w:p w14:paraId="1F971969" w14:textId="77777777" w:rsidR="00A16DDB" w:rsidRPr="00D95127" w:rsidRDefault="00A16DDB" w:rsidP="00B76A61">
      <w:pPr>
        <w:pStyle w:val="UZEINormaln"/>
      </w:pPr>
      <w:r w:rsidRPr="00D95127">
        <w:t>Pokud se týká koz, tak jsou k dispozici data z kontroly užitkovosti v roce 2019 to bylo 5320 koz, produkce mléka ve výši 2,66 mil. litrů a výroba sýra 266 tun, cena 300,- Kč/kg.</w:t>
      </w:r>
    </w:p>
    <w:p w14:paraId="02B68A9E" w14:textId="428FD64E" w:rsidR="00A16DDB" w:rsidRPr="00B76A61" w:rsidRDefault="00A16DDB" w:rsidP="00B76A61">
      <w:pPr>
        <w:pStyle w:val="UZEINormaln"/>
        <w:rPr>
          <w:b/>
          <w:bCs/>
        </w:rPr>
      </w:pPr>
      <w:r w:rsidRPr="00B76A61">
        <w:rPr>
          <w:b/>
          <w:bCs/>
        </w:rPr>
        <w:t xml:space="preserve">Problematika welfare v chovu ovcí a koz: </w:t>
      </w:r>
    </w:p>
    <w:p w14:paraId="2FF08F17" w14:textId="77777777" w:rsidR="00A16DDB" w:rsidRPr="00D95127" w:rsidRDefault="00A16DDB" w:rsidP="00B76A61">
      <w:pPr>
        <w:pStyle w:val="UZEINormaln"/>
      </w:pPr>
      <w:r w:rsidRPr="00D95127">
        <w:t>Nedostatečná evidence a analýza onemocnění vyskytujících se v chovech ovcí a koz.</w:t>
      </w:r>
    </w:p>
    <w:p w14:paraId="3AAE27F8" w14:textId="77777777" w:rsidR="00A16DDB" w:rsidRPr="00D95127" w:rsidRDefault="00A16DDB" w:rsidP="00B76A61">
      <w:pPr>
        <w:pStyle w:val="UZEINormaln"/>
      </w:pPr>
      <w:r w:rsidRPr="00D95127">
        <w:t xml:space="preserve">Minimální využití izolace nakoupených zvířat před zařazením do stáda. </w:t>
      </w:r>
    </w:p>
    <w:p w14:paraId="416B81DB" w14:textId="77777777" w:rsidR="00B76A61" w:rsidRDefault="00B76A61" w:rsidP="00B76A61">
      <w:pPr>
        <w:spacing w:after="120"/>
        <w:rPr>
          <w:rFonts w:cs="Times New Roman"/>
          <w:b/>
          <w:color w:val="000000"/>
          <w:szCs w:val="24"/>
          <w:lang w:val="cs-CZ"/>
        </w:rPr>
      </w:pPr>
    </w:p>
    <w:p w14:paraId="3E0233FC" w14:textId="77777777" w:rsidR="00B76A61" w:rsidRDefault="00B76A61" w:rsidP="00B76A61">
      <w:pPr>
        <w:spacing w:after="120"/>
        <w:rPr>
          <w:rFonts w:cs="Times New Roman"/>
          <w:b/>
          <w:color w:val="000000"/>
          <w:szCs w:val="24"/>
          <w:lang w:val="cs-CZ"/>
        </w:rPr>
      </w:pPr>
    </w:p>
    <w:p w14:paraId="464031EE" w14:textId="546190F0" w:rsidR="00A16DDB" w:rsidRPr="00D95127" w:rsidRDefault="00A16DDB" w:rsidP="00B76A61">
      <w:pPr>
        <w:spacing w:after="120"/>
        <w:rPr>
          <w:rFonts w:cs="Times New Roman"/>
          <w:b/>
          <w:color w:val="000000"/>
          <w:szCs w:val="24"/>
          <w:lang w:val="cs-CZ"/>
        </w:rPr>
      </w:pPr>
      <w:r w:rsidRPr="00D95127">
        <w:rPr>
          <w:rFonts w:cs="Times New Roman"/>
          <w:b/>
          <w:color w:val="000000"/>
          <w:szCs w:val="24"/>
          <w:lang w:val="cs-CZ"/>
        </w:rPr>
        <w:t>Problematika onemocnění paznehtů a kulhání:</w:t>
      </w:r>
    </w:p>
    <w:p w14:paraId="27C85353" w14:textId="77777777" w:rsidR="00A16DDB" w:rsidRPr="00D95127" w:rsidRDefault="00A16DDB" w:rsidP="00B76A61">
      <w:pPr>
        <w:pStyle w:val="UZEIOdrky"/>
      </w:pPr>
      <w:r w:rsidRPr="00D95127">
        <w:t xml:space="preserve">Nedostatečné technické vybavení chovatelů pro provádění koupele paznehtů. </w:t>
      </w:r>
    </w:p>
    <w:p w14:paraId="4B316527" w14:textId="77777777" w:rsidR="00A16DDB" w:rsidRPr="00D95127" w:rsidRDefault="00A16DDB" w:rsidP="00B76A61">
      <w:pPr>
        <w:pStyle w:val="UZEIOdrky"/>
      </w:pPr>
      <w:r w:rsidRPr="00D95127">
        <w:t>Nedostatečné technické vybavení chovatelů a časté využívání nevyhovujícího zařízení pro naháňku zvířat, včetně fixačního zařízení pro ošetření paznehtů.</w:t>
      </w:r>
    </w:p>
    <w:p w14:paraId="41026661" w14:textId="77777777" w:rsidR="00A16DDB" w:rsidRPr="00D95127" w:rsidRDefault="00A16DDB" w:rsidP="00A16DDB">
      <w:pPr>
        <w:spacing w:after="120"/>
        <w:rPr>
          <w:rFonts w:cs="Times New Roman"/>
          <w:b/>
          <w:color w:val="000000"/>
          <w:szCs w:val="24"/>
          <w:lang w:val="cs-CZ"/>
        </w:rPr>
      </w:pPr>
      <w:r w:rsidRPr="00D95127">
        <w:rPr>
          <w:rFonts w:cs="Times New Roman"/>
          <w:b/>
          <w:color w:val="000000"/>
          <w:szCs w:val="24"/>
          <w:lang w:val="cs-CZ"/>
        </w:rPr>
        <w:t>Problematika ekto- a endoparazitů:</w:t>
      </w:r>
    </w:p>
    <w:p w14:paraId="141E6F95" w14:textId="77777777" w:rsidR="00A16DDB" w:rsidRPr="00D95127" w:rsidRDefault="00A16DDB" w:rsidP="00B76A61">
      <w:pPr>
        <w:pStyle w:val="UZEIOdrky"/>
      </w:pPr>
      <w:r w:rsidRPr="00D95127">
        <w:t>Podpora vzniku rezistence na antihelmintika souvisí především s úzkým sortimentem antihelmintik a z toho vyplývá minimální střídání antihelminitik s různou účinnou látkou v chovech ovcí a koz v průběhu roku. Dalším problémem je špatné dávkování anthelmintik – většinou se velikost dávky určuje chybně podle průměrné živé hmotnosti zvířat ve stádě.</w:t>
      </w:r>
    </w:p>
    <w:p w14:paraId="6EAB6085" w14:textId="77777777" w:rsidR="00A16DDB" w:rsidRPr="00D95127" w:rsidRDefault="00A16DDB" w:rsidP="00B76A61">
      <w:pPr>
        <w:pStyle w:val="UZEIOdrky"/>
      </w:pPr>
      <w:r w:rsidRPr="00D95127">
        <w:t>Neodčervování koz, bahnic v průběhu laktace je dáno tím, že při použití anthelmintik je nutno dodržovat dlouhou ochrannou lhůtu a ovčí a kozí mléko se musí vyřadit z lidské spotřeby a ze zpracování z toho plyne chovatelům velká finanční ztráta.</w:t>
      </w:r>
    </w:p>
    <w:p w14:paraId="3FA2D3C4" w14:textId="75911A7E" w:rsidR="00A16DDB" w:rsidRPr="00D95127" w:rsidRDefault="00A16DDB" w:rsidP="00B76A61">
      <w:pPr>
        <w:pStyle w:val="UZEIOdrky"/>
      </w:pPr>
      <w:r w:rsidRPr="00D95127">
        <w:t>Špatné nastavení odčervovacího plánu (nepravidelnost, nedůslednost)</w:t>
      </w:r>
      <w:r w:rsidR="00B76A61">
        <w:t>.</w:t>
      </w:r>
    </w:p>
    <w:p w14:paraId="64A2CD02" w14:textId="77777777" w:rsidR="00A16DDB" w:rsidRPr="00D95127" w:rsidRDefault="00A16DDB" w:rsidP="00A16DDB">
      <w:pPr>
        <w:spacing w:after="120"/>
        <w:rPr>
          <w:rFonts w:cs="Times New Roman"/>
          <w:b/>
          <w:color w:val="000000"/>
          <w:szCs w:val="24"/>
          <w:lang w:val="cs-CZ"/>
        </w:rPr>
      </w:pPr>
      <w:r w:rsidRPr="00D95127">
        <w:rPr>
          <w:rFonts w:cs="Times New Roman"/>
          <w:b/>
          <w:color w:val="000000"/>
          <w:szCs w:val="24"/>
          <w:lang w:val="cs-CZ"/>
        </w:rPr>
        <w:t>Problematika péče o zvířata v době pastvy</w:t>
      </w:r>
    </w:p>
    <w:p w14:paraId="549FB884" w14:textId="77777777" w:rsidR="00A16DDB" w:rsidRPr="00D95127" w:rsidRDefault="00A16DDB" w:rsidP="00B76A61">
      <w:pPr>
        <w:pStyle w:val="UZEIOdrky"/>
      </w:pPr>
      <w:r w:rsidRPr="00D95127">
        <w:t>Nemožnost účinné ochrany stáda ovcí před predátory: vlk, rys, krkavec, které způsobují značné utrpení zvířat, zvláště jehňat.</w:t>
      </w:r>
    </w:p>
    <w:p w14:paraId="0E768449" w14:textId="77777777" w:rsidR="00A16DDB" w:rsidRPr="00D95127" w:rsidRDefault="00A16DDB" w:rsidP="00B76A61">
      <w:pPr>
        <w:pStyle w:val="UZEIOdrky"/>
      </w:pPr>
      <w:r w:rsidRPr="00D95127">
        <w:t>Absence napájecí vody nebo špatný přístup k napájecí vodě. Nedostatek vody je pro laktující kozy a bahnice zásadní a přímo ovlivňuje množství produkovaného mléka pro výživu mláďat.</w:t>
      </w:r>
    </w:p>
    <w:p w14:paraId="73BDA04F" w14:textId="77777777" w:rsidR="00A16DDB" w:rsidRPr="00D95127" w:rsidRDefault="00A16DDB" w:rsidP="00B76A61">
      <w:pPr>
        <w:pStyle w:val="UZEIOdrky"/>
      </w:pPr>
      <w:r w:rsidRPr="00D95127">
        <w:t>Absence přístřešků, zastíněných ploch na pastvinách, aby se zvířata mohla chránit před přímým působením slunečních paprsků, nebo naopak ochrana bahnicích se zvířat a novorozených mláďat v průběhu nepříznivých účinků počasí (vítr, sníh, déšť aj.).</w:t>
      </w:r>
    </w:p>
    <w:p w14:paraId="4CBBF4F4" w14:textId="77777777" w:rsidR="00A16DDB" w:rsidRPr="00D95127" w:rsidRDefault="00A16DDB" w:rsidP="00B76A61">
      <w:pPr>
        <w:pStyle w:val="UZEIOdrky"/>
      </w:pPr>
      <w:r w:rsidRPr="00D95127">
        <w:t>Absence nebo nevhodné řešení příkrmišť.</w:t>
      </w:r>
    </w:p>
    <w:p w14:paraId="61B11107" w14:textId="77777777" w:rsidR="00A16DDB" w:rsidRPr="00D95127" w:rsidRDefault="00A16DDB" w:rsidP="00B76A61">
      <w:pPr>
        <w:pStyle w:val="UZEIOdrky"/>
      </w:pPr>
      <w:r w:rsidRPr="00D95127">
        <w:rPr>
          <w:color w:val="000000" w:themeColor="text1"/>
        </w:rPr>
        <w:t>Pastva na nevhodných lokalitách – Nejsou ohrazeny zamokřené části pastvin, a tím se zvyšuje riziko výskytu endoparazitů (např. motolice jaterní aj.) u pasoucích se zvířat. Tyto lokality navíc fungují jako líhniště komárů aj.</w:t>
      </w:r>
    </w:p>
    <w:p w14:paraId="60E711F5" w14:textId="77777777" w:rsidR="00A16DDB" w:rsidRPr="00D95127" w:rsidRDefault="00A16DDB" w:rsidP="00B76A61">
      <w:pPr>
        <w:pStyle w:val="UZEIOdrky"/>
      </w:pPr>
      <w:r w:rsidRPr="00D95127">
        <w:rPr>
          <w:color w:val="000000" w:themeColor="text1"/>
        </w:rPr>
        <w:t>Nedostatečné ohrazení pastvin způsobuje zamoření střevními parazity z migrující vysoké zvěře.</w:t>
      </w:r>
    </w:p>
    <w:p w14:paraId="1BA8CABC" w14:textId="77777777" w:rsidR="00A16DDB" w:rsidRPr="00D95127" w:rsidRDefault="00A16DDB" w:rsidP="00A16DDB">
      <w:pPr>
        <w:spacing w:after="120"/>
        <w:rPr>
          <w:rFonts w:cs="Times New Roman"/>
          <w:b/>
          <w:color w:val="000000"/>
          <w:szCs w:val="24"/>
          <w:lang w:val="cs-CZ"/>
        </w:rPr>
      </w:pPr>
      <w:r w:rsidRPr="00D95127">
        <w:rPr>
          <w:rFonts w:cs="Times New Roman"/>
          <w:b/>
          <w:color w:val="000000"/>
          <w:szCs w:val="24"/>
          <w:lang w:val="cs-CZ"/>
        </w:rPr>
        <w:t>Problematika odrohování kůzlat a koz</w:t>
      </w:r>
    </w:p>
    <w:p w14:paraId="357642E6" w14:textId="77777777" w:rsidR="00A16DDB" w:rsidRPr="00D95127" w:rsidRDefault="00A16DDB" w:rsidP="00B76A61">
      <w:pPr>
        <w:pStyle w:val="UZEINormaln"/>
      </w:pPr>
      <w:r w:rsidRPr="00D95127">
        <w:t>Rohy představují značný problém v chovech koz, ať už je to zranění jiných zvířat ve stádě nebo zranění dojičů v průběhu dojení. Velkým problémem je chov rohatých a bezrohých zvířat v jedné skupině, kdy rohaté kozy omezují přístup ke krmivu, zkracují délku příjmu krmiva submisivním jedincům.</w:t>
      </w:r>
    </w:p>
    <w:p w14:paraId="14F138AA" w14:textId="77777777" w:rsidR="00A16DDB" w:rsidRPr="00D95127" w:rsidRDefault="00A16DDB" w:rsidP="00A16DDB">
      <w:pPr>
        <w:spacing w:after="120"/>
        <w:rPr>
          <w:rFonts w:cs="Times New Roman"/>
          <w:b/>
          <w:color w:val="000000"/>
          <w:szCs w:val="24"/>
          <w:lang w:val="cs-CZ"/>
        </w:rPr>
      </w:pPr>
      <w:r w:rsidRPr="00D95127">
        <w:rPr>
          <w:rFonts w:cs="Times New Roman"/>
          <w:b/>
          <w:color w:val="000000"/>
          <w:szCs w:val="24"/>
          <w:lang w:val="cs-CZ"/>
        </w:rPr>
        <w:t>Problémy s ustájením a napájením</w:t>
      </w:r>
    </w:p>
    <w:p w14:paraId="051793B3" w14:textId="77777777" w:rsidR="00A16DDB" w:rsidRPr="00D95127" w:rsidRDefault="00A16DDB" w:rsidP="00B76A61">
      <w:pPr>
        <w:pStyle w:val="UZEINormaln"/>
      </w:pPr>
      <w:r w:rsidRPr="00D95127">
        <w:t xml:space="preserve">Nevhodné podmínky mikroklima v průběhu zimního ustájení jsou dány tím, že ovce a kozy jsou často ustájeny ve stájích určených původně k chovu jiných hospodářských zvířat (bývalé odchovny mladého skotu, kravíny), nebo v bývalých skladech objemných krmiv. Nedostatečný bývá i počet napajedel, resp. napáječek v průběhu zimního ustájení. </w:t>
      </w:r>
    </w:p>
    <w:p w14:paraId="7489E782" w14:textId="77777777" w:rsidR="00A16DDB" w:rsidRPr="00D95127" w:rsidRDefault="00A16DDB" w:rsidP="00A16DDB">
      <w:pPr>
        <w:keepNext/>
        <w:spacing w:after="120"/>
        <w:rPr>
          <w:rFonts w:cs="Times New Roman"/>
          <w:b/>
          <w:color w:val="000000"/>
          <w:szCs w:val="24"/>
          <w:lang w:val="cs-CZ"/>
        </w:rPr>
      </w:pPr>
      <w:r w:rsidRPr="00D95127">
        <w:rPr>
          <w:rFonts w:cs="Times New Roman"/>
          <w:b/>
          <w:color w:val="000000"/>
          <w:szCs w:val="24"/>
          <w:lang w:val="cs-CZ"/>
        </w:rPr>
        <w:t>Management chovu</w:t>
      </w:r>
    </w:p>
    <w:p w14:paraId="698349E1" w14:textId="77777777" w:rsidR="00A16DDB" w:rsidRPr="00D95127" w:rsidRDefault="00A16DDB" w:rsidP="00B76A61">
      <w:pPr>
        <w:pStyle w:val="UZEINormaln"/>
      </w:pPr>
      <w:r w:rsidRPr="00D95127">
        <w:t>Často dochází ke spojování jednotlivých úkonů (střiž vlny, odčervení a stříhání paznehtů). Z hlediska organizačního i z hlediska welfare je to přínosné, zvířata jsou stresována méněkrát, ale výsledkem je snížení účinnosti odčervení.</w:t>
      </w:r>
    </w:p>
    <w:p w14:paraId="6CB62D0E" w14:textId="77777777" w:rsidR="00A16DDB" w:rsidRPr="00D95127" w:rsidRDefault="00A16DDB" w:rsidP="00A16DDB">
      <w:pPr>
        <w:keepNext/>
        <w:spacing w:after="120"/>
        <w:rPr>
          <w:rFonts w:cs="Times New Roman"/>
          <w:color w:val="000000"/>
          <w:szCs w:val="24"/>
          <w:lang w:val="cs-CZ"/>
        </w:rPr>
      </w:pPr>
    </w:p>
    <w:p w14:paraId="05359C31" w14:textId="77777777" w:rsidR="00B76A61" w:rsidRDefault="00B76A61">
      <w:pPr>
        <w:spacing w:after="160" w:line="259" w:lineRule="auto"/>
        <w:jc w:val="left"/>
        <w:rPr>
          <w:rFonts w:eastAsiaTheme="majorEastAsia" w:cs="Times New Roman"/>
          <w:b/>
          <w:bCs/>
          <w:sz w:val="28"/>
          <w:szCs w:val="32"/>
          <w:lang w:val="cs-CZ"/>
        </w:rPr>
      </w:pPr>
      <w:bookmarkStart w:id="1180" w:name="_Toc15304125"/>
      <w:bookmarkStart w:id="1181" w:name="_Toc23509950"/>
      <w:bookmarkStart w:id="1182" w:name="_Toc76137476"/>
      <w:bookmarkStart w:id="1183" w:name="_Toc76637675"/>
      <w:bookmarkStart w:id="1184" w:name="_Toc80953364"/>
      <w:bookmarkStart w:id="1185" w:name="_Toc483992384"/>
      <w:bookmarkStart w:id="1186" w:name="_Toc515523922"/>
      <w:r>
        <w:br w:type="page"/>
      </w:r>
    </w:p>
    <w:p w14:paraId="23EB56A4" w14:textId="5AB24CB5" w:rsidR="00A16DDB" w:rsidRPr="00D95127" w:rsidRDefault="00A16DDB" w:rsidP="00B76A61">
      <w:pPr>
        <w:pStyle w:val="Nadpis1"/>
      </w:pPr>
      <w:bookmarkStart w:id="1187" w:name="_Toc81739316"/>
      <w:r w:rsidRPr="00D95127">
        <w:t>Jak závažný je tento problém?</w:t>
      </w:r>
      <w:bookmarkEnd w:id="1180"/>
      <w:bookmarkEnd w:id="1181"/>
      <w:bookmarkEnd w:id="1182"/>
      <w:bookmarkEnd w:id="1183"/>
      <w:bookmarkEnd w:id="1184"/>
      <w:bookmarkEnd w:id="1187"/>
    </w:p>
    <w:p w14:paraId="1667A26E" w14:textId="77777777" w:rsidR="00A16DDB" w:rsidRPr="00D95127" w:rsidRDefault="00A16DDB" w:rsidP="00B76A61">
      <w:pPr>
        <w:pStyle w:val="UZEINormaln"/>
      </w:pPr>
      <w:r w:rsidRPr="00D95127">
        <w:t xml:space="preserve">Právě rozdíly v užitkovosti ukazují na závažnost výše uvedených problémů. Pokud bychom chtěli sestavit žebříček závažnosti, pak v podstatě se dostaneme do situace, že vždy funguje pravidlo nenaplnění jednoho parametru, který pak má nepříznivý vliv na ekonomiku. </w:t>
      </w:r>
    </w:p>
    <w:p w14:paraId="20CF0910" w14:textId="4440C0F6" w:rsidR="00A16DDB" w:rsidRPr="00D95127" w:rsidRDefault="00A16DDB" w:rsidP="00B76A61">
      <w:pPr>
        <w:pStyle w:val="UZEITaB"/>
        <w:ind w:left="1276" w:hanging="1418"/>
      </w:pPr>
      <w:bookmarkStart w:id="1188" w:name="_Toc81738551"/>
      <w:r w:rsidRPr="00D95127">
        <w:t>Stavy a produkce skopového masa</w:t>
      </w:r>
      <w:bookmarkEnd w:id="1188"/>
    </w:p>
    <w:tbl>
      <w:tblPr>
        <w:tblW w:w="9664" w:type="dxa"/>
        <w:tblLayout w:type="fixed"/>
        <w:tblCellMar>
          <w:left w:w="70" w:type="dxa"/>
          <w:right w:w="70" w:type="dxa"/>
        </w:tblCellMar>
        <w:tblLook w:val="04A0" w:firstRow="1" w:lastRow="0" w:firstColumn="1" w:lastColumn="0" w:noHBand="0" w:noVBand="1"/>
      </w:tblPr>
      <w:tblGrid>
        <w:gridCol w:w="1445"/>
        <w:gridCol w:w="734"/>
        <w:gridCol w:w="734"/>
        <w:gridCol w:w="734"/>
        <w:gridCol w:w="733"/>
        <w:gridCol w:w="881"/>
        <w:gridCol w:w="734"/>
        <w:gridCol w:w="733"/>
        <w:gridCol w:w="734"/>
        <w:gridCol w:w="734"/>
        <w:gridCol w:w="734"/>
        <w:gridCol w:w="734"/>
      </w:tblGrid>
      <w:tr w:rsidR="00A16DDB" w:rsidRPr="00B76A61" w14:paraId="28095623" w14:textId="77777777" w:rsidTr="00B76A61">
        <w:trPr>
          <w:trHeight w:val="291"/>
        </w:trPr>
        <w:tc>
          <w:tcPr>
            <w:tcW w:w="1445" w:type="dxa"/>
            <w:tcBorders>
              <w:top w:val="double" w:sz="6" w:space="0" w:color="auto"/>
              <w:left w:val="double" w:sz="6" w:space="0" w:color="auto"/>
              <w:bottom w:val="single" w:sz="4" w:space="0" w:color="auto"/>
              <w:right w:val="single" w:sz="4" w:space="0" w:color="auto"/>
            </w:tcBorders>
            <w:shd w:val="clear" w:color="auto" w:fill="auto"/>
            <w:noWrap/>
            <w:vAlign w:val="bottom"/>
            <w:hideMark/>
          </w:tcPr>
          <w:p w14:paraId="419B8002" w14:textId="77777777" w:rsidR="00A16DDB" w:rsidRPr="00B76A61" w:rsidRDefault="00A16DDB" w:rsidP="007A627A">
            <w:pPr>
              <w:keepNext/>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Ukazatel</w:t>
            </w:r>
          </w:p>
        </w:tc>
        <w:tc>
          <w:tcPr>
            <w:tcW w:w="734" w:type="dxa"/>
            <w:tcBorders>
              <w:top w:val="double" w:sz="6" w:space="0" w:color="auto"/>
              <w:left w:val="nil"/>
              <w:bottom w:val="single" w:sz="4" w:space="0" w:color="auto"/>
              <w:right w:val="single" w:sz="4" w:space="0" w:color="auto"/>
            </w:tcBorders>
            <w:shd w:val="clear" w:color="auto" w:fill="auto"/>
            <w:noWrap/>
            <w:vAlign w:val="bottom"/>
            <w:hideMark/>
          </w:tcPr>
          <w:p w14:paraId="058A945D" w14:textId="77777777" w:rsidR="00A16DDB" w:rsidRPr="00B76A61" w:rsidRDefault="00A16DDB" w:rsidP="007A627A">
            <w:pPr>
              <w:keepNext/>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MJ</w:t>
            </w:r>
          </w:p>
        </w:tc>
        <w:tc>
          <w:tcPr>
            <w:tcW w:w="734" w:type="dxa"/>
            <w:tcBorders>
              <w:top w:val="double" w:sz="6" w:space="0" w:color="auto"/>
              <w:left w:val="nil"/>
              <w:bottom w:val="single" w:sz="4" w:space="0" w:color="auto"/>
              <w:right w:val="single" w:sz="4" w:space="0" w:color="auto"/>
            </w:tcBorders>
            <w:shd w:val="clear" w:color="auto" w:fill="auto"/>
            <w:noWrap/>
            <w:vAlign w:val="bottom"/>
            <w:hideMark/>
          </w:tcPr>
          <w:p w14:paraId="306A59C6" w14:textId="77777777" w:rsidR="00A16DDB" w:rsidRPr="00B76A61" w:rsidRDefault="00A16DDB" w:rsidP="007A627A">
            <w:pPr>
              <w:keepNext/>
              <w:jc w:val="right"/>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2011</w:t>
            </w:r>
          </w:p>
        </w:tc>
        <w:tc>
          <w:tcPr>
            <w:tcW w:w="734" w:type="dxa"/>
            <w:tcBorders>
              <w:top w:val="double" w:sz="6" w:space="0" w:color="auto"/>
              <w:left w:val="nil"/>
              <w:bottom w:val="single" w:sz="4" w:space="0" w:color="auto"/>
              <w:right w:val="single" w:sz="4" w:space="0" w:color="auto"/>
            </w:tcBorders>
            <w:shd w:val="clear" w:color="auto" w:fill="auto"/>
            <w:noWrap/>
            <w:vAlign w:val="bottom"/>
            <w:hideMark/>
          </w:tcPr>
          <w:p w14:paraId="7B02DE49" w14:textId="77777777" w:rsidR="00A16DDB" w:rsidRPr="00B76A61" w:rsidRDefault="00A16DDB" w:rsidP="007A627A">
            <w:pPr>
              <w:keepNext/>
              <w:jc w:val="right"/>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2012</w:t>
            </w:r>
          </w:p>
        </w:tc>
        <w:tc>
          <w:tcPr>
            <w:tcW w:w="733" w:type="dxa"/>
            <w:tcBorders>
              <w:top w:val="double" w:sz="6" w:space="0" w:color="auto"/>
              <w:left w:val="nil"/>
              <w:bottom w:val="single" w:sz="4" w:space="0" w:color="auto"/>
              <w:right w:val="single" w:sz="4" w:space="0" w:color="auto"/>
            </w:tcBorders>
            <w:shd w:val="clear" w:color="auto" w:fill="auto"/>
            <w:noWrap/>
            <w:vAlign w:val="bottom"/>
            <w:hideMark/>
          </w:tcPr>
          <w:p w14:paraId="3816A329" w14:textId="77777777" w:rsidR="00A16DDB" w:rsidRPr="00B76A61" w:rsidRDefault="00A16DDB" w:rsidP="007A627A">
            <w:pPr>
              <w:keepNext/>
              <w:jc w:val="right"/>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2013</w:t>
            </w:r>
          </w:p>
        </w:tc>
        <w:tc>
          <w:tcPr>
            <w:tcW w:w="881" w:type="dxa"/>
            <w:tcBorders>
              <w:top w:val="double" w:sz="6" w:space="0" w:color="auto"/>
              <w:left w:val="nil"/>
              <w:bottom w:val="single" w:sz="4" w:space="0" w:color="auto"/>
              <w:right w:val="single" w:sz="4" w:space="0" w:color="auto"/>
            </w:tcBorders>
            <w:shd w:val="clear" w:color="auto" w:fill="auto"/>
            <w:noWrap/>
            <w:vAlign w:val="bottom"/>
            <w:hideMark/>
          </w:tcPr>
          <w:p w14:paraId="577E337C" w14:textId="77777777" w:rsidR="00A16DDB" w:rsidRPr="00B76A61" w:rsidRDefault="00A16DDB" w:rsidP="007A627A">
            <w:pPr>
              <w:keepNext/>
              <w:jc w:val="right"/>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2014</w:t>
            </w:r>
          </w:p>
        </w:tc>
        <w:tc>
          <w:tcPr>
            <w:tcW w:w="734" w:type="dxa"/>
            <w:tcBorders>
              <w:top w:val="double" w:sz="6" w:space="0" w:color="auto"/>
              <w:left w:val="nil"/>
              <w:bottom w:val="single" w:sz="4" w:space="0" w:color="auto"/>
              <w:right w:val="single" w:sz="4" w:space="0" w:color="auto"/>
            </w:tcBorders>
            <w:shd w:val="clear" w:color="auto" w:fill="auto"/>
            <w:noWrap/>
            <w:vAlign w:val="bottom"/>
            <w:hideMark/>
          </w:tcPr>
          <w:p w14:paraId="1F8A02DA" w14:textId="77777777" w:rsidR="00A16DDB" w:rsidRPr="00B76A61" w:rsidRDefault="00A16DDB" w:rsidP="007A627A">
            <w:pPr>
              <w:keepNext/>
              <w:jc w:val="right"/>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2015</w:t>
            </w:r>
          </w:p>
        </w:tc>
        <w:tc>
          <w:tcPr>
            <w:tcW w:w="733" w:type="dxa"/>
            <w:tcBorders>
              <w:top w:val="double" w:sz="6" w:space="0" w:color="auto"/>
              <w:left w:val="nil"/>
              <w:bottom w:val="single" w:sz="4" w:space="0" w:color="auto"/>
              <w:right w:val="single" w:sz="4" w:space="0" w:color="auto"/>
            </w:tcBorders>
            <w:shd w:val="clear" w:color="auto" w:fill="auto"/>
            <w:noWrap/>
            <w:vAlign w:val="bottom"/>
            <w:hideMark/>
          </w:tcPr>
          <w:p w14:paraId="0C9C20C4" w14:textId="77777777" w:rsidR="00A16DDB" w:rsidRPr="00B76A61" w:rsidRDefault="00A16DDB" w:rsidP="007A627A">
            <w:pPr>
              <w:keepNext/>
              <w:jc w:val="right"/>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2016</w:t>
            </w:r>
          </w:p>
        </w:tc>
        <w:tc>
          <w:tcPr>
            <w:tcW w:w="734" w:type="dxa"/>
            <w:tcBorders>
              <w:top w:val="double" w:sz="6" w:space="0" w:color="auto"/>
              <w:left w:val="nil"/>
              <w:bottom w:val="single" w:sz="4" w:space="0" w:color="auto"/>
              <w:right w:val="single" w:sz="4" w:space="0" w:color="auto"/>
            </w:tcBorders>
            <w:shd w:val="clear" w:color="auto" w:fill="auto"/>
            <w:noWrap/>
            <w:vAlign w:val="bottom"/>
            <w:hideMark/>
          </w:tcPr>
          <w:p w14:paraId="5CA1C230" w14:textId="77777777" w:rsidR="00A16DDB" w:rsidRPr="00B76A61" w:rsidRDefault="00A16DDB" w:rsidP="007A627A">
            <w:pPr>
              <w:keepNext/>
              <w:jc w:val="right"/>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2017</w:t>
            </w:r>
          </w:p>
        </w:tc>
        <w:tc>
          <w:tcPr>
            <w:tcW w:w="734" w:type="dxa"/>
            <w:tcBorders>
              <w:top w:val="double" w:sz="6" w:space="0" w:color="auto"/>
              <w:left w:val="nil"/>
              <w:bottom w:val="single" w:sz="4" w:space="0" w:color="auto"/>
              <w:right w:val="single" w:sz="4" w:space="0" w:color="auto"/>
            </w:tcBorders>
            <w:shd w:val="clear" w:color="auto" w:fill="auto"/>
            <w:noWrap/>
            <w:vAlign w:val="bottom"/>
            <w:hideMark/>
          </w:tcPr>
          <w:p w14:paraId="44A3941D" w14:textId="77777777" w:rsidR="00A16DDB" w:rsidRPr="00B76A61" w:rsidRDefault="00A16DDB" w:rsidP="007A627A">
            <w:pPr>
              <w:keepNext/>
              <w:jc w:val="right"/>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2018</w:t>
            </w:r>
          </w:p>
        </w:tc>
        <w:tc>
          <w:tcPr>
            <w:tcW w:w="734" w:type="dxa"/>
            <w:tcBorders>
              <w:top w:val="double" w:sz="6" w:space="0" w:color="auto"/>
              <w:left w:val="single" w:sz="4" w:space="0" w:color="auto"/>
              <w:bottom w:val="single" w:sz="4" w:space="0" w:color="auto"/>
              <w:right w:val="single" w:sz="4" w:space="0" w:color="auto"/>
            </w:tcBorders>
          </w:tcPr>
          <w:p w14:paraId="5275ECDC" w14:textId="77777777" w:rsidR="00A16DDB" w:rsidRPr="00B76A61" w:rsidRDefault="00A16DDB" w:rsidP="007A627A">
            <w:pPr>
              <w:keepNext/>
              <w:jc w:val="right"/>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2019</w:t>
            </w:r>
          </w:p>
        </w:tc>
        <w:tc>
          <w:tcPr>
            <w:tcW w:w="734" w:type="dxa"/>
            <w:tcBorders>
              <w:top w:val="double" w:sz="6" w:space="0" w:color="auto"/>
              <w:left w:val="single" w:sz="4" w:space="0" w:color="auto"/>
              <w:bottom w:val="single" w:sz="4" w:space="0" w:color="auto"/>
              <w:right w:val="double" w:sz="6" w:space="0" w:color="auto"/>
            </w:tcBorders>
          </w:tcPr>
          <w:p w14:paraId="110C82F9" w14:textId="77777777" w:rsidR="00A16DDB" w:rsidRPr="00B76A61" w:rsidRDefault="00A16DDB" w:rsidP="007A627A">
            <w:pPr>
              <w:keepNext/>
              <w:jc w:val="right"/>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2020</w:t>
            </w:r>
          </w:p>
        </w:tc>
      </w:tr>
      <w:tr w:rsidR="00A16DDB" w:rsidRPr="00B76A61" w14:paraId="2BBAC426" w14:textId="77777777" w:rsidTr="00B76A61">
        <w:trPr>
          <w:trHeight w:val="279"/>
        </w:trPr>
        <w:tc>
          <w:tcPr>
            <w:tcW w:w="1445" w:type="dxa"/>
            <w:tcBorders>
              <w:top w:val="nil"/>
              <w:left w:val="double" w:sz="6" w:space="0" w:color="auto"/>
              <w:bottom w:val="single" w:sz="4" w:space="0" w:color="auto"/>
              <w:right w:val="single" w:sz="4" w:space="0" w:color="auto"/>
            </w:tcBorders>
            <w:shd w:val="clear" w:color="auto" w:fill="auto"/>
            <w:noWrap/>
            <w:vAlign w:val="bottom"/>
            <w:hideMark/>
          </w:tcPr>
          <w:p w14:paraId="093A41BA" w14:textId="77777777" w:rsidR="00A16DDB" w:rsidRPr="00B76A61" w:rsidRDefault="00A16DDB" w:rsidP="007A627A">
            <w:pPr>
              <w:keepNext/>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 xml:space="preserve">stavy ovcí celkem k 1.4. daného roku </w:t>
            </w:r>
          </w:p>
        </w:tc>
        <w:tc>
          <w:tcPr>
            <w:tcW w:w="734" w:type="dxa"/>
            <w:tcBorders>
              <w:top w:val="nil"/>
              <w:left w:val="nil"/>
              <w:bottom w:val="single" w:sz="4" w:space="0" w:color="auto"/>
              <w:right w:val="single" w:sz="4" w:space="0" w:color="auto"/>
            </w:tcBorders>
            <w:shd w:val="clear" w:color="auto" w:fill="auto"/>
            <w:noWrap/>
            <w:vAlign w:val="bottom"/>
            <w:hideMark/>
          </w:tcPr>
          <w:p w14:paraId="1AF83B37" w14:textId="77777777" w:rsidR="00A16DDB" w:rsidRPr="00B76A61" w:rsidRDefault="00A16DDB" w:rsidP="007A627A">
            <w:pPr>
              <w:keepNext/>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ks</w:t>
            </w:r>
          </w:p>
        </w:tc>
        <w:tc>
          <w:tcPr>
            <w:tcW w:w="734" w:type="dxa"/>
            <w:tcBorders>
              <w:top w:val="nil"/>
              <w:left w:val="nil"/>
              <w:bottom w:val="single" w:sz="4" w:space="0" w:color="auto"/>
              <w:right w:val="single" w:sz="4" w:space="0" w:color="auto"/>
            </w:tcBorders>
            <w:shd w:val="clear" w:color="auto" w:fill="auto"/>
            <w:noWrap/>
            <w:vAlign w:val="bottom"/>
            <w:hideMark/>
          </w:tcPr>
          <w:p w14:paraId="40045AC3"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209 052</w:t>
            </w:r>
          </w:p>
        </w:tc>
        <w:tc>
          <w:tcPr>
            <w:tcW w:w="734" w:type="dxa"/>
            <w:tcBorders>
              <w:top w:val="nil"/>
              <w:left w:val="nil"/>
              <w:bottom w:val="single" w:sz="4" w:space="0" w:color="auto"/>
              <w:right w:val="single" w:sz="4" w:space="0" w:color="auto"/>
            </w:tcBorders>
            <w:shd w:val="clear" w:color="auto" w:fill="auto"/>
            <w:noWrap/>
            <w:vAlign w:val="bottom"/>
            <w:hideMark/>
          </w:tcPr>
          <w:p w14:paraId="021AC402"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221 014</w:t>
            </w:r>
          </w:p>
        </w:tc>
        <w:tc>
          <w:tcPr>
            <w:tcW w:w="733" w:type="dxa"/>
            <w:tcBorders>
              <w:top w:val="nil"/>
              <w:left w:val="nil"/>
              <w:bottom w:val="single" w:sz="4" w:space="0" w:color="auto"/>
              <w:right w:val="single" w:sz="4" w:space="0" w:color="auto"/>
            </w:tcBorders>
            <w:shd w:val="clear" w:color="auto" w:fill="auto"/>
            <w:noWrap/>
            <w:vAlign w:val="bottom"/>
            <w:hideMark/>
          </w:tcPr>
          <w:p w14:paraId="57DE3A0C"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220 521</w:t>
            </w:r>
          </w:p>
        </w:tc>
        <w:tc>
          <w:tcPr>
            <w:tcW w:w="881" w:type="dxa"/>
            <w:tcBorders>
              <w:top w:val="nil"/>
              <w:left w:val="nil"/>
              <w:bottom w:val="single" w:sz="4" w:space="0" w:color="auto"/>
              <w:right w:val="single" w:sz="4" w:space="0" w:color="auto"/>
            </w:tcBorders>
            <w:shd w:val="clear" w:color="auto" w:fill="auto"/>
            <w:noWrap/>
            <w:vAlign w:val="bottom"/>
            <w:hideMark/>
          </w:tcPr>
          <w:p w14:paraId="0365B67B"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225 397</w:t>
            </w:r>
          </w:p>
        </w:tc>
        <w:tc>
          <w:tcPr>
            <w:tcW w:w="734" w:type="dxa"/>
            <w:tcBorders>
              <w:top w:val="nil"/>
              <w:left w:val="nil"/>
              <w:bottom w:val="single" w:sz="4" w:space="0" w:color="auto"/>
              <w:right w:val="single" w:sz="4" w:space="0" w:color="auto"/>
            </w:tcBorders>
            <w:shd w:val="clear" w:color="auto" w:fill="auto"/>
            <w:noWrap/>
            <w:vAlign w:val="bottom"/>
            <w:hideMark/>
          </w:tcPr>
          <w:p w14:paraId="7016482D"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231 694</w:t>
            </w:r>
          </w:p>
        </w:tc>
        <w:tc>
          <w:tcPr>
            <w:tcW w:w="733" w:type="dxa"/>
            <w:tcBorders>
              <w:top w:val="nil"/>
              <w:left w:val="nil"/>
              <w:bottom w:val="single" w:sz="4" w:space="0" w:color="auto"/>
              <w:right w:val="single" w:sz="4" w:space="0" w:color="auto"/>
            </w:tcBorders>
            <w:shd w:val="clear" w:color="auto" w:fill="auto"/>
            <w:noWrap/>
            <w:vAlign w:val="bottom"/>
            <w:hideMark/>
          </w:tcPr>
          <w:p w14:paraId="21DBC8BB"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218 493</w:t>
            </w:r>
          </w:p>
        </w:tc>
        <w:tc>
          <w:tcPr>
            <w:tcW w:w="734" w:type="dxa"/>
            <w:tcBorders>
              <w:top w:val="nil"/>
              <w:left w:val="nil"/>
              <w:bottom w:val="single" w:sz="4" w:space="0" w:color="auto"/>
              <w:right w:val="single" w:sz="4" w:space="0" w:color="auto"/>
            </w:tcBorders>
            <w:shd w:val="clear" w:color="auto" w:fill="auto"/>
            <w:noWrap/>
            <w:vAlign w:val="bottom"/>
            <w:hideMark/>
          </w:tcPr>
          <w:p w14:paraId="07B07472"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217 141</w:t>
            </w:r>
          </w:p>
        </w:tc>
        <w:tc>
          <w:tcPr>
            <w:tcW w:w="734" w:type="dxa"/>
            <w:tcBorders>
              <w:top w:val="nil"/>
              <w:left w:val="nil"/>
              <w:bottom w:val="single" w:sz="4" w:space="0" w:color="auto"/>
              <w:right w:val="single" w:sz="4" w:space="0" w:color="auto"/>
            </w:tcBorders>
            <w:shd w:val="clear" w:color="auto" w:fill="auto"/>
            <w:noWrap/>
            <w:vAlign w:val="bottom"/>
            <w:hideMark/>
          </w:tcPr>
          <w:p w14:paraId="176FE9F8"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218 915</w:t>
            </w:r>
          </w:p>
        </w:tc>
        <w:tc>
          <w:tcPr>
            <w:tcW w:w="734" w:type="dxa"/>
            <w:tcBorders>
              <w:top w:val="single" w:sz="4" w:space="0" w:color="auto"/>
              <w:left w:val="single" w:sz="4" w:space="0" w:color="auto"/>
              <w:bottom w:val="single" w:sz="4" w:space="0" w:color="auto"/>
              <w:right w:val="single" w:sz="4" w:space="0" w:color="auto"/>
            </w:tcBorders>
          </w:tcPr>
          <w:p w14:paraId="3B6F9D8B"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213 068</w:t>
            </w:r>
          </w:p>
        </w:tc>
        <w:tc>
          <w:tcPr>
            <w:tcW w:w="734" w:type="dxa"/>
            <w:tcBorders>
              <w:top w:val="single" w:sz="4" w:space="0" w:color="auto"/>
              <w:left w:val="single" w:sz="4" w:space="0" w:color="auto"/>
              <w:bottom w:val="single" w:sz="4" w:space="0" w:color="auto"/>
              <w:right w:val="double" w:sz="6" w:space="0" w:color="auto"/>
            </w:tcBorders>
          </w:tcPr>
          <w:p w14:paraId="43FBBE27"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203 612</w:t>
            </w:r>
          </w:p>
        </w:tc>
      </w:tr>
      <w:tr w:rsidR="00A16DDB" w:rsidRPr="00B76A61" w14:paraId="3E36F0D2" w14:textId="77777777" w:rsidTr="00B76A61">
        <w:trPr>
          <w:trHeight w:val="279"/>
        </w:trPr>
        <w:tc>
          <w:tcPr>
            <w:tcW w:w="1445" w:type="dxa"/>
            <w:tcBorders>
              <w:top w:val="nil"/>
              <w:left w:val="double" w:sz="6" w:space="0" w:color="auto"/>
              <w:bottom w:val="single" w:sz="4" w:space="0" w:color="auto"/>
              <w:right w:val="single" w:sz="4" w:space="0" w:color="auto"/>
            </w:tcBorders>
            <w:shd w:val="clear" w:color="auto" w:fill="auto"/>
            <w:noWrap/>
            <w:vAlign w:val="bottom"/>
            <w:hideMark/>
          </w:tcPr>
          <w:p w14:paraId="3703A173" w14:textId="77777777" w:rsidR="00A16DDB" w:rsidRPr="00B76A61" w:rsidRDefault="00A16DDB" w:rsidP="007A627A">
            <w:pPr>
              <w:keepNext/>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 xml:space="preserve">stavy koz celkem k 1.4. daného roku </w:t>
            </w:r>
          </w:p>
        </w:tc>
        <w:tc>
          <w:tcPr>
            <w:tcW w:w="734" w:type="dxa"/>
            <w:tcBorders>
              <w:top w:val="nil"/>
              <w:left w:val="nil"/>
              <w:bottom w:val="single" w:sz="4" w:space="0" w:color="auto"/>
              <w:right w:val="single" w:sz="4" w:space="0" w:color="auto"/>
            </w:tcBorders>
            <w:shd w:val="clear" w:color="auto" w:fill="auto"/>
            <w:noWrap/>
            <w:vAlign w:val="bottom"/>
            <w:hideMark/>
          </w:tcPr>
          <w:p w14:paraId="215582BC" w14:textId="77777777" w:rsidR="00A16DDB" w:rsidRPr="00B76A61" w:rsidRDefault="00A16DDB" w:rsidP="007A627A">
            <w:pPr>
              <w:keepNext/>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ks</w:t>
            </w:r>
          </w:p>
        </w:tc>
        <w:tc>
          <w:tcPr>
            <w:tcW w:w="734" w:type="dxa"/>
            <w:tcBorders>
              <w:top w:val="nil"/>
              <w:left w:val="nil"/>
              <w:bottom w:val="single" w:sz="4" w:space="0" w:color="auto"/>
              <w:right w:val="single" w:sz="4" w:space="0" w:color="auto"/>
            </w:tcBorders>
            <w:shd w:val="clear" w:color="auto" w:fill="auto"/>
            <w:noWrap/>
            <w:vAlign w:val="bottom"/>
            <w:hideMark/>
          </w:tcPr>
          <w:p w14:paraId="6885247C"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23 263</w:t>
            </w:r>
          </w:p>
        </w:tc>
        <w:tc>
          <w:tcPr>
            <w:tcW w:w="734" w:type="dxa"/>
            <w:tcBorders>
              <w:top w:val="nil"/>
              <w:left w:val="nil"/>
              <w:bottom w:val="single" w:sz="4" w:space="0" w:color="auto"/>
              <w:right w:val="single" w:sz="4" w:space="0" w:color="auto"/>
            </w:tcBorders>
            <w:shd w:val="clear" w:color="auto" w:fill="auto"/>
            <w:noWrap/>
            <w:vAlign w:val="bottom"/>
            <w:hideMark/>
          </w:tcPr>
          <w:p w14:paraId="56D5A01B"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23 620</w:t>
            </w:r>
          </w:p>
        </w:tc>
        <w:tc>
          <w:tcPr>
            <w:tcW w:w="733" w:type="dxa"/>
            <w:tcBorders>
              <w:top w:val="nil"/>
              <w:left w:val="nil"/>
              <w:bottom w:val="single" w:sz="4" w:space="0" w:color="auto"/>
              <w:right w:val="single" w:sz="4" w:space="0" w:color="auto"/>
            </w:tcBorders>
            <w:shd w:val="clear" w:color="auto" w:fill="auto"/>
            <w:noWrap/>
            <w:vAlign w:val="bottom"/>
            <w:hideMark/>
          </w:tcPr>
          <w:p w14:paraId="5C6C1DB3"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24 042</w:t>
            </w:r>
          </w:p>
        </w:tc>
        <w:tc>
          <w:tcPr>
            <w:tcW w:w="881" w:type="dxa"/>
            <w:tcBorders>
              <w:top w:val="nil"/>
              <w:left w:val="nil"/>
              <w:bottom w:val="single" w:sz="4" w:space="0" w:color="auto"/>
              <w:right w:val="single" w:sz="4" w:space="0" w:color="auto"/>
            </w:tcBorders>
            <w:shd w:val="clear" w:color="auto" w:fill="auto"/>
            <w:noWrap/>
            <w:vAlign w:val="bottom"/>
            <w:hideMark/>
          </w:tcPr>
          <w:p w14:paraId="3ABC3977"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24 348</w:t>
            </w:r>
          </w:p>
        </w:tc>
        <w:tc>
          <w:tcPr>
            <w:tcW w:w="734" w:type="dxa"/>
            <w:tcBorders>
              <w:top w:val="nil"/>
              <w:left w:val="nil"/>
              <w:bottom w:val="single" w:sz="4" w:space="0" w:color="auto"/>
              <w:right w:val="single" w:sz="4" w:space="0" w:color="auto"/>
            </w:tcBorders>
            <w:shd w:val="clear" w:color="auto" w:fill="auto"/>
            <w:noWrap/>
            <w:vAlign w:val="bottom"/>
            <w:hideMark/>
          </w:tcPr>
          <w:p w14:paraId="61F5511C"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26 765</w:t>
            </w:r>
          </w:p>
        </w:tc>
        <w:tc>
          <w:tcPr>
            <w:tcW w:w="733" w:type="dxa"/>
            <w:tcBorders>
              <w:top w:val="nil"/>
              <w:left w:val="nil"/>
              <w:bottom w:val="single" w:sz="4" w:space="0" w:color="auto"/>
              <w:right w:val="single" w:sz="4" w:space="0" w:color="auto"/>
            </w:tcBorders>
            <w:shd w:val="clear" w:color="auto" w:fill="auto"/>
            <w:noWrap/>
            <w:vAlign w:val="bottom"/>
            <w:hideMark/>
          </w:tcPr>
          <w:p w14:paraId="1B3598EF"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26 548</w:t>
            </w:r>
          </w:p>
        </w:tc>
        <w:tc>
          <w:tcPr>
            <w:tcW w:w="734" w:type="dxa"/>
            <w:tcBorders>
              <w:top w:val="nil"/>
              <w:left w:val="nil"/>
              <w:bottom w:val="single" w:sz="4" w:space="0" w:color="auto"/>
              <w:right w:val="single" w:sz="4" w:space="0" w:color="auto"/>
            </w:tcBorders>
            <w:shd w:val="clear" w:color="auto" w:fill="auto"/>
            <w:noWrap/>
            <w:vAlign w:val="bottom"/>
            <w:hideMark/>
          </w:tcPr>
          <w:p w14:paraId="7238C2AB"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28 174</w:t>
            </w:r>
          </w:p>
        </w:tc>
        <w:tc>
          <w:tcPr>
            <w:tcW w:w="734" w:type="dxa"/>
            <w:tcBorders>
              <w:top w:val="nil"/>
              <w:left w:val="nil"/>
              <w:bottom w:val="single" w:sz="4" w:space="0" w:color="auto"/>
              <w:right w:val="single" w:sz="4" w:space="0" w:color="auto"/>
            </w:tcBorders>
            <w:shd w:val="clear" w:color="auto" w:fill="auto"/>
            <w:noWrap/>
            <w:vAlign w:val="bottom"/>
            <w:hideMark/>
          </w:tcPr>
          <w:p w14:paraId="0690FCA8"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30 316</w:t>
            </w:r>
          </w:p>
        </w:tc>
        <w:tc>
          <w:tcPr>
            <w:tcW w:w="734" w:type="dxa"/>
            <w:tcBorders>
              <w:top w:val="single" w:sz="4" w:space="0" w:color="auto"/>
              <w:left w:val="single" w:sz="4" w:space="0" w:color="auto"/>
              <w:bottom w:val="single" w:sz="4" w:space="0" w:color="auto"/>
              <w:right w:val="single" w:sz="4" w:space="0" w:color="auto"/>
            </w:tcBorders>
          </w:tcPr>
          <w:p w14:paraId="0339671E"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29 210</w:t>
            </w:r>
          </w:p>
        </w:tc>
        <w:tc>
          <w:tcPr>
            <w:tcW w:w="734" w:type="dxa"/>
            <w:tcBorders>
              <w:top w:val="single" w:sz="4" w:space="0" w:color="auto"/>
              <w:left w:val="single" w:sz="4" w:space="0" w:color="auto"/>
              <w:bottom w:val="single" w:sz="4" w:space="0" w:color="auto"/>
              <w:right w:val="double" w:sz="6" w:space="0" w:color="auto"/>
            </w:tcBorders>
          </w:tcPr>
          <w:p w14:paraId="4C359236"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28 919</w:t>
            </w:r>
          </w:p>
        </w:tc>
      </w:tr>
      <w:tr w:rsidR="00A16DDB" w:rsidRPr="00B76A61" w14:paraId="1BA6248C" w14:textId="77777777" w:rsidTr="00B76A61">
        <w:trPr>
          <w:trHeight w:val="279"/>
        </w:trPr>
        <w:tc>
          <w:tcPr>
            <w:tcW w:w="1445" w:type="dxa"/>
            <w:tcBorders>
              <w:top w:val="nil"/>
              <w:left w:val="double" w:sz="6" w:space="0" w:color="auto"/>
              <w:bottom w:val="single" w:sz="4" w:space="0" w:color="auto"/>
              <w:right w:val="single" w:sz="4" w:space="0" w:color="auto"/>
            </w:tcBorders>
            <w:shd w:val="clear" w:color="auto" w:fill="auto"/>
            <w:noWrap/>
            <w:vAlign w:val="bottom"/>
            <w:hideMark/>
          </w:tcPr>
          <w:p w14:paraId="5CC1728B" w14:textId="77777777" w:rsidR="00A16DDB" w:rsidRPr="00B76A61" w:rsidRDefault="00A16DDB" w:rsidP="007A627A">
            <w:pPr>
              <w:keepNext/>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Výroba</w:t>
            </w:r>
          </w:p>
        </w:tc>
        <w:tc>
          <w:tcPr>
            <w:tcW w:w="734" w:type="dxa"/>
            <w:tcBorders>
              <w:top w:val="nil"/>
              <w:left w:val="nil"/>
              <w:bottom w:val="single" w:sz="4" w:space="0" w:color="auto"/>
              <w:right w:val="single" w:sz="4" w:space="0" w:color="auto"/>
            </w:tcBorders>
            <w:shd w:val="clear" w:color="auto" w:fill="auto"/>
            <w:noWrap/>
            <w:vAlign w:val="bottom"/>
            <w:hideMark/>
          </w:tcPr>
          <w:p w14:paraId="04541890" w14:textId="77777777" w:rsidR="00A16DDB" w:rsidRPr="00B76A61" w:rsidRDefault="00A16DDB" w:rsidP="007A627A">
            <w:pPr>
              <w:keepNext/>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tis.t j.hm.</w:t>
            </w:r>
          </w:p>
        </w:tc>
        <w:tc>
          <w:tcPr>
            <w:tcW w:w="734" w:type="dxa"/>
            <w:tcBorders>
              <w:top w:val="nil"/>
              <w:left w:val="nil"/>
              <w:bottom w:val="single" w:sz="4" w:space="0" w:color="auto"/>
              <w:right w:val="single" w:sz="4" w:space="0" w:color="auto"/>
            </w:tcBorders>
            <w:shd w:val="clear" w:color="auto" w:fill="auto"/>
            <w:noWrap/>
            <w:vAlign w:val="bottom"/>
            <w:hideMark/>
          </w:tcPr>
          <w:p w14:paraId="293F0C87"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2,38</w:t>
            </w:r>
          </w:p>
        </w:tc>
        <w:tc>
          <w:tcPr>
            <w:tcW w:w="734" w:type="dxa"/>
            <w:tcBorders>
              <w:top w:val="nil"/>
              <w:left w:val="nil"/>
              <w:bottom w:val="single" w:sz="4" w:space="0" w:color="auto"/>
              <w:right w:val="single" w:sz="4" w:space="0" w:color="auto"/>
            </w:tcBorders>
            <w:shd w:val="clear" w:color="auto" w:fill="auto"/>
            <w:noWrap/>
            <w:vAlign w:val="bottom"/>
            <w:hideMark/>
          </w:tcPr>
          <w:p w14:paraId="72D06411"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3,00</w:t>
            </w:r>
          </w:p>
        </w:tc>
        <w:tc>
          <w:tcPr>
            <w:tcW w:w="733" w:type="dxa"/>
            <w:tcBorders>
              <w:top w:val="nil"/>
              <w:left w:val="nil"/>
              <w:bottom w:val="single" w:sz="4" w:space="0" w:color="auto"/>
              <w:right w:val="single" w:sz="4" w:space="0" w:color="auto"/>
            </w:tcBorders>
            <w:shd w:val="clear" w:color="auto" w:fill="auto"/>
            <w:noWrap/>
            <w:vAlign w:val="bottom"/>
            <w:hideMark/>
          </w:tcPr>
          <w:p w14:paraId="3F9BD5E3"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3,32</w:t>
            </w:r>
          </w:p>
        </w:tc>
        <w:tc>
          <w:tcPr>
            <w:tcW w:w="881" w:type="dxa"/>
            <w:tcBorders>
              <w:top w:val="nil"/>
              <w:left w:val="nil"/>
              <w:bottom w:val="single" w:sz="4" w:space="0" w:color="auto"/>
              <w:right w:val="single" w:sz="4" w:space="0" w:color="auto"/>
            </w:tcBorders>
            <w:shd w:val="clear" w:color="auto" w:fill="auto"/>
            <w:noWrap/>
            <w:vAlign w:val="bottom"/>
            <w:hideMark/>
          </w:tcPr>
          <w:p w14:paraId="58694D17"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3,49</w:t>
            </w:r>
          </w:p>
        </w:tc>
        <w:tc>
          <w:tcPr>
            <w:tcW w:w="734" w:type="dxa"/>
            <w:tcBorders>
              <w:top w:val="nil"/>
              <w:left w:val="nil"/>
              <w:bottom w:val="single" w:sz="4" w:space="0" w:color="auto"/>
              <w:right w:val="single" w:sz="4" w:space="0" w:color="auto"/>
            </w:tcBorders>
            <w:shd w:val="clear" w:color="auto" w:fill="auto"/>
            <w:noWrap/>
            <w:vAlign w:val="bottom"/>
            <w:hideMark/>
          </w:tcPr>
          <w:p w14:paraId="5ABF4D36"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3,55</w:t>
            </w:r>
          </w:p>
        </w:tc>
        <w:tc>
          <w:tcPr>
            <w:tcW w:w="733" w:type="dxa"/>
            <w:tcBorders>
              <w:top w:val="nil"/>
              <w:left w:val="nil"/>
              <w:bottom w:val="single" w:sz="4" w:space="0" w:color="auto"/>
              <w:right w:val="single" w:sz="4" w:space="0" w:color="auto"/>
            </w:tcBorders>
            <w:shd w:val="clear" w:color="auto" w:fill="auto"/>
            <w:noWrap/>
            <w:vAlign w:val="bottom"/>
            <w:hideMark/>
          </w:tcPr>
          <w:p w14:paraId="7801F2FF"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3,87</w:t>
            </w:r>
          </w:p>
        </w:tc>
        <w:tc>
          <w:tcPr>
            <w:tcW w:w="734" w:type="dxa"/>
            <w:tcBorders>
              <w:top w:val="nil"/>
              <w:left w:val="nil"/>
              <w:bottom w:val="single" w:sz="4" w:space="0" w:color="auto"/>
              <w:right w:val="single" w:sz="4" w:space="0" w:color="auto"/>
            </w:tcBorders>
            <w:shd w:val="clear" w:color="auto" w:fill="auto"/>
            <w:noWrap/>
            <w:vAlign w:val="bottom"/>
            <w:hideMark/>
          </w:tcPr>
          <w:p w14:paraId="7DD40D6E"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4,00</w:t>
            </w:r>
          </w:p>
        </w:tc>
        <w:tc>
          <w:tcPr>
            <w:tcW w:w="734" w:type="dxa"/>
            <w:tcBorders>
              <w:top w:val="nil"/>
              <w:left w:val="nil"/>
              <w:bottom w:val="single" w:sz="4" w:space="0" w:color="auto"/>
              <w:right w:val="single" w:sz="4" w:space="0" w:color="auto"/>
            </w:tcBorders>
            <w:shd w:val="clear" w:color="auto" w:fill="auto"/>
            <w:noWrap/>
            <w:vAlign w:val="bottom"/>
            <w:hideMark/>
          </w:tcPr>
          <w:p w14:paraId="4B142B46"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4,00</w:t>
            </w:r>
          </w:p>
        </w:tc>
        <w:tc>
          <w:tcPr>
            <w:tcW w:w="734" w:type="dxa"/>
            <w:tcBorders>
              <w:top w:val="single" w:sz="4" w:space="0" w:color="auto"/>
              <w:left w:val="single" w:sz="4" w:space="0" w:color="auto"/>
              <w:bottom w:val="single" w:sz="4" w:space="0" w:color="auto"/>
              <w:right w:val="single" w:sz="4" w:space="0" w:color="auto"/>
            </w:tcBorders>
          </w:tcPr>
          <w:p w14:paraId="5FCCEF13"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4,03</w:t>
            </w:r>
          </w:p>
        </w:tc>
        <w:tc>
          <w:tcPr>
            <w:tcW w:w="734" w:type="dxa"/>
            <w:tcBorders>
              <w:top w:val="single" w:sz="4" w:space="0" w:color="auto"/>
              <w:left w:val="single" w:sz="4" w:space="0" w:color="auto"/>
              <w:bottom w:val="single" w:sz="4" w:space="0" w:color="auto"/>
              <w:right w:val="double" w:sz="6" w:space="0" w:color="auto"/>
            </w:tcBorders>
          </w:tcPr>
          <w:p w14:paraId="53FC9327"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3,68</w:t>
            </w:r>
          </w:p>
        </w:tc>
      </w:tr>
      <w:tr w:rsidR="00A16DDB" w:rsidRPr="00B76A61" w14:paraId="22EABF1E" w14:textId="77777777" w:rsidTr="00B76A61">
        <w:trPr>
          <w:trHeight w:val="279"/>
        </w:trPr>
        <w:tc>
          <w:tcPr>
            <w:tcW w:w="1445" w:type="dxa"/>
            <w:tcBorders>
              <w:top w:val="nil"/>
              <w:left w:val="double" w:sz="6" w:space="0" w:color="auto"/>
              <w:bottom w:val="single" w:sz="4" w:space="0" w:color="auto"/>
              <w:right w:val="single" w:sz="4" w:space="0" w:color="auto"/>
            </w:tcBorders>
            <w:shd w:val="clear" w:color="auto" w:fill="auto"/>
            <w:noWrap/>
            <w:vAlign w:val="bottom"/>
            <w:hideMark/>
          </w:tcPr>
          <w:p w14:paraId="4FD4DF7B" w14:textId="77777777" w:rsidR="00A16DDB" w:rsidRPr="00B76A61" w:rsidRDefault="00A16DDB" w:rsidP="007A627A">
            <w:pPr>
              <w:keepNext/>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z toho domácí hospodářství</w:t>
            </w:r>
          </w:p>
        </w:tc>
        <w:tc>
          <w:tcPr>
            <w:tcW w:w="734" w:type="dxa"/>
            <w:tcBorders>
              <w:top w:val="nil"/>
              <w:left w:val="nil"/>
              <w:bottom w:val="single" w:sz="4" w:space="0" w:color="auto"/>
              <w:right w:val="single" w:sz="4" w:space="0" w:color="auto"/>
            </w:tcBorders>
            <w:shd w:val="clear" w:color="auto" w:fill="auto"/>
            <w:noWrap/>
            <w:vAlign w:val="bottom"/>
            <w:hideMark/>
          </w:tcPr>
          <w:p w14:paraId="348E5C9B" w14:textId="77777777" w:rsidR="00A16DDB" w:rsidRPr="00B76A61" w:rsidRDefault="00A16DDB" w:rsidP="007A627A">
            <w:pPr>
              <w:keepNext/>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tis.t j.hm.</w:t>
            </w:r>
          </w:p>
        </w:tc>
        <w:tc>
          <w:tcPr>
            <w:tcW w:w="734" w:type="dxa"/>
            <w:tcBorders>
              <w:top w:val="nil"/>
              <w:left w:val="nil"/>
              <w:bottom w:val="single" w:sz="4" w:space="0" w:color="auto"/>
              <w:right w:val="single" w:sz="4" w:space="0" w:color="auto"/>
            </w:tcBorders>
            <w:shd w:val="clear" w:color="auto" w:fill="auto"/>
            <w:noWrap/>
            <w:vAlign w:val="bottom"/>
            <w:hideMark/>
          </w:tcPr>
          <w:p w14:paraId="548387DD"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1,89</w:t>
            </w:r>
          </w:p>
        </w:tc>
        <w:tc>
          <w:tcPr>
            <w:tcW w:w="734" w:type="dxa"/>
            <w:tcBorders>
              <w:top w:val="nil"/>
              <w:left w:val="nil"/>
              <w:bottom w:val="single" w:sz="4" w:space="0" w:color="auto"/>
              <w:right w:val="single" w:sz="4" w:space="0" w:color="auto"/>
            </w:tcBorders>
            <w:shd w:val="clear" w:color="auto" w:fill="auto"/>
            <w:noWrap/>
            <w:vAlign w:val="bottom"/>
            <w:hideMark/>
          </w:tcPr>
          <w:p w14:paraId="55001628"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2,84</w:t>
            </w:r>
          </w:p>
        </w:tc>
        <w:tc>
          <w:tcPr>
            <w:tcW w:w="733" w:type="dxa"/>
            <w:tcBorders>
              <w:top w:val="nil"/>
              <w:left w:val="nil"/>
              <w:bottom w:val="single" w:sz="4" w:space="0" w:color="auto"/>
              <w:right w:val="single" w:sz="4" w:space="0" w:color="auto"/>
            </w:tcBorders>
            <w:shd w:val="clear" w:color="auto" w:fill="auto"/>
            <w:noWrap/>
            <w:vAlign w:val="bottom"/>
            <w:hideMark/>
          </w:tcPr>
          <w:p w14:paraId="7F5ED372"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3,14</w:t>
            </w:r>
          </w:p>
        </w:tc>
        <w:tc>
          <w:tcPr>
            <w:tcW w:w="881" w:type="dxa"/>
            <w:tcBorders>
              <w:top w:val="nil"/>
              <w:left w:val="nil"/>
              <w:bottom w:val="single" w:sz="4" w:space="0" w:color="auto"/>
              <w:right w:val="single" w:sz="4" w:space="0" w:color="auto"/>
            </w:tcBorders>
            <w:shd w:val="clear" w:color="auto" w:fill="auto"/>
            <w:noWrap/>
            <w:vAlign w:val="bottom"/>
            <w:hideMark/>
          </w:tcPr>
          <w:p w14:paraId="73E2B139"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3,30</w:t>
            </w:r>
          </w:p>
        </w:tc>
        <w:tc>
          <w:tcPr>
            <w:tcW w:w="734" w:type="dxa"/>
            <w:tcBorders>
              <w:top w:val="nil"/>
              <w:left w:val="nil"/>
              <w:bottom w:val="single" w:sz="4" w:space="0" w:color="auto"/>
              <w:right w:val="single" w:sz="4" w:space="0" w:color="auto"/>
            </w:tcBorders>
            <w:shd w:val="clear" w:color="auto" w:fill="auto"/>
            <w:noWrap/>
            <w:vAlign w:val="bottom"/>
            <w:hideMark/>
          </w:tcPr>
          <w:p w14:paraId="5AB5DECD"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3,37</w:t>
            </w:r>
          </w:p>
        </w:tc>
        <w:tc>
          <w:tcPr>
            <w:tcW w:w="733" w:type="dxa"/>
            <w:tcBorders>
              <w:top w:val="nil"/>
              <w:left w:val="nil"/>
              <w:bottom w:val="single" w:sz="4" w:space="0" w:color="auto"/>
              <w:right w:val="single" w:sz="4" w:space="0" w:color="auto"/>
            </w:tcBorders>
            <w:shd w:val="clear" w:color="auto" w:fill="auto"/>
            <w:noWrap/>
            <w:vAlign w:val="bottom"/>
            <w:hideMark/>
          </w:tcPr>
          <w:p w14:paraId="0E314B7F"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3,69</w:t>
            </w:r>
          </w:p>
        </w:tc>
        <w:tc>
          <w:tcPr>
            <w:tcW w:w="734" w:type="dxa"/>
            <w:tcBorders>
              <w:top w:val="nil"/>
              <w:left w:val="nil"/>
              <w:bottom w:val="single" w:sz="4" w:space="0" w:color="auto"/>
              <w:right w:val="single" w:sz="4" w:space="0" w:color="auto"/>
            </w:tcBorders>
            <w:shd w:val="clear" w:color="auto" w:fill="auto"/>
            <w:noWrap/>
            <w:vAlign w:val="bottom"/>
            <w:hideMark/>
          </w:tcPr>
          <w:p w14:paraId="142A05A1"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3,70</w:t>
            </w:r>
          </w:p>
        </w:tc>
        <w:tc>
          <w:tcPr>
            <w:tcW w:w="734" w:type="dxa"/>
            <w:tcBorders>
              <w:top w:val="nil"/>
              <w:left w:val="nil"/>
              <w:bottom w:val="single" w:sz="4" w:space="0" w:color="auto"/>
              <w:right w:val="single" w:sz="4" w:space="0" w:color="auto"/>
            </w:tcBorders>
            <w:shd w:val="clear" w:color="auto" w:fill="auto"/>
            <w:noWrap/>
            <w:vAlign w:val="bottom"/>
            <w:hideMark/>
          </w:tcPr>
          <w:p w14:paraId="2B26B7B3"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3,70</w:t>
            </w:r>
          </w:p>
        </w:tc>
        <w:tc>
          <w:tcPr>
            <w:tcW w:w="734" w:type="dxa"/>
            <w:tcBorders>
              <w:top w:val="single" w:sz="4" w:space="0" w:color="auto"/>
              <w:left w:val="single" w:sz="4" w:space="0" w:color="auto"/>
              <w:bottom w:val="single" w:sz="4" w:space="0" w:color="auto"/>
              <w:right w:val="single" w:sz="4" w:space="0" w:color="auto"/>
            </w:tcBorders>
          </w:tcPr>
          <w:p w14:paraId="07620913"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3,81</w:t>
            </w:r>
          </w:p>
        </w:tc>
        <w:tc>
          <w:tcPr>
            <w:tcW w:w="734" w:type="dxa"/>
            <w:tcBorders>
              <w:top w:val="single" w:sz="4" w:space="0" w:color="auto"/>
              <w:left w:val="single" w:sz="4" w:space="0" w:color="auto"/>
              <w:bottom w:val="single" w:sz="4" w:space="0" w:color="auto"/>
              <w:right w:val="double" w:sz="6" w:space="0" w:color="auto"/>
            </w:tcBorders>
          </w:tcPr>
          <w:p w14:paraId="5702D679"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3,49</w:t>
            </w:r>
          </w:p>
        </w:tc>
      </w:tr>
      <w:tr w:rsidR="00A16DDB" w:rsidRPr="00B76A61" w14:paraId="49A24BCA" w14:textId="77777777" w:rsidTr="00B76A61">
        <w:trPr>
          <w:trHeight w:val="279"/>
        </w:trPr>
        <w:tc>
          <w:tcPr>
            <w:tcW w:w="1445" w:type="dxa"/>
            <w:tcBorders>
              <w:top w:val="nil"/>
              <w:left w:val="double" w:sz="6" w:space="0" w:color="auto"/>
              <w:bottom w:val="single" w:sz="4" w:space="0" w:color="auto"/>
              <w:right w:val="single" w:sz="4" w:space="0" w:color="auto"/>
            </w:tcBorders>
            <w:shd w:val="clear" w:color="auto" w:fill="auto"/>
            <w:noWrap/>
            <w:vAlign w:val="bottom"/>
            <w:hideMark/>
          </w:tcPr>
          <w:p w14:paraId="22B2AF9A" w14:textId="77777777" w:rsidR="00A16DDB" w:rsidRPr="00B76A61" w:rsidRDefault="00A16DDB" w:rsidP="007A627A">
            <w:pPr>
              <w:keepNext/>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Dovoz</w:t>
            </w:r>
          </w:p>
        </w:tc>
        <w:tc>
          <w:tcPr>
            <w:tcW w:w="734" w:type="dxa"/>
            <w:tcBorders>
              <w:top w:val="nil"/>
              <w:left w:val="nil"/>
              <w:bottom w:val="single" w:sz="4" w:space="0" w:color="auto"/>
              <w:right w:val="single" w:sz="4" w:space="0" w:color="auto"/>
            </w:tcBorders>
            <w:shd w:val="clear" w:color="auto" w:fill="auto"/>
            <w:noWrap/>
            <w:vAlign w:val="bottom"/>
            <w:hideMark/>
          </w:tcPr>
          <w:p w14:paraId="3C076849" w14:textId="77777777" w:rsidR="00A16DDB" w:rsidRPr="00B76A61" w:rsidRDefault="00A16DDB" w:rsidP="007A627A">
            <w:pPr>
              <w:keepNext/>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tis.t j.hm.</w:t>
            </w:r>
          </w:p>
        </w:tc>
        <w:tc>
          <w:tcPr>
            <w:tcW w:w="734" w:type="dxa"/>
            <w:tcBorders>
              <w:top w:val="nil"/>
              <w:left w:val="nil"/>
              <w:bottom w:val="single" w:sz="4" w:space="0" w:color="auto"/>
              <w:right w:val="single" w:sz="4" w:space="0" w:color="auto"/>
            </w:tcBorders>
            <w:shd w:val="clear" w:color="auto" w:fill="auto"/>
            <w:noWrap/>
            <w:vAlign w:val="bottom"/>
            <w:hideMark/>
          </w:tcPr>
          <w:p w14:paraId="03387AFC"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0,34</w:t>
            </w:r>
          </w:p>
        </w:tc>
        <w:tc>
          <w:tcPr>
            <w:tcW w:w="734" w:type="dxa"/>
            <w:tcBorders>
              <w:top w:val="nil"/>
              <w:left w:val="nil"/>
              <w:bottom w:val="single" w:sz="4" w:space="0" w:color="auto"/>
              <w:right w:val="single" w:sz="4" w:space="0" w:color="auto"/>
            </w:tcBorders>
            <w:shd w:val="clear" w:color="auto" w:fill="auto"/>
            <w:noWrap/>
            <w:vAlign w:val="bottom"/>
            <w:hideMark/>
          </w:tcPr>
          <w:p w14:paraId="28D2CD72"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0,36</w:t>
            </w:r>
          </w:p>
        </w:tc>
        <w:tc>
          <w:tcPr>
            <w:tcW w:w="733" w:type="dxa"/>
            <w:tcBorders>
              <w:top w:val="nil"/>
              <w:left w:val="nil"/>
              <w:bottom w:val="single" w:sz="4" w:space="0" w:color="auto"/>
              <w:right w:val="single" w:sz="4" w:space="0" w:color="auto"/>
            </w:tcBorders>
            <w:shd w:val="clear" w:color="auto" w:fill="auto"/>
            <w:noWrap/>
            <w:vAlign w:val="bottom"/>
            <w:hideMark/>
          </w:tcPr>
          <w:p w14:paraId="3A205539"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0,39</w:t>
            </w:r>
          </w:p>
        </w:tc>
        <w:tc>
          <w:tcPr>
            <w:tcW w:w="881" w:type="dxa"/>
            <w:tcBorders>
              <w:top w:val="nil"/>
              <w:left w:val="nil"/>
              <w:bottom w:val="single" w:sz="4" w:space="0" w:color="auto"/>
              <w:right w:val="single" w:sz="4" w:space="0" w:color="auto"/>
            </w:tcBorders>
            <w:shd w:val="clear" w:color="auto" w:fill="auto"/>
            <w:noWrap/>
            <w:vAlign w:val="bottom"/>
            <w:hideMark/>
          </w:tcPr>
          <w:p w14:paraId="05724F24"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0,34</w:t>
            </w:r>
          </w:p>
        </w:tc>
        <w:tc>
          <w:tcPr>
            <w:tcW w:w="734" w:type="dxa"/>
            <w:tcBorders>
              <w:top w:val="nil"/>
              <w:left w:val="nil"/>
              <w:bottom w:val="single" w:sz="4" w:space="0" w:color="auto"/>
              <w:right w:val="single" w:sz="4" w:space="0" w:color="auto"/>
            </w:tcBorders>
            <w:shd w:val="clear" w:color="auto" w:fill="auto"/>
            <w:noWrap/>
            <w:vAlign w:val="bottom"/>
            <w:hideMark/>
          </w:tcPr>
          <w:p w14:paraId="0D52CCFB"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0,16</w:t>
            </w:r>
          </w:p>
        </w:tc>
        <w:tc>
          <w:tcPr>
            <w:tcW w:w="733" w:type="dxa"/>
            <w:tcBorders>
              <w:top w:val="nil"/>
              <w:left w:val="nil"/>
              <w:bottom w:val="single" w:sz="4" w:space="0" w:color="auto"/>
              <w:right w:val="single" w:sz="4" w:space="0" w:color="auto"/>
            </w:tcBorders>
            <w:shd w:val="clear" w:color="auto" w:fill="auto"/>
            <w:noWrap/>
            <w:vAlign w:val="bottom"/>
            <w:hideMark/>
          </w:tcPr>
          <w:p w14:paraId="3C8E75CD"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0,49</w:t>
            </w:r>
          </w:p>
        </w:tc>
        <w:tc>
          <w:tcPr>
            <w:tcW w:w="734" w:type="dxa"/>
            <w:tcBorders>
              <w:top w:val="nil"/>
              <w:left w:val="nil"/>
              <w:bottom w:val="single" w:sz="4" w:space="0" w:color="auto"/>
              <w:right w:val="single" w:sz="4" w:space="0" w:color="auto"/>
            </w:tcBorders>
            <w:shd w:val="clear" w:color="auto" w:fill="auto"/>
            <w:noWrap/>
            <w:vAlign w:val="bottom"/>
            <w:hideMark/>
          </w:tcPr>
          <w:p w14:paraId="404A114A"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0,41</w:t>
            </w:r>
          </w:p>
        </w:tc>
        <w:tc>
          <w:tcPr>
            <w:tcW w:w="734" w:type="dxa"/>
            <w:tcBorders>
              <w:top w:val="nil"/>
              <w:left w:val="nil"/>
              <w:bottom w:val="single" w:sz="4" w:space="0" w:color="auto"/>
              <w:right w:val="single" w:sz="4" w:space="0" w:color="auto"/>
            </w:tcBorders>
            <w:shd w:val="clear" w:color="auto" w:fill="auto"/>
            <w:noWrap/>
            <w:vAlign w:val="bottom"/>
            <w:hideMark/>
          </w:tcPr>
          <w:p w14:paraId="74861939"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4,40</w:t>
            </w:r>
          </w:p>
        </w:tc>
        <w:tc>
          <w:tcPr>
            <w:tcW w:w="734" w:type="dxa"/>
            <w:tcBorders>
              <w:top w:val="single" w:sz="4" w:space="0" w:color="auto"/>
              <w:left w:val="single" w:sz="4" w:space="0" w:color="auto"/>
              <w:bottom w:val="single" w:sz="4" w:space="0" w:color="auto"/>
              <w:right w:val="single" w:sz="4" w:space="0" w:color="auto"/>
            </w:tcBorders>
          </w:tcPr>
          <w:p w14:paraId="57829BA3"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0,66</w:t>
            </w:r>
          </w:p>
        </w:tc>
        <w:tc>
          <w:tcPr>
            <w:tcW w:w="734" w:type="dxa"/>
            <w:tcBorders>
              <w:top w:val="single" w:sz="4" w:space="0" w:color="auto"/>
              <w:left w:val="single" w:sz="4" w:space="0" w:color="auto"/>
              <w:bottom w:val="single" w:sz="4" w:space="0" w:color="auto"/>
              <w:right w:val="double" w:sz="6" w:space="0" w:color="auto"/>
            </w:tcBorders>
          </w:tcPr>
          <w:p w14:paraId="4899A6D6"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0,40</w:t>
            </w:r>
          </w:p>
        </w:tc>
      </w:tr>
      <w:tr w:rsidR="00A16DDB" w:rsidRPr="00B76A61" w14:paraId="1D0A388F" w14:textId="77777777" w:rsidTr="00B76A61">
        <w:trPr>
          <w:trHeight w:val="279"/>
        </w:trPr>
        <w:tc>
          <w:tcPr>
            <w:tcW w:w="1445" w:type="dxa"/>
            <w:tcBorders>
              <w:top w:val="nil"/>
              <w:left w:val="double" w:sz="6" w:space="0" w:color="auto"/>
              <w:bottom w:val="single" w:sz="4" w:space="0" w:color="auto"/>
              <w:right w:val="single" w:sz="4" w:space="0" w:color="auto"/>
            </w:tcBorders>
            <w:shd w:val="clear" w:color="auto" w:fill="auto"/>
            <w:noWrap/>
            <w:vAlign w:val="bottom"/>
            <w:hideMark/>
          </w:tcPr>
          <w:p w14:paraId="72425B5F" w14:textId="77777777" w:rsidR="00A16DDB" w:rsidRPr="00B76A61" w:rsidRDefault="00A16DDB" w:rsidP="007A627A">
            <w:pPr>
              <w:keepNext/>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celková nabídka</w:t>
            </w:r>
          </w:p>
        </w:tc>
        <w:tc>
          <w:tcPr>
            <w:tcW w:w="734" w:type="dxa"/>
            <w:tcBorders>
              <w:top w:val="nil"/>
              <w:left w:val="nil"/>
              <w:bottom w:val="single" w:sz="4" w:space="0" w:color="auto"/>
              <w:right w:val="single" w:sz="4" w:space="0" w:color="auto"/>
            </w:tcBorders>
            <w:shd w:val="clear" w:color="auto" w:fill="auto"/>
            <w:noWrap/>
            <w:vAlign w:val="bottom"/>
            <w:hideMark/>
          </w:tcPr>
          <w:p w14:paraId="76B8474A" w14:textId="77777777" w:rsidR="00A16DDB" w:rsidRPr="00B76A61" w:rsidRDefault="00A16DDB" w:rsidP="007A627A">
            <w:pPr>
              <w:keepNext/>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tis.t j.hm.</w:t>
            </w:r>
          </w:p>
        </w:tc>
        <w:tc>
          <w:tcPr>
            <w:tcW w:w="734" w:type="dxa"/>
            <w:tcBorders>
              <w:top w:val="nil"/>
              <w:left w:val="nil"/>
              <w:bottom w:val="single" w:sz="4" w:space="0" w:color="auto"/>
              <w:right w:val="single" w:sz="4" w:space="0" w:color="auto"/>
            </w:tcBorders>
            <w:shd w:val="clear" w:color="auto" w:fill="auto"/>
            <w:noWrap/>
            <w:vAlign w:val="bottom"/>
            <w:hideMark/>
          </w:tcPr>
          <w:p w14:paraId="1693E4C9"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2,72</w:t>
            </w:r>
          </w:p>
        </w:tc>
        <w:tc>
          <w:tcPr>
            <w:tcW w:w="734" w:type="dxa"/>
            <w:tcBorders>
              <w:top w:val="nil"/>
              <w:left w:val="nil"/>
              <w:bottom w:val="single" w:sz="4" w:space="0" w:color="auto"/>
              <w:right w:val="single" w:sz="4" w:space="0" w:color="auto"/>
            </w:tcBorders>
            <w:shd w:val="clear" w:color="auto" w:fill="auto"/>
            <w:noWrap/>
            <w:vAlign w:val="bottom"/>
            <w:hideMark/>
          </w:tcPr>
          <w:p w14:paraId="42BCB315"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3,36</w:t>
            </w:r>
          </w:p>
        </w:tc>
        <w:tc>
          <w:tcPr>
            <w:tcW w:w="733" w:type="dxa"/>
            <w:tcBorders>
              <w:top w:val="nil"/>
              <w:left w:val="nil"/>
              <w:bottom w:val="single" w:sz="4" w:space="0" w:color="auto"/>
              <w:right w:val="single" w:sz="4" w:space="0" w:color="auto"/>
            </w:tcBorders>
            <w:shd w:val="clear" w:color="auto" w:fill="auto"/>
            <w:noWrap/>
            <w:vAlign w:val="bottom"/>
            <w:hideMark/>
          </w:tcPr>
          <w:p w14:paraId="5C2F1215"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3,71</w:t>
            </w:r>
          </w:p>
        </w:tc>
        <w:tc>
          <w:tcPr>
            <w:tcW w:w="881" w:type="dxa"/>
            <w:tcBorders>
              <w:top w:val="nil"/>
              <w:left w:val="nil"/>
              <w:bottom w:val="single" w:sz="4" w:space="0" w:color="auto"/>
              <w:right w:val="single" w:sz="4" w:space="0" w:color="auto"/>
            </w:tcBorders>
            <w:shd w:val="clear" w:color="auto" w:fill="auto"/>
            <w:noWrap/>
            <w:vAlign w:val="bottom"/>
            <w:hideMark/>
          </w:tcPr>
          <w:p w14:paraId="14D58739"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3,83</w:t>
            </w:r>
          </w:p>
        </w:tc>
        <w:tc>
          <w:tcPr>
            <w:tcW w:w="734" w:type="dxa"/>
            <w:tcBorders>
              <w:top w:val="nil"/>
              <w:left w:val="nil"/>
              <w:bottom w:val="single" w:sz="4" w:space="0" w:color="auto"/>
              <w:right w:val="single" w:sz="4" w:space="0" w:color="auto"/>
            </w:tcBorders>
            <w:shd w:val="clear" w:color="auto" w:fill="auto"/>
            <w:noWrap/>
            <w:vAlign w:val="bottom"/>
            <w:hideMark/>
          </w:tcPr>
          <w:p w14:paraId="5EB15625"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4,01</w:t>
            </w:r>
          </w:p>
        </w:tc>
        <w:tc>
          <w:tcPr>
            <w:tcW w:w="733" w:type="dxa"/>
            <w:tcBorders>
              <w:top w:val="nil"/>
              <w:left w:val="nil"/>
              <w:bottom w:val="single" w:sz="4" w:space="0" w:color="auto"/>
              <w:right w:val="single" w:sz="4" w:space="0" w:color="auto"/>
            </w:tcBorders>
            <w:shd w:val="clear" w:color="auto" w:fill="auto"/>
            <w:noWrap/>
            <w:vAlign w:val="bottom"/>
            <w:hideMark/>
          </w:tcPr>
          <w:p w14:paraId="5442AB5F"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4,36</w:t>
            </w:r>
          </w:p>
        </w:tc>
        <w:tc>
          <w:tcPr>
            <w:tcW w:w="734" w:type="dxa"/>
            <w:tcBorders>
              <w:top w:val="nil"/>
              <w:left w:val="nil"/>
              <w:bottom w:val="single" w:sz="4" w:space="0" w:color="auto"/>
              <w:right w:val="single" w:sz="4" w:space="0" w:color="auto"/>
            </w:tcBorders>
            <w:shd w:val="clear" w:color="auto" w:fill="auto"/>
            <w:noWrap/>
            <w:vAlign w:val="bottom"/>
            <w:hideMark/>
          </w:tcPr>
          <w:p w14:paraId="1CB544DD"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4,41</w:t>
            </w:r>
          </w:p>
        </w:tc>
        <w:tc>
          <w:tcPr>
            <w:tcW w:w="734" w:type="dxa"/>
            <w:tcBorders>
              <w:top w:val="nil"/>
              <w:left w:val="nil"/>
              <w:bottom w:val="single" w:sz="4" w:space="0" w:color="auto"/>
              <w:right w:val="single" w:sz="4" w:space="0" w:color="auto"/>
            </w:tcBorders>
            <w:shd w:val="clear" w:color="auto" w:fill="auto"/>
            <w:noWrap/>
            <w:vAlign w:val="bottom"/>
            <w:hideMark/>
          </w:tcPr>
          <w:p w14:paraId="711F9498"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4,40</w:t>
            </w:r>
          </w:p>
        </w:tc>
        <w:tc>
          <w:tcPr>
            <w:tcW w:w="734" w:type="dxa"/>
            <w:tcBorders>
              <w:top w:val="single" w:sz="4" w:space="0" w:color="auto"/>
              <w:left w:val="single" w:sz="4" w:space="0" w:color="auto"/>
              <w:bottom w:val="single" w:sz="4" w:space="0" w:color="auto"/>
              <w:right w:val="single" w:sz="4" w:space="0" w:color="auto"/>
            </w:tcBorders>
          </w:tcPr>
          <w:p w14:paraId="639481E7"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4,64</w:t>
            </w:r>
          </w:p>
        </w:tc>
        <w:tc>
          <w:tcPr>
            <w:tcW w:w="734" w:type="dxa"/>
            <w:tcBorders>
              <w:top w:val="single" w:sz="4" w:space="0" w:color="auto"/>
              <w:left w:val="single" w:sz="4" w:space="0" w:color="auto"/>
              <w:bottom w:val="single" w:sz="4" w:space="0" w:color="auto"/>
              <w:right w:val="double" w:sz="6" w:space="0" w:color="auto"/>
            </w:tcBorders>
          </w:tcPr>
          <w:p w14:paraId="53487054"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4,08</w:t>
            </w:r>
          </w:p>
        </w:tc>
      </w:tr>
      <w:tr w:rsidR="00A16DDB" w:rsidRPr="00B76A61" w14:paraId="4EB5C8D8" w14:textId="77777777" w:rsidTr="00B76A61">
        <w:trPr>
          <w:trHeight w:val="279"/>
        </w:trPr>
        <w:tc>
          <w:tcPr>
            <w:tcW w:w="1445" w:type="dxa"/>
            <w:tcBorders>
              <w:top w:val="nil"/>
              <w:left w:val="double" w:sz="6" w:space="0" w:color="auto"/>
              <w:bottom w:val="single" w:sz="4" w:space="0" w:color="auto"/>
              <w:right w:val="single" w:sz="4" w:space="0" w:color="auto"/>
            </w:tcBorders>
            <w:shd w:val="clear" w:color="auto" w:fill="auto"/>
            <w:noWrap/>
            <w:vAlign w:val="bottom"/>
            <w:hideMark/>
          </w:tcPr>
          <w:p w14:paraId="2C288AF6" w14:textId="77777777" w:rsidR="00A16DDB" w:rsidRPr="00B76A61" w:rsidRDefault="00A16DDB" w:rsidP="007A627A">
            <w:pPr>
              <w:keepNext/>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domácí spotřeba</w:t>
            </w:r>
          </w:p>
        </w:tc>
        <w:tc>
          <w:tcPr>
            <w:tcW w:w="734" w:type="dxa"/>
            <w:tcBorders>
              <w:top w:val="nil"/>
              <w:left w:val="nil"/>
              <w:bottom w:val="single" w:sz="4" w:space="0" w:color="auto"/>
              <w:right w:val="single" w:sz="4" w:space="0" w:color="auto"/>
            </w:tcBorders>
            <w:shd w:val="clear" w:color="auto" w:fill="auto"/>
            <w:noWrap/>
            <w:vAlign w:val="bottom"/>
            <w:hideMark/>
          </w:tcPr>
          <w:p w14:paraId="2A67BE02" w14:textId="77777777" w:rsidR="00A16DDB" w:rsidRPr="00B76A61" w:rsidRDefault="00A16DDB" w:rsidP="007A627A">
            <w:pPr>
              <w:keepNext/>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tis.t j.hm.</w:t>
            </w:r>
          </w:p>
        </w:tc>
        <w:tc>
          <w:tcPr>
            <w:tcW w:w="734" w:type="dxa"/>
            <w:tcBorders>
              <w:top w:val="nil"/>
              <w:left w:val="nil"/>
              <w:bottom w:val="single" w:sz="4" w:space="0" w:color="auto"/>
              <w:right w:val="single" w:sz="4" w:space="0" w:color="auto"/>
            </w:tcBorders>
            <w:shd w:val="clear" w:color="auto" w:fill="auto"/>
            <w:noWrap/>
            <w:vAlign w:val="bottom"/>
            <w:hideMark/>
          </w:tcPr>
          <w:p w14:paraId="68F126DE"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2,68</w:t>
            </w:r>
          </w:p>
        </w:tc>
        <w:tc>
          <w:tcPr>
            <w:tcW w:w="734" w:type="dxa"/>
            <w:tcBorders>
              <w:top w:val="nil"/>
              <w:left w:val="nil"/>
              <w:bottom w:val="single" w:sz="4" w:space="0" w:color="auto"/>
              <w:right w:val="single" w:sz="4" w:space="0" w:color="auto"/>
            </w:tcBorders>
            <w:shd w:val="clear" w:color="auto" w:fill="auto"/>
            <w:noWrap/>
            <w:vAlign w:val="bottom"/>
            <w:hideMark/>
          </w:tcPr>
          <w:p w14:paraId="066D122E"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3,28</w:t>
            </w:r>
          </w:p>
        </w:tc>
        <w:tc>
          <w:tcPr>
            <w:tcW w:w="733" w:type="dxa"/>
            <w:tcBorders>
              <w:top w:val="nil"/>
              <w:left w:val="nil"/>
              <w:bottom w:val="single" w:sz="4" w:space="0" w:color="auto"/>
              <w:right w:val="single" w:sz="4" w:space="0" w:color="auto"/>
            </w:tcBorders>
            <w:shd w:val="clear" w:color="auto" w:fill="auto"/>
            <w:noWrap/>
            <w:vAlign w:val="bottom"/>
            <w:hideMark/>
          </w:tcPr>
          <w:p w14:paraId="215F2809"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3,61</w:t>
            </w:r>
          </w:p>
        </w:tc>
        <w:tc>
          <w:tcPr>
            <w:tcW w:w="881" w:type="dxa"/>
            <w:tcBorders>
              <w:top w:val="nil"/>
              <w:left w:val="nil"/>
              <w:bottom w:val="single" w:sz="4" w:space="0" w:color="auto"/>
              <w:right w:val="single" w:sz="4" w:space="0" w:color="auto"/>
            </w:tcBorders>
            <w:shd w:val="clear" w:color="auto" w:fill="auto"/>
            <w:noWrap/>
            <w:vAlign w:val="bottom"/>
            <w:hideMark/>
          </w:tcPr>
          <w:p w14:paraId="5A8F9305"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3,65</w:t>
            </w:r>
          </w:p>
        </w:tc>
        <w:tc>
          <w:tcPr>
            <w:tcW w:w="734" w:type="dxa"/>
            <w:tcBorders>
              <w:top w:val="nil"/>
              <w:left w:val="nil"/>
              <w:bottom w:val="single" w:sz="4" w:space="0" w:color="auto"/>
              <w:right w:val="single" w:sz="4" w:space="0" w:color="auto"/>
            </w:tcBorders>
            <w:shd w:val="clear" w:color="auto" w:fill="auto"/>
            <w:noWrap/>
            <w:vAlign w:val="bottom"/>
            <w:hideMark/>
          </w:tcPr>
          <w:p w14:paraId="51081808"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3,80</w:t>
            </w:r>
          </w:p>
        </w:tc>
        <w:tc>
          <w:tcPr>
            <w:tcW w:w="733" w:type="dxa"/>
            <w:tcBorders>
              <w:top w:val="nil"/>
              <w:left w:val="nil"/>
              <w:bottom w:val="single" w:sz="4" w:space="0" w:color="auto"/>
              <w:right w:val="single" w:sz="4" w:space="0" w:color="auto"/>
            </w:tcBorders>
            <w:shd w:val="clear" w:color="auto" w:fill="auto"/>
            <w:noWrap/>
            <w:vAlign w:val="bottom"/>
            <w:hideMark/>
          </w:tcPr>
          <w:p w14:paraId="3E8ED65B"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4,13</w:t>
            </w:r>
          </w:p>
        </w:tc>
        <w:tc>
          <w:tcPr>
            <w:tcW w:w="734" w:type="dxa"/>
            <w:tcBorders>
              <w:top w:val="nil"/>
              <w:left w:val="nil"/>
              <w:bottom w:val="single" w:sz="4" w:space="0" w:color="auto"/>
              <w:right w:val="single" w:sz="4" w:space="0" w:color="auto"/>
            </w:tcBorders>
            <w:shd w:val="clear" w:color="auto" w:fill="auto"/>
            <w:noWrap/>
            <w:vAlign w:val="bottom"/>
            <w:hideMark/>
          </w:tcPr>
          <w:p w14:paraId="08C226AC"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3,91</w:t>
            </w:r>
          </w:p>
        </w:tc>
        <w:tc>
          <w:tcPr>
            <w:tcW w:w="734" w:type="dxa"/>
            <w:tcBorders>
              <w:top w:val="nil"/>
              <w:left w:val="nil"/>
              <w:bottom w:val="single" w:sz="4" w:space="0" w:color="auto"/>
              <w:right w:val="single" w:sz="4" w:space="0" w:color="auto"/>
            </w:tcBorders>
            <w:shd w:val="clear" w:color="auto" w:fill="auto"/>
            <w:noWrap/>
            <w:vAlign w:val="bottom"/>
            <w:hideMark/>
          </w:tcPr>
          <w:p w14:paraId="1B523E26"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3,90</w:t>
            </w:r>
          </w:p>
        </w:tc>
        <w:tc>
          <w:tcPr>
            <w:tcW w:w="734" w:type="dxa"/>
            <w:tcBorders>
              <w:top w:val="single" w:sz="4" w:space="0" w:color="auto"/>
              <w:left w:val="single" w:sz="4" w:space="0" w:color="auto"/>
              <w:bottom w:val="single" w:sz="4" w:space="0" w:color="auto"/>
              <w:right w:val="single" w:sz="4" w:space="0" w:color="auto"/>
            </w:tcBorders>
          </w:tcPr>
          <w:p w14:paraId="3D26EAFB"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4,21</w:t>
            </w:r>
          </w:p>
        </w:tc>
        <w:tc>
          <w:tcPr>
            <w:tcW w:w="734" w:type="dxa"/>
            <w:tcBorders>
              <w:top w:val="single" w:sz="4" w:space="0" w:color="auto"/>
              <w:left w:val="single" w:sz="4" w:space="0" w:color="auto"/>
              <w:bottom w:val="single" w:sz="4" w:space="0" w:color="auto"/>
              <w:right w:val="double" w:sz="6" w:space="0" w:color="auto"/>
            </w:tcBorders>
          </w:tcPr>
          <w:p w14:paraId="19117B59"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3,77</w:t>
            </w:r>
          </w:p>
        </w:tc>
      </w:tr>
      <w:tr w:rsidR="00A16DDB" w:rsidRPr="00B76A61" w14:paraId="088EB180" w14:textId="77777777" w:rsidTr="00B76A61">
        <w:trPr>
          <w:trHeight w:val="279"/>
        </w:trPr>
        <w:tc>
          <w:tcPr>
            <w:tcW w:w="1445" w:type="dxa"/>
            <w:tcBorders>
              <w:top w:val="nil"/>
              <w:left w:val="double" w:sz="6" w:space="0" w:color="auto"/>
              <w:bottom w:val="single" w:sz="4" w:space="0" w:color="auto"/>
              <w:right w:val="single" w:sz="4" w:space="0" w:color="auto"/>
            </w:tcBorders>
            <w:shd w:val="clear" w:color="auto" w:fill="auto"/>
            <w:noWrap/>
            <w:vAlign w:val="bottom"/>
            <w:hideMark/>
          </w:tcPr>
          <w:p w14:paraId="2EE6D332" w14:textId="77777777" w:rsidR="00A16DDB" w:rsidRPr="00B76A61" w:rsidRDefault="00A16DDB" w:rsidP="007A627A">
            <w:pPr>
              <w:keepNext/>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Vývoz</w:t>
            </w:r>
          </w:p>
        </w:tc>
        <w:tc>
          <w:tcPr>
            <w:tcW w:w="734" w:type="dxa"/>
            <w:tcBorders>
              <w:top w:val="nil"/>
              <w:left w:val="nil"/>
              <w:bottom w:val="single" w:sz="4" w:space="0" w:color="auto"/>
              <w:right w:val="single" w:sz="4" w:space="0" w:color="auto"/>
            </w:tcBorders>
            <w:shd w:val="clear" w:color="auto" w:fill="auto"/>
            <w:noWrap/>
            <w:vAlign w:val="bottom"/>
            <w:hideMark/>
          </w:tcPr>
          <w:p w14:paraId="6840FF00" w14:textId="77777777" w:rsidR="00A16DDB" w:rsidRPr="00B76A61" w:rsidRDefault="00A16DDB" w:rsidP="007A627A">
            <w:pPr>
              <w:keepNext/>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tis.t j.hm.</w:t>
            </w:r>
          </w:p>
        </w:tc>
        <w:tc>
          <w:tcPr>
            <w:tcW w:w="734" w:type="dxa"/>
            <w:tcBorders>
              <w:top w:val="nil"/>
              <w:left w:val="nil"/>
              <w:bottom w:val="single" w:sz="4" w:space="0" w:color="auto"/>
              <w:right w:val="single" w:sz="4" w:space="0" w:color="auto"/>
            </w:tcBorders>
            <w:shd w:val="clear" w:color="auto" w:fill="auto"/>
            <w:noWrap/>
            <w:vAlign w:val="bottom"/>
            <w:hideMark/>
          </w:tcPr>
          <w:p w14:paraId="20839B0A"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0,04</w:t>
            </w:r>
          </w:p>
        </w:tc>
        <w:tc>
          <w:tcPr>
            <w:tcW w:w="734" w:type="dxa"/>
            <w:tcBorders>
              <w:top w:val="nil"/>
              <w:left w:val="nil"/>
              <w:bottom w:val="single" w:sz="4" w:space="0" w:color="auto"/>
              <w:right w:val="single" w:sz="4" w:space="0" w:color="auto"/>
            </w:tcBorders>
            <w:shd w:val="clear" w:color="auto" w:fill="auto"/>
            <w:noWrap/>
            <w:vAlign w:val="bottom"/>
            <w:hideMark/>
          </w:tcPr>
          <w:p w14:paraId="73DF81A8"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0,08</w:t>
            </w:r>
          </w:p>
        </w:tc>
        <w:tc>
          <w:tcPr>
            <w:tcW w:w="733" w:type="dxa"/>
            <w:tcBorders>
              <w:top w:val="nil"/>
              <w:left w:val="nil"/>
              <w:bottom w:val="single" w:sz="4" w:space="0" w:color="auto"/>
              <w:right w:val="single" w:sz="4" w:space="0" w:color="auto"/>
            </w:tcBorders>
            <w:shd w:val="clear" w:color="auto" w:fill="auto"/>
            <w:noWrap/>
            <w:vAlign w:val="bottom"/>
            <w:hideMark/>
          </w:tcPr>
          <w:p w14:paraId="607DFE9E"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0,10</w:t>
            </w:r>
          </w:p>
        </w:tc>
        <w:tc>
          <w:tcPr>
            <w:tcW w:w="881" w:type="dxa"/>
            <w:tcBorders>
              <w:top w:val="nil"/>
              <w:left w:val="nil"/>
              <w:bottom w:val="single" w:sz="4" w:space="0" w:color="auto"/>
              <w:right w:val="single" w:sz="4" w:space="0" w:color="auto"/>
            </w:tcBorders>
            <w:shd w:val="clear" w:color="auto" w:fill="auto"/>
            <w:noWrap/>
            <w:vAlign w:val="bottom"/>
            <w:hideMark/>
          </w:tcPr>
          <w:p w14:paraId="5C9DE583"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0,18</w:t>
            </w:r>
          </w:p>
        </w:tc>
        <w:tc>
          <w:tcPr>
            <w:tcW w:w="734" w:type="dxa"/>
            <w:tcBorders>
              <w:top w:val="nil"/>
              <w:left w:val="nil"/>
              <w:bottom w:val="single" w:sz="4" w:space="0" w:color="auto"/>
              <w:right w:val="single" w:sz="4" w:space="0" w:color="auto"/>
            </w:tcBorders>
            <w:shd w:val="clear" w:color="auto" w:fill="auto"/>
            <w:noWrap/>
            <w:vAlign w:val="bottom"/>
            <w:hideMark/>
          </w:tcPr>
          <w:p w14:paraId="307AC4EF"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0,21</w:t>
            </w:r>
          </w:p>
        </w:tc>
        <w:tc>
          <w:tcPr>
            <w:tcW w:w="733" w:type="dxa"/>
            <w:tcBorders>
              <w:top w:val="nil"/>
              <w:left w:val="nil"/>
              <w:bottom w:val="single" w:sz="4" w:space="0" w:color="auto"/>
              <w:right w:val="single" w:sz="4" w:space="0" w:color="auto"/>
            </w:tcBorders>
            <w:shd w:val="clear" w:color="auto" w:fill="auto"/>
            <w:noWrap/>
            <w:vAlign w:val="bottom"/>
            <w:hideMark/>
          </w:tcPr>
          <w:p w14:paraId="70E1BF57"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0,23</w:t>
            </w:r>
          </w:p>
        </w:tc>
        <w:tc>
          <w:tcPr>
            <w:tcW w:w="734" w:type="dxa"/>
            <w:tcBorders>
              <w:top w:val="nil"/>
              <w:left w:val="nil"/>
              <w:bottom w:val="single" w:sz="4" w:space="0" w:color="auto"/>
              <w:right w:val="single" w:sz="4" w:space="0" w:color="auto"/>
            </w:tcBorders>
            <w:shd w:val="clear" w:color="auto" w:fill="auto"/>
            <w:noWrap/>
            <w:vAlign w:val="bottom"/>
            <w:hideMark/>
          </w:tcPr>
          <w:p w14:paraId="1F76677D"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0,50</w:t>
            </w:r>
          </w:p>
        </w:tc>
        <w:tc>
          <w:tcPr>
            <w:tcW w:w="734" w:type="dxa"/>
            <w:tcBorders>
              <w:top w:val="nil"/>
              <w:left w:val="nil"/>
              <w:bottom w:val="single" w:sz="4" w:space="0" w:color="auto"/>
              <w:right w:val="single" w:sz="4" w:space="0" w:color="auto"/>
            </w:tcBorders>
            <w:shd w:val="clear" w:color="auto" w:fill="auto"/>
            <w:noWrap/>
            <w:vAlign w:val="bottom"/>
            <w:hideMark/>
          </w:tcPr>
          <w:p w14:paraId="1C6CFC0E"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0,50</w:t>
            </w:r>
          </w:p>
        </w:tc>
        <w:tc>
          <w:tcPr>
            <w:tcW w:w="734" w:type="dxa"/>
            <w:tcBorders>
              <w:top w:val="single" w:sz="4" w:space="0" w:color="auto"/>
              <w:left w:val="single" w:sz="4" w:space="0" w:color="auto"/>
              <w:bottom w:val="single" w:sz="4" w:space="0" w:color="auto"/>
              <w:right w:val="single" w:sz="4" w:space="0" w:color="auto"/>
            </w:tcBorders>
          </w:tcPr>
          <w:p w14:paraId="1C0E702B"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0,48</w:t>
            </w:r>
          </w:p>
        </w:tc>
        <w:tc>
          <w:tcPr>
            <w:tcW w:w="734" w:type="dxa"/>
            <w:tcBorders>
              <w:top w:val="single" w:sz="4" w:space="0" w:color="auto"/>
              <w:left w:val="single" w:sz="4" w:space="0" w:color="auto"/>
              <w:bottom w:val="single" w:sz="4" w:space="0" w:color="auto"/>
              <w:right w:val="double" w:sz="6" w:space="0" w:color="auto"/>
            </w:tcBorders>
          </w:tcPr>
          <w:p w14:paraId="70F1D53E"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0,31</w:t>
            </w:r>
          </w:p>
        </w:tc>
      </w:tr>
      <w:tr w:rsidR="00A16DDB" w:rsidRPr="00B76A61" w14:paraId="1BE8886E" w14:textId="77777777" w:rsidTr="00B76A61">
        <w:trPr>
          <w:trHeight w:val="279"/>
        </w:trPr>
        <w:tc>
          <w:tcPr>
            <w:tcW w:w="1445" w:type="dxa"/>
            <w:tcBorders>
              <w:top w:val="nil"/>
              <w:left w:val="double" w:sz="6" w:space="0" w:color="auto"/>
              <w:bottom w:val="single" w:sz="4" w:space="0" w:color="auto"/>
              <w:right w:val="single" w:sz="4" w:space="0" w:color="auto"/>
            </w:tcBorders>
            <w:shd w:val="clear" w:color="auto" w:fill="auto"/>
            <w:noWrap/>
            <w:vAlign w:val="bottom"/>
            <w:hideMark/>
          </w:tcPr>
          <w:p w14:paraId="653C2648" w14:textId="77777777" w:rsidR="00A16DDB" w:rsidRPr="00B76A61" w:rsidRDefault="00A16DDB" w:rsidP="007A627A">
            <w:pPr>
              <w:keepNext/>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celková poptávka</w:t>
            </w:r>
          </w:p>
        </w:tc>
        <w:tc>
          <w:tcPr>
            <w:tcW w:w="734" w:type="dxa"/>
            <w:tcBorders>
              <w:top w:val="nil"/>
              <w:left w:val="nil"/>
              <w:bottom w:val="single" w:sz="4" w:space="0" w:color="auto"/>
              <w:right w:val="single" w:sz="4" w:space="0" w:color="auto"/>
            </w:tcBorders>
            <w:shd w:val="clear" w:color="auto" w:fill="auto"/>
            <w:noWrap/>
            <w:vAlign w:val="bottom"/>
            <w:hideMark/>
          </w:tcPr>
          <w:p w14:paraId="4F958D7E" w14:textId="77777777" w:rsidR="00A16DDB" w:rsidRPr="00B76A61" w:rsidRDefault="00A16DDB" w:rsidP="007A627A">
            <w:pPr>
              <w:keepNext/>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tis.t j.hm.</w:t>
            </w:r>
          </w:p>
        </w:tc>
        <w:tc>
          <w:tcPr>
            <w:tcW w:w="734" w:type="dxa"/>
            <w:tcBorders>
              <w:top w:val="nil"/>
              <w:left w:val="nil"/>
              <w:bottom w:val="single" w:sz="4" w:space="0" w:color="auto"/>
              <w:right w:val="single" w:sz="4" w:space="0" w:color="auto"/>
            </w:tcBorders>
            <w:shd w:val="clear" w:color="auto" w:fill="auto"/>
            <w:noWrap/>
            <w:vAlign w:val="bottom"/>
            <w:hideMark/>
          </w:tcPr>
          <w:p w14:paraId="376205D9"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2,72</w:t>
            </w:r>
          </w:p>
        </w:tc>
        <w:tc>
          <w:tcPr>
            <w:tcW w:w="734" w:type="dxa"/>
            <w:tcBorders>
              <w:top w:val="nil"/>
              <w:left w:val="nil"/>
              <w:bottom w:val="single" w:sz="4" w:space="0" w:color="auto"/>
              <w:right w:val="single" w:sz="4" w:space="0" w:color="auto"/>
            </w:tcBorders>
            <w:shd w:val="clear" w:color="auto" w:fill="auto"/>
            <w:noWrap/>
            <w:vAlign w:val="bottom"/>
            <w:hideMark/>
          </w:tcPr>
          <w:p w14:paraId="46871EF6"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3,36</w:t>
            </w:r>
          </w:p>
        </w:tc>
        <w:tc>
          <w:tcPr>
            <w:tcW w:w="733" w:type="dxa"/>
            <w:tcBorders>
              <w:top w:val="nil"/>
              <w:left w:val="nil"/>
              <w:bottom w:val="single" w:sz="4" w:space="0" w:color="auto"/>
              <w:right w:val="single" w:sz="4" w:space="0" w:color="auto"/>
            </w:tcBorders>
            <w:shd w:val="clear" w:color="auto" w:fill="auto"/>
            <w:noWrap/>
            <w:vAlign w:val="bottom"/>
            <w:hideMark/>
          </w:tcPr>
          <w:p w14:paraId="48BBA7FF"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3,71</w:t>
            </w:r>
          </w:p>
        </w:tc>
        <w:tc>
          <w:tcPr>
            <w:tcW w:w="881" w:type="dxa"/>
            <w:tcBorders>
              <w:top w:val="nil"/>
              <w:left w:val="nil"/>
              <w:bottom w:val="single" w:sz="4" w:space="0" w:color="auto"/>
              <w:right w:val="single" w:sz="4" w:space="0" w:color="auto"/>
            </w:tcBorders>
            <w:shd w:val="clear" w:color="auto" w:fill="auto"/>
            <w:noWrap/>
            <w:vAlign w:val="bottom"/>
            <w:hideMark/>
          </w:tcPr>
          <w:p w14:paraId="6228B94D"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3,83</w:t>
            </w:r>
          </w:p>
        </w:tc>
        <w:tc>
          <w:tcPr>
            <w:tcW w:w="734" w:type="dxa"/>
            <w:tcBorders>
              <w:top w:val="nil"/>
              <w:left w:val="nil"/>
              <w:bottom w:val="single" w:sz="4" w:space="0" w:color="auto"/>
              <w:right w:val="single" w:sz="4" w:space="0" w:color="auto"/>
            </w:tcBorders>
            <w:shd w:val="clear" w:color="auto" w:fill="auto"/>
            <w:noWrap/>
            <w:vAlign w:val="bottom"/>
            <w:hideMark/>
          </w:tcPr>
          <w:p w14:paraId="4F59ACBE"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4,01</w:t>
            </w:r>
          </w:p>
        </w:tc>
        <w:tc>
          <w:tcPr>
            <w:tcW w:w="733" w:type="dxa"/>
            <w:tcBorders>
              <w:top w:val="nil"/>
              <w:left w:val="nil"/>
              <w:bottom w:val="single" w:sz="4" w:space="0" w:color="auto"/>
              <w:right w:val="single" w:sz="4" w:space="0" w:color="auto"/>
            </w:tcBorders>
            <w:shd w:val="clear" w:color="auto" w:fill="auto"/>
            <w:noWrap/>
            <w:vAlign w:val="bottom"/>
            <w:hideMark/>
          </w:tcPr>
          <w:p w14:paraId="3E44D2D6"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4,36</w:t>
            </w:r>
          </w:p>
        </w:tc>
        <w:tc>
          <w:tcPr>
            <w:tcW w:w="734" w:type="dxa"/>
            <w:tcBorders>
              <w:top w:val="nil"/>
              <w:left w:val="nil"/>
              <w:bottom w:val="single" w:sz="4" w:space="0" w:color="auto"/>
              <w:right w:val="single" w:sz="4" w:space="0" w:color="auto"/>
            </w:tcBorders>
            <w:shd w:val="clear" w:color="auto" w:fill="auto"/>
            <w:noWrap/>
            <w:vAlign w:val="bottom"/>
            <w:hideMark/>
          </w:tcPr>
          <w:p w14:paraId="71591F1A"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4,41</w:t>
            </w:r>
          </w:p>
        </w:tc>
        <w:tc>
          <w:tcPr>
            <w:tcW w:w="734" w:type="dxa"/>
            <w:tcBorders>
              <w:top w:val="nil"/>
              <w:left w:val="nil"/>
              <w:bottom w:val="single" w:sz="4" w:space="0" w:color="auto"/>
              <w:right w:val="single" w:sz="4" w:space="0" w:color="auto"/>
            </w:tcBorders>
            <w:shd w:val="clear" w:color="auto" w:fill="auto"/>
            <w:noWrap/>
            <w:vAlign w:val="bottom"/>
            <w:hideMark/>
          </w:tcPr>
          <w:p w14:paraId="030B0D9A"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4,40</w:t>
            </w:r>
          </w:p>
        </w:tc>
        <w:tc>
          <w:tcPr>
            <w:tcW w:w="734" w:type="dxa"/>
            <w:tcBorders>
              <w:top w:val="single" w:sz="4" w:space="0" w:color="auto"/>
              <w:left w:val="single" w:sz="4" w:space="0" w:color="auto"/>
              <w:bottom w:val="single" w:sz="4" w:space="0" w:color="auto"/>
              <w:right w:val="single" w:sz="4" w:space="0" w:color="auto"/>
            </w:tcBorders>
          </w:tcPr>
          <w:p w14:paraId="5A1588D0"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4,69</w:t>
            </w:r>
          </w:p>
        </w:tc>
        <w:tc>
          <w:tcPr>
            <w:tcW w:w="734" w:type="dxa"/>
            <w:tcBorders>
              <w:top w:val="single" w:sz="4" w:space="0" w:color="auto"/>
              <w:left w:val="single" w:sz="4" w:space="0" w:color="auto"/>
              <w:bottom w:val="single" w:sz="4" w:space="0" w:color="auto"/>
              <w:right w:val="double" w:sz="6" w:space="0" w:color="auto"/>
            </w:tcBorders>
          </w:tcPr>
          <w:p w14:paraId="072E726E"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4,08</w:t>
            </w:r>
          </w:p>
        </w:tc>
      </w:tr>
      <w:tr w:rsidR="00A16DDB" w:rsidRPr="00B76A61" w14:paraId="49FD5644" w14:textId="77777777" w:rsidTr="00B76A61">
        <w:trPr>
          <w:trHeight w:val="291"/>
        </w:trPr>
        <w:tc>
          <w:tcPr>
            <w:tcW w:w="1445" w:type="dxa"/>
            <w:tcBorders>
              <w:top w:val="nil"/>
              <w:left w:val="double" w:sz="6" w:space="0" w:color="auto"/>
              <w:bottom w:val="double" w:sz="6" w:space="0" w:color="auto"/>
              <w:right w:val="single" w:sz="4" w:space="0" w:color="auto"/>
            </w:tcBorders>
            <w:shd w:val="clear" w:color="auto" w:fill="auto"/>
            <w:noWrap/>
            <w:vAlign w:val="bottom"/>
            <w:hideMark/>
          </w:tcPr>
          <w:p w14:paraId="42C6ACB7" w14:textId="77777777" w:rsidR="00A16DDB" w:rsidRPr="00B76A61" w:rsidRDefault="00A16DDB" w:rsidP="007A627A">
            <w:pPr>
              <w:keepNext/>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soběstačnost</w:t>
            </w:r>
          </w:p>
        </w:tc>
        <w:tc>
          <w:tcPr>
            <w:tcW w:w="734" w:type="dxa"/>
            <w:tcBorders>
              <w:top w:val="nil"/>
              <w:left w:val="nil"/>
              <w:bottom w:val="double" w:sz="6" w:space="0" w:color="auto"/>
              <w:right w:val="single" w:sz="4" w:space="0" w:color="auto"/>
            </w:tcBorders>
            <w:shd w:val="clear" w:color="auto" w:fill="auto"/>
            <w:noWrap/>
            <w:vAlign w:val="bottom"/>
            <w:hideMark/>
          </w:tcPr>
          <w:p w14:paraId="5ADCD0A1" w14:textId="77777777" w:rsidR="00A16DDB" w:rsidRPr="00B76A61" w:rsidRDefault="00A16DDB" w:rsidP="007A627A">
            <w:pPr>
              <w:keepNext/>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w:t>
            </w:r>
          </w:p>
        </w:tc>
        <w:tc>
          <w:tcPr>
            <w:tcW w:w="734" w:type="dxa"/>
            <w:tcBorders>
              <w:top w:val="nil"/>
              <w:left w:val="nil"/>
              <w:bottom w:val="double" w:sz="6" w:space="0" w:color="auto"/>
              <w:right w:val="single" w:sz="4" w:space="0" w:color="auto"/>
            </w:tcBorders>
            <w:shd w:val="clear" w:color="auto" w:fill="auto"/>
            <w:noWrap/>
            <w:vAlign w:val="bottom"/>
            <w:hideMark/>
          </w:tcPr>
          <w:p w14:paraId="643C9CC2"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90,20</w:t>
            </w:r>
          </w:p>
        </w:tc>
        <w:tc>
          <w:tcPr>
            <w:tcW w:w="734" w:type="dxa"/>
            <w:tcBorders>
              <w:top w:val="nil"/>
              <w:left w:val="nil"/>
              <w:bottom w:val="double" w:sz="6" w:space="0" w:color="auto"/>
              <w:right w:val="single" w:sz="4" w:space="0" w:color="auto"/>
            </w:tcBorders>
            <w:shd w:val="clear" w:color="auto" w:fill="auto"/>
            <w:noWrap/>
            <w:vAlign w:val="bottom"/>
            <w:hideMark/>
          </w:tcPr>
          <w:p w14:paraId="0456AA61"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91,50</w:t>
            </w:r>
          </w:p>
        </w:tc>
        <w:tc>
          <w:tcPr>
            <w:tcW w:w="733" w:type="dxa"/>
            <w:tcBorders>
              <w:top w:val="nil"/>
              <w:left w:val="nil"/>
              <w:bottom w:val="double" w:sz="6" w:space="0" w:color="auto"/>
              <w:right w:val="single" w:sz="4" w:space="0" w:color="auto"/>
            </w:tcBorders>
            <w:shd w:val="clear" w:color="auto" w:fill="auto"/>
            <w:noWrap/>
            <w:vAlign w:val="bottom"/>
            <w:hideMark/>
          </w:tcPr>
          <w:p w14:paraId="0BD2EDEF"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92,00</w:t>
            </w:r>
          </w:p>
        </w:tc>
        <w:tc>
          <w:tcPr>
            <w:tcW w:w="881" w:type="dxa"/>
            <w:tcBorders>
              <w:top w:val="nil"/>
              <w:left w:val="nil"/>
              <w:bottom w:val="double" w:sz="6" w:space="0" w:color="auto"/>
              <w:right w:val="single" w:sz="4" w:space="0" w:color="auto"/>
            </w:tcBorders>
            <w:shd w:val="clear" w:color="auto" w:fill="auto"/>
            <w:noWrap/>
            <w:vAlign w:val="bottom"/>
            <w:hideMark/>
          </w:tcPr>
          <w:p w14:paraId="35FEA11F"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95,60</w:t>
            </w:r>
          </w:p>
        </w:tc>
        <w:tc>
          <w:tcPr>
            <w:tcW w:w="734" w:type="dxa"/>
            <w:tcBorders>
              <w:top w:val="nil"/>
              <w:left w:val="nil"/>
              <w:bottom w:val="double" w:sz="6" w:space="0" w:color="auto"/>
              <w:right w:val="single" w:sz="4" w:space="0" w:color="auto"/>
            </w:tcBorders>
            <w:shd w:val="clear" w:color="auto" w:fill="auto"/>
            <w:noWrap/>
            <w:vAlign w:val="bottom"/>
            <w:hideMark/>
          </w:tcPr>
          <w:p w14:paraId="0477FE0E"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93,40</w:t>
            </w:r>
          </w:p>
        </w:tc>
        <w:tc>
          <w:tcPr>
            <w:tcW w:w="733" w:type="dxa"/>
            <w:tcBorders>
              <w:top w:val="nil"/>
              <w:left w:val="nil"/>
              <w:bottom w:val="double" w:sz="6" w:space="0" w:color="auto"/>
              <w:right w:val="single" w:sz="4" w:space="0" w:color="auto"/>
            </w:tcBorders>
            <w:shd w:val="clear" w:color="auto" w:fill="auto"/>
            <w:noWrap/>
            <w:vAlign w:val="bottom"/>
            <w:hideMark/>
          </w:tcPr>
          <w:p w14:paraId="0A59FFC2"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93,70</w:t>
            </w:r>
          </w:p>
        </w:tc>
        <w:tc>
          <w:tcPr>
            <w:tcW w:w="734" w:type="dxa"/>
            <w:tcBorders>
              <w:top w:val="nil"/>
              <w:left w:val="nil"/>
              <w:bottom w:val="double" w:sz="6" w:space="0" w:color="auto"/>
              <w:right w:val="single" w:sz="4" w:space="0" w:color="auto"/>
            </w:tcBorders>
            <w:shd w:val="clear" w:color="auto" w:fill="auto"/>
            <w:noWrap/>
            <w:vAlign w:val="bottom"/>
            <w:hideMark/>
          </w:tcPr>
          <w:p w14:paraId="39B57072"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102,30</w:t>
            </w:r>
          </w:p>
        </w:tc>
        <w:tc>
          <w:tcPr>
            <w:tcW w:w="734" w:type="dxa"/>
            <w:tcBorders>
              <w:top w:val="nil"/>
              <w:left w:val="nil"/>
              <w:bottom w:val="double" w:sz="6" w:space="0" w:color="auto"/>
              <w:right w:val="single" w:sz="4" w:space="0" w:color="auto"/>
            </w:tcBorders>
            <w:shd w:val="clear" w:color="auto" w:fill="auto"/>
            <w:noWrap/>
            <w:vAlign w:val="bottom"/>
            <w:hideMark/>
          </w:tcPr>
          <w:p w14:paraId="00A79D62"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102,60</w:t>
            </w:r>
          </w:p>
        </w:tc>
        <w:tc>
          <w:tcPr>
            <w:tcW w:w="734" w:type="dxa"/>
            <w:tcBorders>
              <w:top w:val="single" w:sz="4" w:space="0" w:color="auto"/>
              <w:left w:val="single" w:sz="4" w:space="0" w:color="auto"/>
              <w:bottom w:val="double" w:sz="6" w:space="0" w:color="auto"/>
              <w:right w:val="single" w:sz="4" w:space="0" w:color="auto"/>
            </w:tcBorders>
          </w:tcPr>
          <w:p w14:paraId="394D7585"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95,7</w:t>
            </w:r>
          </w:p>
        </w:tc>
        <w:tc>
          <w:tcPr>
            <w:tcW w:w="734" w:type="dxa"/>
            <w:tcBorders>
              <w:top w:val="single" w:sz="4" w:space="0" w:color="auto"/>
              <w:left w:val="single" w:sz="4" w:space="0" w:color="auto"/>
              <w:bottom w:val="double" w:sz="6" w:space="0" w:color="auto"/>
              <w:right w:val="double" w:sz="6" w:space="0" w:color="auto"/>
            </w:tcBorders>
          </w:tcPr>
          <w:p w14:paraId="6BA23CA4" w14:textId="77777777" w:rsidR="00A16DDB" w:rsidRPr="00B76A61" w:rsidRDefault="00A16DDB" w:rsidP="00B76A61">
            <w:pPr>
              <w:keepNext/>
              <w:jc w:val="center"/>
              <w:rPr>
                <w:rFonts w:eastAsia="Times New Roman" w:cs="Times New Roman"/>
                <w:color w:val="000000"/>
                <w:sz w:val="20"/>
                <w:szCs w:val="20"/>
                <w:lang w:val="cs-CZ" w:eastAsia="cs-CZ"/>
              </w:rPr>
            </w:pPr>
            <w:r w:rsidRPr="00B76A61">
              <w:rPr>
                <w:rFonts w:eastAsia="Times New Roman" w:cs="Times New Roman"/>
                <w:color w:val="000000"/>
                <w:sz w:val="20"/>
                <w:szCs w:val="20"/>
                <w:lang w:val="cs-CZ" w:eastAsia="cs-CZ"/>
              </w:rPr>
              <w:t>97,6</w:t>
            </w:r>
          </w:p>
        </w:tc>
      </w:tr>
    </w:tbl>
    <w:p w14:paraId="16E33DC1" w14:textId="77777777" w:rsidR="00A16DDB" w:rsidRPr="00D95127" w:rsidRDefault="00A16DDB" w:rsidP="00EF44D6">
      <w:pPr>
        <w:pStyle w:val="UZEIZdroj"/>
      </w:pPr>
      <w:r w:rsidRPr="00D95127">
        <w:t>Pozn. Zdroj dat: ČSÚ, MZe, SCHOK z.s. dovoz a vývoz včetně živých zvířat, přepočet na jatečnou hmotnost 0,45.</w:t>
      </w:r>
    </w:p>
    <w:p w14:paraId="26C4E0CB" w14:textId="57F2EDDD" w:rsidR="00A16DDB" w:rsidRPr="00D95127" w:rsidRDefault="00A16DDB" w:rsidP="00EF44D6">
      <w:pPr>
        <w:pStyle w:val="UZEITaB"/>
      </w:pPr>
      <w:bookmarkStart w:id="1189" w:name="_Toc81738552"/>
      <w:r w:rsidRPr="00D95127">
        <w:t>Produkce kozího mléka a sýrů</w:t>
      </w:r>
      <w:bookmarkEnd w:id="1189"/>
    </w:p>
    <w:tbl>
      <w:tblPr>
        <w:tblW w:w="7632" w:type="dxa"/>
        <w:tblCellMar>
          <w:left w:w="70" w:type="dxa"/>
          <w:right w:w="70" w:type="dxa"/>
        </w:tblCellMar>
        <w:tblLook w:val="04A0" w:firstRow="1" w:lastRow="0" w:firstColumn="1" w:lastColumn="0" w:noHBand="0" w:noVBand="1"/>
      </w:tblPr>
      <w:tblGrid>
        <w:gridCol w:w="2605"/>
        <w:gridCol w:w="620"/>
        <w:gridCol w:w="620"/>
        <w:gridCol w:w="620"/>
        <w:gridCol w:w="620"/>
        <w:gridCol w:w="620"/>
        <w:gridCol w:w="620"/>
        <w:gridCol w:w="620"/>
        <w:gridCol w:w="687"/>
      </w:tblGrid>
      <w:tr w:rsidR="00A16DDB" w:rsidRPr="00EF44D6" w14:paraId="0E37F280" w14:textId="77777777" w:rsidTr="00EF44D6">
        <w:trPr>
          <w:trHeight w:val="300"/>
        </w:trPr>
        <w:tc>
          <w:tcPr>
            <w:tcW w:w="2605" w:type="dxa"/>
            <w:tcBorders>
              <w:top w:val="double" w:sz="6" w:space="0" w:color="auto"/>
              <w:left w:val="double" w:sz="6" w:space="0" w:color="auto"/>
              <w:bottom w:val="single" w:sz="4" w:space="0" w:color="auto"/>
              <w:right w:val="single" w:sz="4" w:space="0" w:color="auto"/>
            </w:tcBorders>
            <w:shd w:val="clear" w:color="auto" w:fill="auto"/>
            <w:noWrap/>
            <w:vAlign w:val="bottom"/>
            <w:hideMark/>
          </w:tcPr>
          <w:p w14:paraId="69F090C1" w14:textId="77777777" w:rsidR="00A16DDB" w:rsidRPr="00EF44D6" w:rsidRDefault="00A16DDB" w:rsidP="007A627A">
            <w:pPr>
              <w:keepNex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Ukazatel</w:t>
            </w:r>
          </w:p>
        </w:tc>
        <w:tc>
          <w:tcPr>
            <w:tcW w:w="620" w:type="dxa"/>
            <w:tcBorders>
              <w:top w:val="double" w:sz="6" w:space="0" w:color="auto"/>
              <w:left w:val="nil"/>
              <w:bottom w:val="single" w:sz="4" w:space="0" w:color="auto"/>
              <w:right w:val="single" w:sz="4" w:space="0" w:color="auto"/>
            </w:tcBorders>
            <w:shd w:val="clear" w:color="auto" w:fill="auto"/>
            <w:noWrap/>
            <w:vAlign w:val="bottom"/>
            <w:hideMark/>
          </w:tcPr>
          <w:p w14:paraId="4CEE211E" w14:textId="77777777" w:rsidR="00A16DDB" w:rsidRPr="00EF44D6" w:rsidRDefault="00A16DDB" w:rsidP="007A627A">
            <w:pPr>
              <w:keepNext/>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2011</w:t>
            </w:r>
          </w:p>
        </w:tc>
        <w:tc>
          <w:tcPr>
            <w:tcW w:w="620" w:type="dxa"/>
            <w:tcBorders>
              <w:top w:val="double" w:sz="6" w:space="0" w:color="auto"/>
              <w:left w:val="nil"/>
              <w:bottom w:val="single" w:sz="4" w:space="0" w:color="auto"/>
              <w:right w:val="single" w:sz="4" w:space="0" w:color="auto"/>
            </w:tcBorders>
            <w:shd w:val="clear" w:color="auto" w:fill="auto"/>
            <w:noWrap/>
            <w:vAlign w:val="bottom"/>
            <w:hideMark/>
          </w:tcPr>
          <w:p w14:paraId="6679500A" w14:textId="77777777" w:rsidR="00A16DDB" w:rsidRPr="00EF44D6" w:rsidRDefault="00A16DDB" w:rsidP="007A627A">
            <w:pPr>
              <w:keepNext/>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2012</w:t>
            </w:r>
          </w:p>
        </w:tc>
        <w:tc>
          <w:tcPr>
            <w:tcW w:w="620" w:type="dxa"/>
            <w:tcBorders>
              <w:top w:val="double" w:sz="6" w:space="0" w:color="auto"/>
              <w:left w:val="nil"/>
              <w:bottom w:val="single" w:sz="4" w:space="0" w:color="auto"/>
              <w:right w:val="single" w:sz="4" w:space="0" w:color="auto"/>
            </w:tcBorders>
            <w:shd w:val="clear" w:color="auto" w:fill="auto"/>
            <w:noWrap/>
            <w:vAlign w:val="bottom"/>
            <w:hideMark/>
          </w:tcPr>
          <w:p w14:paraId="57008F29" w14:textId="77777777" w:rsidR="00A16DDB" w:rsidRPr="00EF44D6" w:rsidRDefault="00A16DDB" w:rsidP="007A627A">
            <w:pPr>
              <w:keepNext/>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2013</w:t>
            </w:r>
          </w:p>
        </w:tc>
        <w:tc>
          <w:tcPr>
            <w:tcW w:w="620" w:type="dxa"/>
            <w:tcBorders>
              <w:top w:val="double" w:sz="6" w:space="0" w:color="auto"/>
              <w:left w:val="nil"/>
              <w:bottom w:val="single" w:sz="4" w:space="0" w:color="auto"/>
              <w:right w:val="single" w:sz="4" w:space="0" w:color="auto"/>
            </w:tcBorders>
            <w:shd w:val="clear" w:color="auto" w:fill="auto"/>
            <w:noWrap/>
            <w:vAlign w:val="bottom"/>
            <w:hideMark/>
          </w:tcPr>
          <w:p w14:paraId="4B80F794" w14:textId="77777777" w:rsidR="00A16DDB" w:rsidRPr="00EF44D6" w:rsidRDefault="00A16DDB" w:rsidP="007A627A">
            <w:pPr>
              <w:keepNext/>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2014</w:t>
            </w:r>
          </w:p>
        </w:tc>
        <w:tc>
          <w:tcPr>
            <w:tcW w:w="620" w:type="dxa"/>
            <w:tcBorders>
              <w:top w:val="double" w:sz="6" w:space="0" w:color="auto"/>
              <w:left w:val="nil"/>
              <w:bottom w:val="single" w:sz="4" w:space="0" w:color="auto"/>
              <w:right w:val="single" w:sz="4" w:space="0" w:color="auto"/>
            </w:tcBorders>
            <w:shd w:val="clear" w:color="auto" w:fill="auto"/>
            <w:noWrap/>
            <w:vAlign w:val="bottom"/>
            <w:hideMark/>
          </w:tcPr>
          <w:p w14:paraId="2DA6C0E2" w14:textId="77777777" w:rsidR="00A16DDB" w:rsidRPr="00EF44D6" w:rsidRDefault="00A16DDB" w:rsidP="007A627A">
            <w:pPr>
              <w:keepNext/>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2015</w:t>
            </w:r>
          </w:p>
        </w:tc>
        <w:tc>
          <w:tcPr>
            <w:tcW w:w="620" w:type="dxa"/>
            <w:tcBorders>
              <w:top w:val="double" w:sz="6" w:space="0" w:color="auto"/>
              <w:left w:val="nil"/>
              <w:bottom w:val="single" w:sz="4" w:space="0" w:color="auto"/>
              <w:right w:val="single" w:sz="4" w:space="0" w:color="auto"/>
            </w:tcBorders>
            <w:shd w:val="clear" w:color="auto" w:fill="auto"/>
            <w:noWrap/>
            <w:vAlign w:val="bottom"/>
            <w:hideMark/>
          </w:tcPr>
          <w:p w14:paraId="714268F4" w14:textId="77777777" w:rsidR="00A16DDB" w:rsidRPr="00EF44D6" w:rsidRDefault="00A16DDB" w:rsidP="007A627A">
            <w:pPr>
              <w:keepNext/>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2016</w:t>
            </w:r>
          </w:p>
        </w:tc>
        <w:tc>
          <w:tcPr>
            <w:tcW w:w="620" w:type="dxa"/>
            <w:tcBorders>
              <w:top w:val="double" w:sz="6" w:space="0" w:color="auto"/>
              <w:left w:val="nil"/>
              <w:bottom w:val="single" w:sz="4" w:space="0" w:color="auto"/>
              <w:right w:val="single" w:sz="4" w:space="0" w:color="auto"/>
            </w:tcBorders>
            <w:shd w:val="clear" w:color="auto" w:fill="auto"/>
            <w:noWrap/>
            <w:vAlign w:val="bottom"/>
            <w:hideMark/>
          </w:tcPr>
          <w:p w14:paraId="1BC14417" w14:textId="77777777" w:rsidR="00A16DDB" w:rsidRPr="00EF44D6" w:rsidRDefault="00A16DDB" w:rsidP="007A627A">
            <w:pPr>
              <w:keepNext/>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2017</w:t>
            </w:r>
          </w:p>
        </w:tc>
        <w:tc>
          <w:tcPr>
            <w:tcW w:w="687" w:type="dxa"/>
            <w:tcBorders>
              <w:top w:val="double" w:sz="6" w:space="0" w:color="auto"/>
              <w:left w:val="nil"/>
              <w:bottom w:val="single" w:sz="4" w:space="0" w:color="auto"/>
              <w:right w:val="double" w:sz="6" w:space="0" w:color="auto"/>
            </w:tcBorders>
            <w:shd w:val="clear" w:color="auto" w:fill="auto"/>
            <w:noWrap/>
            <w:vAlign w:val="bottom"/>
            <w:hideMark/>
          </w:tcPr>
          <w:p w14:paraId="605DEC1D" w14:textId="77777777" w:rsidR="00A16DDB" w:rsidRPr="00EF44D6" w:rsidRDefault="00A16DDB" w:rsidP="007A627A">
            <w:pPr>
              <w:keepNext/>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2018</w:t>
            </w:r>
          </w:p>
        </w:tc>
      </w:tr>
      <w:tr w:rsidR="00A16DDB" w:rsidRPr="00EF44D6" w14:paraId="6EADD55C" w14:textId="77777777" w:rsidTr="00EF44D6">
        <w:trPr>
          <w:trHeight w:val="288"/>
        </w:trPr>
        <w:tc>
          <w:tcPr>
            <w:tcW w:w="2605" w:type="dxa"/>
            <w:tcBorders>
              <w:top w:val="nil"/>
              <w:left w:val="double" w:sz="6" w:space="0" w:color="auto"/>
              <w:bottom w:val="single" w:sz="4" w:space="0" w:color="auto"/>
              <w:right w:val="single" w:sz="4" w:space="0" w:color="auto"/>
            </w:tcBorders>
            <w:shd w:val="clear" w:color="auto" w:fill="auto"/>
            <w:noWrap/>
            <w:vAlign w:val="bottom"/>
            <w:hideMark/>
          </w:tcPr>
          <w:p w14:paraId="135EC370" w14:textId="77777777" w:rsidR="00A16DDB" w:rsidRPr="00EF44D6" w:rsidRDefault="00A16DDB" w:rsidP="007A627A">
            <w:pPr>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počty dojených koz ve stádech</w:t>
            </w:r>
          </w:p>
        </w:tc>
        <w:tc>
          <w:tcPr>
            <w:tcW w:w="620" w:type="dxa"/>
            <w:tcBorders>
              <w:top w:val="nil"/>
              <w:left w:val="nil"/>
              <w:bottom w:val="single" w:sz="4" w:space="0" w:color="auto"/>
              <w:right w:val="single" w:sz="4" w:space="0" w:color="auto"/>
            </w:tcBorders>
            <w:shd w:val="clear" w:color="auto" w:fill="auto"/>
            <w:noWrap/>
            <w:vAlign w:val="bottom"/>
            <w:hideMark/>
          </w:tcPr>
          <w:p w14:paraId="357C563C"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2902</w:t>
            </w:r>
          </w:p>
        </w:tc>
        <w:tc>
          <w:tcPr>
            <w:tcW w:w="620" w:type="dxa"/>
            <w:tcBorders>
              <w:top w:val="nil"/>
              <w:left w:val="nil"/>
              <w:bottom w:val="single" w:sz="4" w:space="0" w:color="auto"/>
              <w:right w:val="single" w:sz="4" w:space="0" w:color="auto"/>
            </w:tcBorders>
            <w:shd w:val="clear" w:color="auto" w:fill="auto"/>
            <w:noWrap/>
            <w:vAlign w:val="bottom"/>
            <w:hideMark/>
          </w:tcPr>
          <w:p w14:paraId="7E051EA0"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3208</w:t>
            </w:r>
          </w:p>
        </w:tc>
        <w:tc>
          <w:tcPr>
            <w:tcW w:w="620" w:type="dxa"/>
            <w:tcBorders>
              <w:top w:val="nil"/>
              <w:left w:val="nil"/>
              <w:bottom w:val="single" w:sz="4" w:space="0" w:color="auto"/>
              <w:right w:val="single" w:sz="4" w:space="0" w:color="auto"/>
            </w:tcBorders>
            <w:shd w:val="clear" w:color="auto" w:fill="auto"/>
            <w:noWrap/>
            <w:vAlign w:val="bottom"/>
            <w:hideMark/>
          </w:tcPr>
          <w:p w14:paraId="2574D05F"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3407</w:t>
            </w:r>
          </w:p>
        </w:tc>
        <w:tc>
          <w:tcPr>
            <w:tcW w:w="620" w:type="dxa"/>
            <w:tcBorders>
              <w:top w:val="nil"/>
              <w:left w:val="nil"/>
              <w:bottom w:val="single" w:sz="4" w:space="0" w:color="auto"/>
              <w:right w:val="single" w:sz="4" w:space="0" w:color="auto"/>
            </w:tcBorders>
            <w:shd w:val="clear" w:color="auto" w:fill="auto"/>
            <w:noWrap/>
            <w:vAlign w:val="bottom"/>
            <w:hideMark/>
          </w:tcPr>
          <w:p w14:paraId="0D6A83E3"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3556</w:t>
            </w:r>
          </w:p>
        </w:tc>
        <w:tc>
          <w:tcPr>
            <w:tcW w:w="620" w:type="dxa"/>
            <w:tcBorders>
              <w:top w:val="nil"/>
              <w:left w:val="nil"/>
              <w:bottom w:val="single" w:sz="4" w:space="0" w:color="auto"/>
              <w:right w:val="single" w:sz="4" w:space="0" w:color="auto"/>
            </w:tcBorders>
            <w:shd w:val="clear" w:color="auto" w:fill="auto"/>
            <w:noWrap/>
            <w:vAlign w:val="bottom"/>
            <w:hideMark/>
          </w:tcPr>
          <w:p w14:paraId="4A5257DB"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3935</w:t>
            </w:r>
          </w:p>
        </w:tc>
        <w:tc>
          <w:tcPr>
            <w:tcW w:w="620" w:type="dxa"/>
            <w:tcBorders>
              <w:top w:val="nil"/>
              <w:left w:val="nil"/>
              <w:bottom w:val="single" w:sz="4" w:space="0" w:color="auto"/>
              <w:right w:val="single" w:sz="4" w:space="0" w:color="auto"/>
            </w:tcBorders>
            <w:shd w:val="clear" w:color="auto" w:fill="auto"/>
            <w:noWrap/>
            <w:vAlign w:val="bottom"/>
            <w:hideMark/>
          </w:tcPr>
          <w:p w14:paraId="540155D5"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4610</w:t>
            </w:r>
          </w:p>
        </w:tc>
        <w:tc>
          <w:tcPr>
            <w:tcW w:w="620" w:type="dxa"/>
            <w:tcBorders>
              <w:top w:val="nil"/>
              <w:left w:val="nil"/>
              <w:bottom w:val="single" w:sz="4" w:space="0" w:color="auto"/>
              <w:right w:val="single" w:sz="4" w:space="0" w:color="auto"/>
            </w:tcBorders>
            <w:shd w:val="clear" w:color="auto" w:fill="auto"/>
            <w:noWrap/>
            <w:vAlign w:val="bottom"/>
            <w:hideMark/>
          </w:tcPr>
          <w:p w14:paraId="5246AE16"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5819</w:t>
            </w:r>
          </w:p>
        </w:tc>
        <w:tc>
          <w:tcPr>
            <w:tcW w:w="687" w:type="dxa"/>
            <w:tcBorders>
              <w:top w:val="nil"/>
              <w:left w:val="nil"/>
              <w:bottom w:val="single" w:sz="4" w:space="0" w:color="auto"/>
              <w:right w:val="double" w:sz="6" w:space="0" w:color="auto"/>
            </w:tcBorders>
            <w:shd w:val="clear" w:color="auto" w:fill="auto"/>
            <w:noWrap/>
            <w:vAlign w:val="bottom"/>
            <w:hideMark/>
          </w:tcPr>
          <w:p w14:paraId="7C91566F"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6000</w:t>
            </w:r>
          </w:p>
        </w:tc>
      </w:tr>
      <w:tr w:rsidR="00A16DDB" w:rsidRPr="00EF44D6" w14:paraId="0AFB0BD3" w14:textId="77777777" w:rsidTr="00EF44D6">
        <w:trPr>
          <w:trHeight w:val="288"/>
        </w:trPr>
        <w:tc>
          <w:tcPr>
            <w:tcW w:w="2605" w:type="dxa"/>
            <w:tcBorders>
              <w:top w:val="nil"/>
              <w:left w:val="double" w:sz="6" w:space="0" w:color="auto"/>
              <w:bottom w:val="single" w:sz="4" w:space="0" w:color="auto"/>
              <w:right w:val="single" w:sz="4" w:space="0" w:color="auto"/>
            </w:tcBorders>
            <w:shd w:val="clear" w:color="auto" w:fill="auto"/>
            <w:noWrap/>
            <w:vAlign w:val="bottom"/>
            <w:hideMark/>
          </w:tcPr>
          <w:p w14:paraId="1DDF2023" w14:textId="77777777" w:rsidR="00A16DDB" w:rsidRPr="00EF44D6" w:rsidRDefault="00A16DDB" w:rsidP="007A627A">
            <w:pPr>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produkce mléka (tis. l)</w:t>
            </w:r>
          </w:p>
        </w:tc>
        <w:tc>
          <w:tcPr>
            <w:tcW w:w="620" w:type="dxa"/>
            <w:tcBorders>
              <w:top w:val="nil"/>
              <w:left w:val="nil"/>
              <w:bottom w:val="single" w:sz="4" w:space="0" w:color="auto"/>
              <w:right w:val="single" w:sz="4" w:space="0" w:color="auto"/>
            </w:tcBorders>
            <w:shd w:val="clear" w:color="auto" w:fill="auto"/>
            <w:noWrap/>
            <w:vAlign w:val="bottom"/>
            <w:hideMark/>
          </w:tcPr>
          <w:p w14:paraId="13E09FFB"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1500</w:t>
            </w:r>
          </w:p>
        </w:tc>
        <w:tc>
          <w:tcPr>
            <w:tcW w:w="620" w:type="dxa"/>
            <w:tcBorders>
              <w:top w:val="nil"/>
              <w:left w:val="nil"/>
              <w:bottom w:val="single" w:sz="4" w:space="0" w:color="auto"/>
              <w:right w:val="single" w:sz="4" w:space="0" w:color="auto"/>
            </w:tcBorders>
            <w:shd w:val="clear" w:color="auto" w:fill="auto"/>
            <w:noWrap/>
            <w:vAlign w:val="bottom"/>
            <w:hideMark/>
          </w:tcPr>
          <w:p w14:paraId="2B661BAE"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1600</w:t>
            </w:r>
          </w:p>
        </w:tc>
        <w:tc>
          <w:tcPr>
            <w:tcW w:w="620" w:type="dxa"/>
            <w:tcBorders>
              <w:top w:val="nil"/>
              <w:left w:val="nil"/>
              <w:bottom w:val="single" w:sz="4" w:space="0" w:color="auto"/>
              <w:right w:val="single" w:sz="4" w:space="0" w:color="auto"/>
            </w:tcBorders>
            <w:shd w:val="clear" w:color="auto" w:fill="auto"/>
            <w:noWrap/>
            <w:vAlign w:val="bottom"/>
            <w:hideMark/>
          </w:tcPr>
          <w:p w14:paraId="07409E3B"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1650</w:t>
            </w:r>
          </w:p>
        </w:tc>
        <w:tc>
          <w:tcPr>
            <w:tcW w:w="620" w:type="dxa"/>
            <w:tcBorders>
              <w:top w:val="nil"/>
              <w:left w:val="nil"/>
              <w:bottom w:val="single" w:sz="4" w:space="0" w:color="auto"/>
              <w:right w:val="single" w:sz="4" w:space="0" w:color="auto"/>
            </w:tcBorders>
            <w:shd w:val="clear" w:color="auto" w:fill="auto"/>
            <w:noWrap/>
            <w:vAlign w:val="bottom"/>
            <w:hideMark/>
          </w:tcPr>
          <w:p w14:paraId="550303DD"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1800</w:t>
            </w:r>
          </w:p>
        </w:tc>
        <w:tc>
          <w:tcPr>
            <w:tcW w:w="620" w:type="dxa"/>
            <w:tcBorders>
              <w:top w:val="nil"/>
              <w:left w:val="nil"/>
              <w:bottom w:val="single" w:sz="4" w:space="0" w:color="auto"/>
              <w:right w:val="single" w:sz="4" w:space="0" w:color="auto"/>
            </w:tcBorders>
            <w:shd w:val="clear" w:color="auto" w:fill="auto"/>
            <w:noWrap/>
            <w:vAlign w:val="bottom"/>
            <w:hideMark/>
          </w:tcPr>
          <w:p w14:paraId="6FB82B98"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2000</w:t>
            </w:r>
          </w:p>
        </w:tc>
        <w:tc>
          <w:tcPr>
            <w:tcW w:w="620" w:type="dxa"/>
            <w:tcBorders>
              <w:top w:val="nil"/>
              <w:left w:val="nil"/>
              <w:bottom w:val="single" w:sz="4" w:space="0" w:color="auto"/>
              <w:right w:val="single" w:sz="4" w:space="0" w:color="auto"/>
            </w:tcBorders>
            <w:shd w:val="clear" w:color="auto" w:fill="auto"/>
            <w:noWrap/>
            <w:vAlign w:val="bottom"/>
            <w:hideMark/>
          </w:tcPr>
          <w:p w14:paraId="076D5F28"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2300</w:t>
            </w:r>
          </w:p>
        </w:tc>
        <w:tc>
          <w:tcPr>
            <w:tcW w:w="620" w:type="dxa"/>
            <w:tcBorders>
              <w:top w:val="nil"/>
              <w:left w:val="nil"/>
              <w:bottom w:val="single" w:sz="4" w:space="0" w:color="auto"/>
              <w:right w:val="single" w:sz="4" w:space="0" w:color="auto"/>
            </w:tcBorders>
            <w:shd w:val="clear" w:color="auto" w:fill="auto"/>
            <w:noWrap/>
            <w:vAlign w:val="bottom"/>
            <w:hideMark/>
          </w:tcPr>
          <w:p w14:paraId="09E83B9B"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2900</w:t>
            </w:r>
          </w:p>
        </w:tc>
        <w:tc>
          <w:tcPr>
            <w:tcW w:w="687" w:type="dxa"/>
            <w:tcBorders>
              <w:top w:val="nil"/>
              <w:left w:val="nil"/>
              <w:bottom w:val="single" w:sz="4" w:space="0" w:color="auto"/>
              <w:right w:val="double" w:sz="6" w:space="0" w:color="auto"/>
            </w:tcBorders>
            <w:shd w:val="clear" w:color="auto" w:fill="auto"/>
            <w:noWrap/>
            <w:vAlign w:val="bottom"/>
            <w:hideMark/>
          </w:tcPr>
          <w:p w14:paraId="2D435405"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3000</w:t>
            </w:r>
          </w:p>
        </w:tc>
      </w:tr>
      <w:tr w:rsidR="00A16DDB" w:rsidRPr="00EF44D6" w14:paraId="45327030" w14:textId="77777777" w:rsidTr="00EF44D6">
        <w:trPr>
          <w:trHeight w:val="288"/>
        </w:trPr>
        <w:tc>
          <w:tcPr>
            <w:tcW w:w="2605" w:type="dxa"/>
            <w:tcBorders>
              <w:top w:val="nil"/>
              <w:left w:val="double" w:sz="6" w:space="0" w:color="auto"/>
              <w:bottom w:val="single" w:sz="4" w:space="0" w:color="auto"/>
              <w:right w:val="single" w:sz="4" w:space="0" w:color="auto"/>
            </w:tcBorders>
            <w:shd w:val="clear" w:color="auto" w:fill="auto"/>
            <w:noWrap/>
            <w:vAlign w:val="bottom"/>
            <w:hideMark/>
          </w:tcPr>
          <w:p w14:paraId="5C01667B" w14:textId="77777777" w:rsidR="00A16DDB" w:rsidRPr="00EF44D6" w:rsidRDefault="00A16DDB" w:rsidP="007A627A">
            <w:pPr>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produkce sýrů (tuny)</w:t>
            </w:r>
          </w:p>
        </w:tc>
        <w:tc>
          <w:tcPr>
            <w:tcW w:w="620" w:type="dxa"/>
            <w:tcBorders>
              <w:top w:val="nil"/>
              <w:left w:val="nil"/>
              <w:bottom w:val="single" w:sz="4" w:space="0" w:color="auto"/>
              <w:right w:val="single" w:sz="4" w:space="0" w:color="auto"/>
            </w:tcBorders>
            <w:shd w:val="clear" w:color="auto" w:fill="auto"/>
            <w:noWrap/>
            <w:vAlign w:val="bottom"/>
            <w:hideMark/>
          </w:tcPr>
          <w:p w14:paraId="3CC56BCE"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150</w:t>
            </w:r>
          </w:p>
        </w:tc>
        <w:tc>
          <w:tcPr>
            <w:tcW w:w="620" w:type="dxa"/>
            <w:tcBorders>
              <w:top w:val="nil"/>
              <w:left w:val="nil"/>
              <w:bottom w:val="single" w:sz="4" w:space="0" w:color="auto"/>
              <w:right w:val="single" w:sz="4" w:space="0" w:color="auto"/>
            </w:tcBorders>
            <w:shd w:val="clear" w:color="auto" w:fill="auto"/>
            <w:noWrap/>
            <w:vAlign w:val="bottom"/>
            <w:hideMark/>
          </w:tcPr>
          <w:p w14:paraId="7CC57F9F"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160</w:t>
            </w:r>
          </w:p>
        </w:tc>
        <w:tc>
          <w:tcPr>
            <w:tcW w:w="620" w:type="dxa"/>
            <w:tcBorders>
              <w:top w:val="nil"/>
              <w:left w:val="nil"/>
              <w:bottom w:val="single" w:sz="4" w:space="0" w:color="auto"/>
              <w:right w:val="single" w:sz="4" w:space="0" w:color="auto"/>
            </w:tcBorders>
            <w:shd w:val="clear" w:color="auto" w:fill="auto"/>
            <w:noWrap/>
            <w:vAlign w:val="bottom"/>
            <w:hideMark/>
          </w:tcPr>
          <w:p w14:paraId="3FBDE309"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165</w:t>
            </w:r>
          </w:p>
        </w:tc>
        <w:tc>
          <w:tcPr>
            <w:tcW w:w="620" w:type="dxa"/>
            <w:tcBorders>
              <w:top w:val="nil"/>
              <w:left w:val="nil"/>
              <w:bottom w:val="single" w:sz="4" w:space="0" w:color="auto"/>
              <w:right w:val="single" w:sz="4" w:space="0" w:color="auto"/>
            </w:tcBorders>
            <w:shd w:val="clear" w:color="auto" w:fill="auto"/>
            <w:noWrap/>
            <w:vAlign w:val="bottom"/>
            <w:hideMark/>
          </w:tcPr>
          <w:p w14:paraId="72BB95E0"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180</w:t>
            </w:r>
          </w:p>
        </w:tc>
        <w:tc>
          <w:tcPr>
            <w:tcW w:w="620" w:type="dxa"/>
            <w:tcBorders>
              <w:top w:val="nil"/>
              <w:left w:val="nil"/>
              <w:bottom w:val="single" w:sz="4" w:space="0" w:color="auto"/>
              <w:right w:val="single" w:sz="4" w:space="0" w:color="auto"/>
            </w:tcBorders>
            <w:shd w:val="clear" w:color="auto" w:fill="auto"/>
            <w:noWrap/>
            <w:vAlign w:val="bottom"/>
            <w:hideMark/>
          </w:tcPr>
          <w:p w14:paraId="2171A8C4"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200</w:t>
            </w:r>
          </w:p>
        </w:tc>
        <w:tc>
          <w:tcPr>
            <w:tcW w:w="620" w:type="dxa"/>
            <w:tcBorders>
              <w:top w:val="nil"/>
              <w:left w:val="nil"/>
              <w:bottom w:val="single" w:sz="4" w:space="0" w:color="auto"/>
              <w:right w:val="single" w:sz="4" w:space="0" w:color="auto"/>
            </w:tcBorders>
            <w:shd w:val="clear" w:color="auto" w:fill="auto"/>
            <w:noWrap/>
            <w:vAlign w:val="bottom"/>
            <w:hideMark/>
          </w:tcPr>
          <w:p w14:paraId="20641A62"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230</w:t>
            </w:r>
          </w:p>
        </w:tc>
        <w:tc>
          <w:tcPr>
            <w:tcW w:w="620" w:type="dxa"/>
            <w:tcBorders>
              <w:top w:val="nil"/>
              <w:left w:val="nil"/>
              <w:bottom w:val="single" w:sz="4" w:space="0" w:color="auto"/>
              <w:right w:val="single" w:sz="4" w:space="0" w:color="auto"/>
            </w:tcBorders>
            <w:shd w:val="clear" w:color="auto" w:fill="auto"/>
            <w:noWrap/>
            <w:vAlign w:val="bottom"/>
            <w:hideMark/>
          </w:tcPr>
          <w:p w14:paraId="3B54D767"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290</w:t>
            </w:r>
          </w:p>
        </w:tc>
        <w:tc>
          <w:tcPr>
            <w:tcW w:w="687" w:type="dxa"/>
            <w:tcBorders>
              <w:top w:val="nil"/>
              <w:left w:val="nil"/>
              <w:bottom w:val="single" w:sz="4" w:space="0" w:color="auto"/>
              <w:right w:val="double" w:sz="6" w:space="0" w:color="auto"/>
            </w:tcBorders>
            <w:shd w:val="clear" w:color="auto" w:fill="auto"/>
            <w:noWrap/>
            <w:vAlign w:val="bottom"/>
            <w:hideMark/>
          </w:tcPr>
          <w:p w14:paraId="40D84DEE"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300</w:t>
            </w:r>
          </w:p>
        </w:tc>
      </w:tr>
      <w:tr w:rsidR="00A16DDB" w:rsidRPr="00EF44D6" w14:paraId="5687C5B6" w14:textId="77777777" w:rsidTr="00EF44D6">
        <w:trPr>
          <w:trHeight w:val="300"/>
        </w:trPr>
        <w:tc>
          <w:tcPr>
            <w:tcW w:w="2605" w:type="dxa"/>
            <w:tcBorders>
              <w:top w:val="nil"/>
              <w:left w:val="double" w:sz="6" w:space="0" w:color="auto"/>
              <w:bottom w:val="double" w:sz="6" w:space="0" w:color="auto"/>
              <w:right w:val="single" w:sz="4" w:space="0" w:color="auto"/>
            </w:tcBorders>
            <w:shd w:val="clear" w:color="auto" w:fill="auto"/>
            <w:noWrap/>
            <w:vAlign w:val="bottom"/>
            <w:hideMark/>
          </w:tcPr>
          <w:p w14:paraId="3B06BB47" w14:textId="77777777" w:rsidR="00A16DDB" w:rsidRPr="00EF44D6" w:rsidRDefault="00A16DDB" w:rsidP="007A627A">
            <w:pPr>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cena čerstvého sýra (Kč/kg)</w:t>
            </w:r>
          </w:p>
        </w:tc>
        <w:tc>
          <w:tcPr>
            <w:tcW w:w="620" w:type="dxa"/>
            <w:tcBorders>
              <w:top w:val="nil"/>
              <w:left w:val="nil"/>
              <w:bottom w:val="double" w:sz="6" w:space="0" w:color="auto"/>
              <w:right w:val="single" w:sz="4" w:space="0" w:color="auto"/>
            </w:tcBorders>
            <w:shd w:val="clear" w:color="auto" w:fill="auto"/>
            <w:noWrap/>
            <w:vAlign w:val="bottom"/>
            <w:hideMark/>
          </w:tcPr>
          <w:p w14:paraId="0C4B6478"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260</w:t>
            </w:r>
          </w:p>
        </w:tc>
        <w:tc>
          <w:tcPr>
            <w:tcW w:w="620" w:type="dxa"/>
            <w:tcBorders>
              <w:top w:val="nil"/>
              <w:left w:val="nil"/>
              <w:bottom w:val="double" w:sz="6" w:space="0" w:color="auto"/>
              <w:right w:val="single" w:sz="4" w:space="0" w:color="auto"/>
            </w:tcBorders>
            <w:shd w:val="clear" w:color="auto" w:fill="auto"/>
            <w:noWrap/>
            <w:vAlign w:val="bottom"/>
            <w:hideMark/>
          </w:tcPr>
          <w:p w14:paraId="435A029F"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270</w:t>
            </w:r>
          </w:p>
        </w:tc>
        <w:tc>
          <w:tcPr>
            <w:tcW w:w="620" w:type="dxa"/>
            <w:tcBorders>
              <w:top w:val="nil"/>
              <w:left w:val="nil"/>
              <w:bottom w:val="double" w:sz="6" w:space="0" w:color="auto"/>
              <w:right w:val="single" w:sz="4" w:space="0" w:color="auto"/>
            </w:tcBorders>
            <w:shd w:val="clear" w:color="auto" w:fill="auto"/>
            <w:noWrap/>
            <w:vAlign w:val="bottom"/>
            <w:hideMark/>
          </w:tcPr>
          <w:p w14:paraId="6F235BFC"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275</w:t>
            </w:r>
          </w:p>
        </w:tc>
        <w:tc>
          <w:tcPr>
            <w:tcW w:w="620" w:type="dxa"/>
            <w:tcBorders>
              <w:top w:val="nil"/>
              <w:left w:val="nil"/>
              <w:bottom w:val="double" w:sz="6" w:space="0" w:color="auto"/>
              <w:right w:val="single" w:sz="4" w:space="0" w:color="auto"/>
            </w:tcBorders>
            <w:shd w:val="clear" w:color="auto" w:fill="auto"/>
            <w:noWrap/>
            <w:vAlign w:val="bottom"/>
            <w:hideMark/>
          </w:tcPr>
          <w:p w14:paraId="3A8CC4AA"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280</w:t>
            </w:r>
          </w:p>
        </w:tc>
        <w:tc>
          <w:tcPr>
            <w:tcW w:w="620" w:type="dxa"/>
            <w:tcBorders>
              <w:top w:val="nil"/>
              <w:left w:val="nil"/>
              <w:bottom w:val="double" w:sz="6" w:space="0" w:color="auto"/>
              <w:right w:val="single" w:sz="4" w:space="0" w:color="auto"/>
            </w:tcBorders>
            <w:shd w:val="clear" w:color="auto" w:fill="auto"/>
            <w:noWrap/>
            <w:vAlign w:val="bottom"/>
            <w:hideMark/>
          </w:tcPr>
          <w:p w14:paraId="456179CF"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290</w:t>
            </w:r>
          </w:p>
        </w:tc>
        <w:tc>
          <w:tcPr>
            <w:tcW w:w="620" w:type="dxa"/>
            <w:tcBorders>
              <w:top w:val="nil"/>
              <w:left w:val="nil"/>
              <w:bottom w:val="double" w:sz="6" w:space="0" w:color="auto"/>
              <w:right w:val="single" w:sz="4" w:space="0" w:color="auto"/>
            </w:tcBorders>
            <w:shd w:val="clear" w:color="auto" w:fill="auto"/>
            <w:noWrap/>
            <w:vAlign w:val="bottom"/>
            <w:hideMark/>
          </w:tcPr>
          <w:p w14:paraId="478AE20D"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300</w:t>
            </w:r>
          </w:p>
        </w:tc>
        <w:tc>
          <w:tcPr>
            <w:tcW w:w="620" w:type="dxa"/>
            <w:tcBorders>
              <w:top w:val="nil"/>
              <w:left w:val="nil"/>
              <w:bottom w:val="double" w:sz="6" w:space="0" w:color="auto"/>
              <w:right w:val="single" w:sz="4" w:space="0" w:color="auto"/>
            </w:tcBorders>
            <w:shd w:val="clear" w:color="auto" w:fill="auto"/>
            <w:noWrap/>
            <w:vAlign w:val="bottom"/>
            <w:hideMark/>
          </w:tcPr>
          <w:p w14:paraId="360EDD1F"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300</w:t>
            </w:r>
          </w:p>
        </w:tc>
        <w:tc>
          <w:tcPr>
            <w:tcW w:w="687" w:type="dxa"/>
            <w:tcBorders>
              <w:top w:val="nil"/>
              <w:left w:val="nil"/>
              <w:bottom w:val="double" w:sz="6" w:space="0" w:color="auto"/>
              <w:right w:val="double" w:sz="6" w:space="0" w:color="auto"/>
            </w:tcBorders>
            <w:shd w:val="clear" w:color="auto" w:fill="auto"/>
            <w:noWrap/>
            <w:vAlign w:val="bottom"/>
            <w:hideMark/>
          </w:tcPr>
          <w:p w14:paraId="7345C447"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300</w:t>
            </w:r>
          </w:p>
        </w:tc>
      </w:tr>
    </w:tbl>
    <w:p w14:paraId="31B8C2F1" w14:textId="77777777" w:rsidR="00A16DDB" w:rsidRPr="00D95127" w:rsidRDefault="00A16DDB" w:rsidP="00A16DDB">
      <w:pPr>
        <w:rPr>
          <w:rFonts w:cs="Times New Roman"/>
          <w:szCs w:val="24"/>
          <w:lang w:val="cs-CZ"/>
        </w:rPr>
      </w:pPr>
    </w:p>
    <w:p w14:paraId="181B59A4" w14:textId="419FFC4A" w:rsidR="00A16DDB" w:rsidRPr="00D95127" w:rsidRDefault="00A16DDB" w:rsidP="00EF44D6">
      <w:pPr>
        <w:pStyle w:val="UZEITaB"/>
      </w:pPr>
      <w:bookmarkStart w:id="1190" w:name="_Toc81738553"/>
      <w:r w:rsidRPr="00D95127">
        <w:t>Produkce ovčího mléka a sýrů</w:t>
      </w:r>
      <w:bookmarkEnd w:id="1190"/>
    </w:p>
    <w:tbl>
      <w:tblPr>
        <w:tblW w:w="7640" w:type="dxa"/>
        <w:tblCellMar>
          <w:left w:w="70" w:type="dxa"/>
          <w:right w:w="70" w:type="dxa"/>
        </w:tblCellMar>
        <w:tblLook w:val="04A0" w:firstRow="1" w:lastRow="0" w:firstColumn="1" w:lastColumn="0" w:noHBand="0" w:noVBand="1"/>
      </w:tblPr>
      <w:tblGrid>
        <w:gridCol w:w="2800"/>
        <w:gridCol w:w="605"/>
        <w:gridCol w:w="605"/>
        <w:gridCol w:w="605"/>
        <w:gridCol w:w="605"/>
        <w:gridCol w:w="605"/>
        <w:gridCol w:w="605"/>
        <w:gridCol w:w="605"/>
        <w:gridCol w:w="605"/>
      </w:tblGrid>
      <w:tr w:rsidR="00A16DDB" w:rsidRPr="00EF44D6" w14:paraId="14C3FA35" w14:textId="77777777" w:rsidTr="00EF44D6">
        <w:trPr>
          <w:trHeight w:val="302"/>
        </w:trPr>
        <w:tc>
          <w:tcPr>
            <w:tcW w:w="2800" w:type="dxa"/>
            <w:tcBorders>
              <w:top w:val="double" w:sz="6" w:space="0" w:color="auto"/>
              <w:left w:val="double" w:sz="6" w:space="0" w:color="auto"/>
              <w:bottom w:val="single" w:sz="4" w:space="0" w:color="auto"/>
              <w:right w:val="single" w:sz="4" w:space="0" w:color="auto"/>
            </w:tcBorders>
            <w:shd w:val="clear" w:color="auto" w:fill="auto"/>
            <w:noWrap/>
            <w:vAlign w:val="bottom"/>
            <w:hideMark/>
          </w:tcPr>
          <w:p w14:paraId="6C4AA3FE" w14:textId="77777777" w:rsidR="00A16DDB" w:rsidRPr="00EF44D6" w:rsidRDefault="00A16DDB" w:rsidP="007A627A">
            <w:pPr>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Ukazatel</w:t>
            </w:r>
          </w:p>
        </w:tc>
        <w:tc>
          <w:tcPr>
            <w:tcW w:w="605" w:type="dxa"/>
            <w:tcBorders>
              <w:top w:val="double" w:sz="6" w:space="0" w:color="auto"/>
              <w:left w:val="nil"/>
              <w:bottom w:val="single" w:sz="4" w:space="0" w:color="auto"/>
              <w:right w:val="single" w:sz="4" w:space="0" w:color="auto"/>
            </w:tcBorders>
            <w:shd w:val="clear" w:color="auto" w:fill="auto"/>
            <w:noWrap/>
            <w:vAlign w:val="bottom"/>
            <w:hideMark/>
          </w:tcPr>
          <w:p w14:paraId="0682490E"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2011</w:t>
            </w:r>
          </w:p>
        </w:tc>
        <w:tc>
          <w:tcPr>
            <w:tcW w:w="605" w:type="dxa"/>
            <w:tcBorders>
              <w:top w:val="double" w:sz="6" w:space="0" w:color="auto"/>
              <w:left w:val="nil"/>
              <w:bottom w:val="single" w:sz="4" w:space="0" w:color="auto"/>
              <w:right w:val="single" w:sz="4" w:space="0" w:color="auto"/>
            </w:tcBorders>
            <w:shd w:val="clear" w:color="auto" w:fill="auto"/>
            <w:noWrap/>
            <w:vAlign w:val="bottom"/>
            <w:hideMark/>
          </w:tcPr>
          <w:p w14:paraId="4F394247"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2012</w:t>
            </w:r>
          </w:p>
        </w:tc>
        <w:tc>
          <w:tcPr>
            <w:tcW w:w="605" w:type="dxa"/>
            <w:tcBorders>
              <w:top w:val="double" w:sz="6" w:space="0" w:color="auto"/>
              <w:left w:val="nil"/>
              <w:bottom w:val="single" w:sz="4" w:space="0" w:color="auto"/>
              <w:right w:val="single" w:sz="4" w:space="0" w:color="auto"/>
            </w:tcBorders>
            <w:shd w:val="clear" w:color="auto" w:fill="auto"/>
            <w:noWrap/>
            <w:vAlign w:val="bottom"/>
            <w:hideMark/>
          </w:tcPr>
          <w:p w14:paraId="62B06D5D"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2013</w:t>
            </w:r>
          </w:p>
        </w:tc>
        <w:tc>
          <w:tcPr>
            <w:tcW w:w="605" w:type="dxa"/>
            <w:tcBorders>
              <w:top w:val="double" w:sz="6" w:space="0" w:color="auto"/>
              <w:left w:val="nil"/>
              <w:bottom w:val="single" w:sz="4" w:space="0" w:color="auto"/>
              <w:right w:val="single" w:sz="4" w:space="0" w:color="auto"/>
            </w:tcBorders>
            <w:shd w:val="clear" w:color="auto" w:fill="auto"/>
            <w:noWrap/>
            <w:vAlign w:val="bottom"/>
            <w:hideMark/>
          </w:tcPr>
          <w:p w14:paraId="2560853E"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2014</w:t>
            </w:r>
          </w:p>
        </w:tc>
        <w:tc>
          <w:tcPr>
            <w:tcW w:w="605" w:type="dxa"/>
            <w:tcBorders>
              <w:top w:val="double" w:sz="6" w:space="0" w:color="auto"/>
              <w:left w:val="nil"/>
              <w:bottom w:val="single" w:sz="4" w:space="0" w:color="auto"/>
              <w:right w:val="single" w:sz="4" w:space="0" w:color="auto"/>
            </w:tcBorders>
            <w:shd w:val="clear" w:color="auto" w:fill="auto"/>
            <w:noWrap/>
            <w:vAlign w:val="bottom"/>
            <w:hideMark/>
          </w:tcPr>
          <w:p w14:paraId="02E46A0D"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2015</w:t>
            </w:r>
          </w:p>
        </w:tc>
        <w:tc>
          <w:tcPr>
            <w:tcW w:w="605" w:type="dxa"/>
            <w:tcBorders>
              <w:top w:val="double" w:sz="6" w:space="0" w:color="auto"/>
              <w:left w:val="nil"/>
              <w:bottom w:val="single" w:sz="4" w:space="0" w:color="auto"/>
              <w:right w:val="single" w:sz="4" w:space="0" w:color="auto"/>
            </w:tcBorders>
            <w:shd w:val="clear" w:color="auto" w:fill="auto"/>
            <w:noWrap/>
            <w:vAlign w:val="bottom"/>
            <w:hideMark/>
          </w:tcPr>
          <w:p w14:paraId="0FC535FD"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2016</w:t>
            </w:r>
          </w:p>
        </w:tc>
        <w:tc>
          <w:tcPr>
            <w:tcW w:w="605" w:type="dxa"/>
            <w:tcBorders>
              <w:top w:val="double" w:sz="6" w:space="0" w:color="auto"/>
              <w:left w:val="nil"/>
              <w:bottom w:val="single" w:sz="4" w:space="0" w:color="auto"/>
              <w:right w:val="single" w:sz="4" w:space="0" w:color="auto"/>
            </w:tcBorders>
            <w:shd w:val="clear" w:color="auto" w:fill="auto"/>
            <w:noWrap/>
            <w:vAlign w:val="bottom"/>
            <w:hideMark/>
          </w:tcPr>
          <w:p w14:paraId="1BB4E668"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2017</w:t>
            </w:r>
          </w:p>
        </w:tc>
        <w:tc>
          <w:tcPr>
            <w:tcW w:w="605" w:type="dxa"/>
            <w:tcBorders>
              <w:top w:val="double" w:sz="6" w:space="0" w:color="auto"/>
              <w:left w:val="nil"/>
              <w:bottom w:val="single" w:sz="4" w:space="0" w:color="auto"/>
              <w:right w:val="double" w:sz="6" w:space="0" w:color="auto"/>
            </w:tcBorders>
            <w:shd w:val="clear" w:color="auto" w:fill="auto"/>
            <w:noWrap/>
            <w:vAlign w:val="bottom"/>
            <w:hideMark/>
          </w:tcPr>
          <w:p w14:paraId="05F7F6CE"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2018</w:t>
            </w:r>
          </w:p>
        </w:tc>
      </w:tr>
      <w:tr w:rsidR="00A16DDB" w:rsidRPr="00EF44D6" w14:paraId="65A96A8D" w14:textId="77777777" w:rsidTr="00EF44D6">
        <w:trPr>
          <w:trHeight w:val="290"/>
        </w:trPr>
        <w:tc>
          <w:tcPr>
            <w:tcW w:w="2800" w:type="dxa"/>
            <w:tcBorders>
              <w:top w:val="nil"/>
              <w:left w:val="double" w:sz="6" w:space="0" w:color="auto"/>
              <w:bottom w:val="single" w:sz="4" w:space="0" w:color="auto"/>
              <w:right w:val="single" w:sz="4" w:space="0" w:color="auto"/>
            </w:tcBorders>
            <w:shd w:val="clear" w:color="auto" w:fill="auto"/>
            <w:noWrap/>
            <w:vAlign w:val="bottom"/>
            <w:hideMark/>
          </w:tcPr>
          <w:p w14:paraId="3D626DAA" w14:textId="77777777" w:rsidR="00A16DDB" w:rsidRPr="00EF44D6" w:rsidRDefault="00A16DDB" w:rsidP="007A627A">
            <w:pPr>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počty dojených ovcí ve stádech</w:t>
            </w:r>
          </w:p>
        </w:tc>
        <w:tc>
          <w:tcPr>
            <w:tcW w:w="605" w:type="dxa"/>
            <w:tcBorders>
              <w:top w:val="nil"/>
              <w:left w:val="nil"/>
              <w:bottom w:val="single" w:sz="4" w:space="0" w:color="auto"/>
              <w:right w:val="single" w:sz="4" w:space="0" w:color="auto"/>
            </w:tcBorders>
            <w:shd w:val="clear" w:color="auto" w:fill="auto"/>
            <w:noWrap/>
            <w:vAlign w:val="bottom"/>
            <w:hideMark/>
          </w:tcPr>
          <w:p w14:paraId="0415E542"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870</w:t>
            </w:r>
          </w:p>
        </w:tc>
        <w:tc>
          <w:tcPr>
            <w:tcW w:w="605" w:type="dxa"/>
            <w:tcBorders>
              <w:top w:val="nil"/>
              <w:left w:val="nil"/>
              <w:bottom w:val="single" w:sz="4" w:space="0" w:color="auto"/>
              <w:right w:val="single" w:sz="4" w:space="0" w:color="auto"/>
            </w:tcBorders>
            <w:shd w:val="clear" w:color="auto" w:fill="auto"/>
            <w:noWrap/>
            <w:vAlign w:val="bottom"/>
            <w:hideMark/>
          </w:tcPr>
          <w:p w14:paraId="5708C7ED"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988</w:t>
            </w:r>
          </w:p>
        </w:tc>
        <w:tc>
          <w:tcPr>
            <w:tcW w:w="605" w:type="dxa"/>
            <w:tcBorders>
              <w:top w:val="nil"/>
              <w:left w:val="nil"/>
              <w:bottom w:val="single" w:sz="4" w:space="0" w:color="auto"/>
              <w:right w:val="single" w:sz="4" w:space="0" w:color="auto"/>
            </w:tcBorders>
            <w:shd w:val="clear" w:color="auto" w:fill="auto"/>
            <w:noWrap/>
            <w:vAlign w:val="bottom"/>
            <w:hideMark/>
          </w:tcPr>
          <w:p w14:paraId="06EABCB9"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1367</w:t>
            </w:r>
          </w:p>
        </w:tc>
        <w:tc>
          <w:tcPr>
            <w:tcW w:w="605" w:type="dxa"/>
            <w:tcBorders>
              <w:top w:val="nil"/>
              <w:left w:val="nil"/>
              <w:bottom w:val="single" w:sz="4" w:space="0" w:color="auto"/>
              <w:right w:val="single" w:sz="4" w:space="0" w:color="auto"/>
            </w:tcBorders>
            <w:shd w:val="clear" w:color="auto" w:fill="auto"/>
            <w:noWrap/>
            <w:vAlign w:val="bottom"/>
            <w:hideMark/>
          </w:tcPr>
          <w:p w14:paraId="7656AEB7"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1563</w:t>
            </w:r>
          </w:p>
        </w:tc>
        <w:tc>
          <w:tcPr>
            <w:tcW w:w="605" w:type="dxa"/>
            <w:tcBorders>
              <w:top w:val="nil"/>
              <w:left w:val="nil"/>
              <w:bottom w:val="single" w:sz="4" w:space="0" w:color="auto"/>
              <w:right w:val="single" w:sz="4" w:space="0" w:color="auto"/>
            </w:tcBorders>
            <w:shd w:val="clear" w:color="auto" w:fill="auto"/>
            <w:noWrap/>
            <w:vAlign w:val="bottom"/>
            <w:hideMark/>
          </w:tcPr>
          <w:p w14:paraId="76799472"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1570</w:t>
            </w:r>
          </w:p>
        </w:tc>
        <w:tc>
          <w:tcPr>
            <w:tcW w:w="605" w:type="dxa"/>
            <w:tcBorders>
              <w:top w:val="nil"/>
              <w:left w:val="nil"/>
              <w:bottom w:val="single" w:sz="4" w:space="0" w:color="auto"/>
              <w:right w:val="single" w:sz="4" w:space="0" w:color="auto"/>
            </w:tcBorders>
            <w:shd w:val="clear" w:color="auto" w:fill="auto"/>
            <w:noWrap/>
            <w:vAlign w:val="bottom"/>
            <w:hideMark/>
          </w:tcPr>
          <w:p w14:paraId="3140BDE5"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1597</w:t>
            </w:r>
          </w:p>
        </w:tc>
        <w:tc>
          <w:tcPr>
            <w:tcW w:w="605" w:type="dxa"/>
            <w:tcBorders>
              <w:top w:val="nil"/>
              <w:left w:val="nil"/>
              <w:bottom w:val="single" w:sz="4" w:space="0" w:color="auto"/>
              <w:right w:val="single" w:sz="4" w:space="0" w:color="auto"/>
            </w:tcBorders>
            <w:shd w:val="clear" w:color="auto" w:fill="auto"/>
            <w:noWrap/>
            <w:vAlign w:val="bottom"/>
            <w:hideMark/>
          </w:tcPr>
          <w:p w14:paraId="1BC1C400"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1517</w:t>
            </w:r>
          </w:p>
        </w:tc>
        <w:tc>
          <w:tcPr>
            <w:tcW w:w="605" w:type="dxa"/>
            <w:tcBorders>
              <w:top w:val="nil"/>
              <w:left w:val="nil"/>
              <w:bottom w:val="single" w:sz="4" w:space="0" w:color="auto"/>
              <w:right w:val="double" w:sz="6" w:space="0" w:color="auto"/>
            </w:tcBorders>
            <w:shd w:val="clear" w:color="auto" w:fill="auto"/>
            <w:noWrap/>
            <w:vAlign w:val="bottom"/>
            <w:hideMark/>
          </w:tcPr>
          <w:p w14:paraId="7388E440"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1700</w:t>
            </w:r>
          </w:p>
        </w:tc>
      </w:tr>
      <w:tr w:rsidR="00A16DDB" w:rsidRPr="00EF44D6" w14:paraId="73F75968" w14:textId="77777777" w:rsidTr="00EF44D6">
        <w:trPr>
          <w:trHeight w:val="290"/>
        </w:trPr>
        <w:tc>
          <w:tcPr>
            <w:tcW w:w="2800" w:type="dxa"/>
            <w:tcBorders>
              <w:top w:val="nil"/>
              <w:left w:val="double" w:sz="6" w:space="0" w:color="auto"/>
              <w:bottom w:val="single" w:sz="4" w:space="0" w:color="auto"/>
              <w:right w:val="single" w:sz="4" w:space="0" w:color="auto"/>
            </w:tcBorders>
            <w:shd w:val="clear" w:color="auto" w:fill="auto"/>
            <w:noWrap/>
            <w:vAlign w:val="bottom"/>
            <w:hideMark/>
          </w:tcPr>
          <w:p w14:paraId="2F699471" w14:textId="77777777" w:rsidR="00A16DDB" w:rsidRPr="00EF44D6" w:rsidRDefault="00A16DDB" w:rsidP="007A627A">
            <w:pPr>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produkce mléka (tis. l)</w:t>
            </w:r>
          </w:p>
        </w:tc>
        <w:tc>
          <w:tcPr>
            <w:tcW w:w="605" w:type="dxa"/>
            <w:tcBorders>
              <w:top w:val="nil"/>
              <w:left w:val="nil"/>
              <w:bottom w:val="single" w:sz="4" w:space="0" w:color="auto"/>
              <w:right w:val="single" w:sz="4" w:space="0" w:color="auto"/>
            </w:tcBorders>
            <w:shd w:val="clear" w:color="auto" w:fill="auto"/>
            <w:noWrap/>
            <w:vAlign w:val="bottom"/>
            <w:hideMark/>
          </w:tcPr>
          <w:p w14:paraId="00707824"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164</w:t>
            </w:r>
          </w:p>
        </w:tc>
        <w:tc>
          <w:tcPr>
            <w:tcW w:w="605" w:type="dxa"/>
            <w:tcBorders>
              <w:top w:val="nil"/>
              <w:left w:val="nil"/>
              <w:bottom w:val="single" w:sz="4" w:space="0" w:color="auto"/>
              <w:right w:val="single" w:sz="4" w:space="0" w:color="auto"/>
            </w:tcBorders>
            <w:shd w:val="clear" w:color="auto" w:fill="auto"/>
            <w:noWrap/>
            <w:vAlign w:val="bottom"/>
            <w:hideMark/>
          </w:tcPr>
          <w:p w14:paraId="75BD9C52"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225</w:t>
            </w:r>
          </w:p>
        </w:tc>
        <w:tc>
          <w:tcPr>
            <w:tcW w:w="605" w:type="dxa"/>
            <w:tcBorders>
              <w:top w:val="nil"/>
              <w:left w:val="nil"/>
              <w:bottom w:val="single" w:sz="4" w:space="0" w:color="auto"/>
              <w:right w:val="single" w:sz="4" w:space="0" w:color="auto"/>
            </w:tcBorders>
            <w:shd w:val="clear" w:color="auto" w:fill="auto"/>
            <w:noWrap/>
            <w:vAlign w:val="bottom"/>
            <w:hideMark/>
          </w:tcPr>
          <w:p w14:paraId="0622EC2E"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300</w:t>
            </w:r>
          </w:p>
        </w:tc>
        <w:tc>
          <w:tcPr>
            <w:tcW w:w="605" w:type="dxa"/>
            <w:tcBorders>
              <w:top w:val="nil"/>
              <w:left w:val="nil"/>
              <w:bottom w:val="single" w:sz="4" w:space="0" w:color="auto"/>
              <w:right w:val="single" w:sz="4" w:space="0" w:color="auto"/>
            </w:tcBorders>
            <w:shd w:val="clear" w:color="auto" w:fill="auto"/>
            <w:noWrap/>
            <w:vAlign w:val="bottom"/>
            <w:hideMark/>
          </w:tcPr>
          <w:p w14:paraId="04CB5F6E"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400</w:t>
            </w:r>
          </w:p>
        </w:tc>
        <w:tc>
          <w:tcPr>
            <w:tcW w:w="605" w:type="dxa"/>
            <w:tcBorders>
              <w:top w:val="nil"/>
              <w:left w:val="nil"/>
              <w:bottom w:val="single" w:sz="4" w:space="0" w:color="auto"/>
              <w:right w:val="single" w:sz="4" w:space="0" w:color="auto"/>
            </w:tcBorders>
            <w:shd w:val="clear" w:color="auto" w:fill="auto"/>
            <w:noWrap/>
            <w:vAlign w:val="bottom"/>
            <w:hideMark/>
          </w:tcPr>
          <w:p w14:paraId="0918B3B7"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435</w:t>
            </w:r>
          </w:p>
        </w:tc>
        <w:tc>
          <w:tcPr>
            <w:tcW w:w="605" w:type="dxa"/>
            <w:tcBorders>
              <w:top w:val="nil"/>
              <w:left w:val="nil"/>
              <w:bottom w:val="single" w:sz="4" w:space="0" w:color="auto"/>
              <w:right w:val="single" w:sz="4" w:space="0" w:color="auto"/>
            </w:tcBorders>
            <w:shd w:val="clear" w:color="auto" w:fill="auto"/>
            <w:noWrap/>
            <w:vAlign w:val="bottom"/>
            <w:hideMark/>
          </w:tcPr>
          <w:p w14:paraId="13B3222A"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435</w:t>
            </w:r>
          </w:p>
        </w:tc>
        <w:tc>
          <w:tcPr>
            <w:tcW w:w="605" w:type="dxa"/>
            <w:tcBorders>
              <w:top w:val="nil"/>
              <w:left w:val="nil"/>
              <w:bottom w:val="single" w:sz="4" w:space="0" w:color="auto"/>
              <w:right w:val="single" w:sz="4" w:space="0" w:color="auto"/>
            </w:tcBorders>
            <w:shd w:val="clear" w:color="auto" w:fill="auto"/>
            <w:noWrap/>
            <w:vAlign w:val="bottom"/>
            <w:hideMark/>
          </w:tcPr>
          <w:p w14:paraId="5A325EF4"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400</w:t>
            </w:r>
          </w:p>
        </w:tc>
        <w:tc>
          <w:tcPr>
            <w:tcW w:w="605" w:type="dxa"/>
            <w:tcBorders>
              <w:top w:val="nil"/>
              <w:left w:val="nil"/>
              <w:bottom w:val="single" w:sz="4" w:space="0" w:color="auto"/>
              <w:right w:val="double" w:sz="6" w:space="0" w:color="auto"/>
            </w:tcBorders>
            <w:shd w:val="clear" w:color="auto" w:fill="auto"/>
            <w:noWrap/>
            <w:vAlign w:val="bottom"/>
            <w:hideMark/>
          </w:tcPr>
          <w:p w14:paraId="59718B3C"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450</w:t>
            </w:r>
          </w:p>
        </w:tc>
      </w:tr>
      <w:tr w:rsidR="00A16DDB" w:rsidRPr="00EF44D6" w14:paraId="37F2FCA4" w14:textId="77777777" w:rsidTr="00EF44D6">
        <w:trPr>
          <w:trHeight w:val="290"/>
        </w:trPr>
        <w:tc>
          <w:tcPr>
            <w:tcW w:w="2800" w:type="dxa"/>
            <w:tcBorders>
              <w:top w:val="nil"/>
              <w:left w:val="double" w:sz="6" w:space="0" w:color="auto"/>
              <w:bottom w:val="single" w:sz="4" w:space="0" w:color="auto"/>
              <w:right w:val="single" w:sz="4" w:space="0" w:color="auto"/>
            </w:tcBorders>
            <w:shd w:val="clear" w:color="auto" w:fill="auto"/>
            <w:noWrap/>
            <w:vAlign w:val="bottom"/>
            <w:hideMark/>
          </w:tcPr>
          <w:p w14:paraId="732DD819" w14:textId="77777777" w:rsidR="00A16DDB" w:rsidRPr="00EF44D6" w:rsidRDefault="00A16DDB" w:rsidP="007A627A">
            <w:pPr>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produkce sýrů (tuny)</w:t>
            </w:r>
          </w:p>
        </w:tc>
        <w:tc>
          <w:tcPr>
            <w:tcW w:w="605" w:type="dxa"/>
            <w:tcBorders>
              <w:top w:val="nil"/>
              <w:left w:val="nil"/>
              <w:bottom w:val="single" w:sz="4" w:space="0" w:color="auto"/>
              <w:right w:val="single" w:sz="4" w:space="0" w:color="auto"/>
            </w:tcBorders>
            <w:shd w:val="clear" w:color="auto" w:fill="auto"/>
            <w:noWrap/>
            <w:vAlign w:val="bottom"/>
            <w:hideMark/>
          </w:tcPr>
          <w:p w14:paraId="40C837E2"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40</w:t>
            </w:r>
          </w:p>
        </w:tc>
        <w:tc>
          <w:tcPr>
            <w:tcW w:w="605" w:type="dxa"/>
            <w:tcBorders>
              <w:top w:val="nil"/>
              <w:left w:val="nil"/>
              <w:bottom w:val="single" w:sz="4" w:space="0" w:color="auto"/>
              <w:right w:val="single" w:sz="4" w:space="0" w:color="auto"/>
            </w:tcBorders>
            <w:shd w:val="clear" w:color="auto" w:fill="auto"/>
            <w:noWrap/>
            <w:vAlign w:val="bottom"/>
            <w:hideMark/>
          </w:tcPr>
          <w:p w14:paraId="5C14BC3B"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56</w:t>
            </w:r>
          </w:p>
        </w:tc>
        <w:tc>
          <w:tcPr>
            <w:tcW w:w="605" w:type="dxa"/>
            <w:tcBorders>
              <w:top w:val="nil"/>
              <w:left w:val="nil"/>
              <w:bottom w:val="single" w:sz="4" w:space="0" w:color="auto"/>
              <w:right w:val="single" w:sz="4" w:space="0" w:color="auto"/>
            </w:tcBorders>
            <w:shd w:val="clear" w:color="auto" w:fill="auto"/>
            <w:noWrap/>
            <w:vAlign w:val="bottom"/>
            <w:hideMark/>
          </w:tcPr>
          <w:p w14:paraId="22860930"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75</w:t>
            </w:r>
          </w:p>
        </w:tc>
        <w:tc>
          <w:tcPr>
            <w:tcW w:w="605" w:type="dxa"/>
            <w:tcBorders>
              <w:top w:val="nil"/>
              <w:left w:val="nil"/>
              <w:bottom w:val="single" w:sz="4" w:space="0" w:color="auto"/>
              <w:right w:val="single" w:sz="4" w:space="0" w:color="auto"/>
            </w:tcBorders>
            <w:shd w:val="clear" w:color="auto" w:fill="auto"/>
            <w:noWrap/>
            <w:vAlign w:val="bottom"/>
            <w:hideMark/>
          </w:tcPr>
          <w:p w14:paraId="0B1B438B"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100</w:t>
            </w:r>
          </w:p>
        </w:tc>
        <w:tc>
          <w:tcPr>
            <w:tcW w:w="605" w:type="dxa"/>
            <w:tcBorders>
              <w:top w:val="nil"/>
              <w:left w:val="nil"/>
              <w:bottom w:val="single" w:sz="4" w:space="0" w:color="auto"/>
              <w:right w:val="single" w:sz="4" w:space="0" w:color="auto"/>
            </w:tcBorders>
            <w:shd w:val="clear" w:color="auto" w:fill="auto"/>
            <w:noWrap/>
            <w:vAlign w:val="bottom"/>
            <w:hideMark/>
          </w:tcPr>
          <w:p w14:paraId="2FFADB74"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110</w:t>
            </w:r>
          </w:p>
        </w:tc>
        <w:tc>
          <w:tcPr>
            <w:tcW w:w="605" w:type="dxa"/>
            <w:tcBorders>
              <w:top w:val="nil"/>
              <w:left w:val="nil"/>
              <w:bottom w:val="single" w:sz="4" w:space="0" w:color="auto"/>
              <w:right w:val="single" w:sz="4" w:space="0" w:color="auto"/>
            </w:tcBorders>
            <w:shd w:val="clear" w:color="auto" w:fill="auto"/>
            <w:noWrap/>
            <w:vAlign w:val="bottom"/>
            <w:hideMark/>
          </w:tcPr>
          <w:p w14:paraId="45C1AE35"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110</w:t>
            </w:r>
          </w:p>
        </w:tc>
        <w:tc>
          <w:tcPr>
            <w:tcW w:w="605" w:type="dxa"/>
            <w:tcBorders>
              <w:top w:val="nil"/>
              <w:left w:val="nil"/>
              <w:bottom w:val="single" w:sz="4" w:space="0" w:color="auto"/>
              <w:right w:val="single" w:sz="4" w:space="0" w:color="auto"/>
            </w:tcBorders>
            <w:shd w:val="clear" w:color="auto" w:fill="auto"/>
            <w:noWrap/>
            <w:vAlign w:val="bottom"/>
            <w:hideMark/>
          </w:tcPr>
          <w:p w14:paraId="32450285"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100</w:t>
            </w:r>
          </w:p>
        </w:tc>
        <w:tc>
          <w:tcPr>
            <w:tcW w:w="605" w:type="dxa"/>
            <w:tcBorders>
              <w:top w:val="nil"/>
              <w:left w:val="nil"/>
              <w:bottom w:val="single" w:sz="4" w:space="0" w:color="auto"/>
              <w:right w:val="double" w:sz="6" w:space="0" w:color="auto"/>
            </w:tcBorders>
            <w:shd w:val="clear" w:color="auto" w:fill="auto"/>
            <w:noWrap/>
            <w:vAlign w:val="bottom"/>
            <w:hideMark/>
          </w:tcPr>
          <w:p w14:paraId="1C7E64F0"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113</w:t>
            </w:r>
          </w:p>
        </w:tc>
      </w:tr>
      <w:tr w:rsidR="00A16DDB" w:rsidRPr="00EF44D6" w14:paraId="2C4EEA9D" w14:textId="77777777" w:rsidTr="00EF44D6">
        <w:trPr>
          <w:trHeight w:val="302"/>
        </w:trPr>
        <w:tc>
          <w:tcPr>
            <w:tcW w:w="2800" w:type="dxa"/>
            <w:tcBorders>
              <w:top w:val="nil"/>
              <w:left w:val="double" w:sz="6" w:space="0" w:color="auto"/>
              <w:bottom w:val="double" w:sz="6" w:space="0" w:color="auto"/>
              <w:right w:val="single" w:sz="4" w:space="0" w:color="auto"/>
            </w:tcBorders>
            <w:shd w:val="clear" w:color="auto" w:fill="auto"/>
            <w:noWrap/>
            <w:vAlign w:val="bottom"/>
            <w:hideMark/>
          </w:tcPr>
          <w:p w14:paraId="7FD2F4EB" w14:textId="77777777" w:rsidR="00A16DDB" w:rsidRPr="00EF44D6" w:rsidRDefault="00A16DDB" w:rsidP="007A627A">
            <w:pPr>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cena čerstvého sýra (Kč/kg)</w:t>
            </w:r>
          </w:p>
        </w:tc>
        <w:tc>
          <w:tcPr>
            <w:tcW w:w="605" w:type="dxa"/>
            <w:tcBorders>
              <w:top w:val="nil"/>
              <w:left w:val="nil"/>
              <w:bottom w:val="double" w:sz="6" w:space="0" w:color="auto"/>
              <w:right w:val="single" w:sz="4" w:space="0" w:color="auto"/>
            </w:tcBorders>
            <w:shd w:val="clear" w:color="auto" w:fill="auto"/>
            <w:noWrap/>
            <w:vAlign w:val="bottom"/>
            <w:hideMark/>
          </w:tcPr>
          <w:p w14:paraId="5B0AD74D"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260</w:t>
            </w:r>
          </w:p>
        </w:tc>
        <w:tc>
          <w:tcPr>
            <w:tcW w:w="605" w:type="dxa"/>
            <w:tcBorders>
              <w:top w:val="nil"/>
              <w:left w:val="nil"/>
              <w:bottom w:val="double" w:sz="6" w:space="0" w:color="auto"/>
              <w:right w:val="single" w:sz="4" w:space="0" w:color="auto"/>
            </w:tcBorders>
            <w:shd w:val="clear" w:color="auto" w:fill="auto"/>
            <w:noWrap/>
            <w:vAlign w:val="bottom"/>
            <w:hideMark/>
          </w:tcPr>
          <w:p w14:paraId="49F28F98"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270</w:t>
            </w:r>
          </w:p>
        </w:tc>
        <w:tc>
          <w:tcPr>
            <w:tcW w:w="605" w:type="dxa"/>
            <w:tcBorders>
              <w:top w:val="nil"/>
              <w:left w:val="nil"/>
              <w:bottom w:val="double" w:sz="6" w:space="0" w:color="auto"/>
              <w:right w:val="single" w:sz="4" w:space="0" w:color="auto"/>
            </w:tcBorders>
            <w:shd w:val="clear" w:color="auto" w:fill="auto"/>
            <w:noWrap/>
            <w:vAlign w:val="bottom"/>
            <w:hideMark/>
          </w:tcPr>
          <w:p w14:paraId="797BA643"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275</w:t>
            </w:r>
          </w:p>
        </w:tc>
        <w:tc>
          <w:tcPr>
            <w:tcW w:w="605" w:type="dxa"/>
            <w:tcBorders>
              <w:top w:val="nil"/>
              <w:left w:val="nil"/>
              <w:bottom w:val="double" w:sz="6" w:space="0" w:color="auto"/>
              <w:right w:val="single" w:sz="4" w:space="0" w:color="auto"/>
            </w:tcBorders>
            <w:shd w:val="clear" w:color="auto" w:fill="auto"/>
            <w:noWrap/>
            <w:vAlign w:val="bottom"/>
            <w:hideMark/>
          </w:tcPr>
          <w:p w14:paraId="17A655B3"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280</w:t>
            </w:r>
          </w:p>
        </w:tc>
        <w:tc>
          <w:tcPr>
            <w:tcW w:w="605" w:type="dxa"/>
            <w:tcBorders>
              <w:top w:val="nil"/>
              <w:left w:val="nil"/>
              <w:bottom w:val="double" w:sz="6" w:space="0" w:color="auto"/>
              <w:right w:val="single" w:sz="4" w:space="0" w:color="auto"/>
            </w:tcBorders>
            <w:shd w:val="clear" w:color="auto" w:fill="auto"/>
            <w:noWrap/>
            <w:vAlign w:val="bottom"/>
            <w:hideMark/>
          </w:tcPr>
          <w:p w14:paraId="63326328"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290</w:t>
            </w:r>
          </w:p>
        </w:tc>
        <w:tc>
          <w:tcPr>
            <w:tcW w:w="605" w:type="dxa"/>
            <w:tcBorders>
              <w:top w:val="nil"/>
              <w:left w:val="nil"/>
              <w:bottom w:val="double" w:sz="6" w:space="0" w:color="auto"/>
              <w:right w:val="single" w:sz="4" w:space="0" w:color="auto"/>
            </w:tcBorders>
            <w:shd w:val="clear" w:color="auto" w:fill="auto"/>
            <w:noWrap/>
            <w:vAlign w:val="bottom"/>
            <w:hideMark/>
          </w:tcPr>
          <w:p w14:paraId="1F12D90A"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300</w:t>
            </w:r>
          </w:p>
        </w:tc>
        <w:tc>
          <w:tcPr>
            <w:tcW w:w="605" w:type="dxa"/>
            <w:tcBorders>
              <w:top w:val="nil"/>
              <w:left w:val="nil"/>
              <w:bottom w:val="double" w:sz="6" w:space="0" w:color="auto"/>
              <w:right w:val="single" w:sz="4" w:space="0" w:color="auto"/>
            </w:tcBorders>
            <w:shd w:val="clear" w:color="auto" w:fill="auto"/>
            <w:noWrap/>
            <w:vAlign w:val="bottom"/>
            <w:hideMark/>
          </w:tcPr>
          <w:p w14:paraId="311D1080"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280</w:t>
            </w:r>
          </w:p>
        </w:tc>
        <w:tc>
          <w:tcPr>
            <w:tcW w:w="605" w:type="dxa"/>
            <w:tcBorders>
              <w:top w:val="nil"/>
              <w:left w:val="nil"/>
              <w:bottom w:val="double" w:sz="6" w:space="0" w:color="auto"/>
              <w:right w:val="double" w:sz="6" w:space="0" w:color="auto"/>
            </w:tcBorders>
            <w:shd w:val="clear" w:color="auto" w:fill="auto"/>
            <w:noWrap/>
            <w:vAlign w:val="bottom"/>
            <w:hideMark/>
          </w:tcPr>
          <w:p w14:paraId="430EDD5C" w14:textId="77777777" w:rsidR="00A16DDB" w:rsidRPr="00EF44D6" w:rsidRDefault="00A16DDB" w:rsidP="007A627A">
            <w:pPr>
              <w:jc w:val="right"/>
              <w:rPr>
                <w:rFonts w:eastAsia="Times New Roman" w:cs="Times New Roman"/>
                <w:color w:val="000000"/>
                <w:sz w:val="20"/>
                <w:szCs w:val="20"/>
                <w:lang w:val="cs-CZ" w:eastAsia="cs-CZ"/>
              </w:rPr>
            </w:pPr>
            <w:r w:rsidRPr="00EF44D6">
              <w:rPr>
                <w:rFonts w:eastAsia="Times New Roman" w:cs="Times New Roman"/>
                <w:color w:val="000000"/>
                <w:sz w:val="20"/>
                <w:szCs w:val="20"/>
                <w:lang w:val="cs-CZ" w:eastAsia="cs-CZ"/>
              </w:rPr>
              <w:t>300</w:t>
            </w:r>
          </w:p>
        </w:tc>
      </w:tr>
    </w:tbl>
    <w:p w14:paraId="6A8B5ADB" w14:textId="2312B2FF" w:rsidR="00A16DDB" w:rsidRDefault="00A16DDB" w:rsidP="00A16DDB">
      <w:pPr>
        <w:rPr>
          <w:rFonts w:cs="Times New Roman"/>
          <w:b/>
          <w:szCs w:val="24"/>
          <w:lang w:val="cs-CZ"/>
        </w:rPr>
      </w:pPr>
    </w:p>
    <w:p w14:paraId="1F69AECA" w14:textId="3463402B" w:rsidR="00EF44D6" w:rsidRDefault="00EF44D6" w:rsidP="00A16DDB">
      <w:pPr>
        <w:rPr>
          <w:rFonts w:cs="Times New Roman"/>
          <w:b/>
          <w:szCs w:val="24"/>
          <w:lang w:val="cs-CZ"/>
        </w:rPr>
      </w:pPr>
    </w:p>
    <w:p w14:paraId="5EA181B8" w14:textId="74FA5059" w:rsidR="00EF44D6" w:rsidRDefault="00EF44D6" w:rsidP="00A16DDB">
      <w:pPr>
        <w:rPr>
          <w:rFonts w:cs="Times New Roman"/>
          <w:b/>
          <w:szCs w:val="24"/>
          <w:lang w:val="cs-CZ"/>
        </w:rPr>
      </w:pPr>
    </w:p>
    <w:p w14:paraId="41E964BC" w14:textId="31CA6A9F" w:rsidR="00EF44D6" w:rsidRDefault="00EF44D6" w:rsidP="00A16DDB">
      <w:pPr>
        <w:rPr>
          <w:rFonts w:cs="Times New Roman"/>
          <w:b/>
          <w:szCs w:val="24"/>
          <w:lang w:val="cs-CZ"/>
        </w:rPr>
      </w:pPr>
    </w:p>
    <w:p w14:paraId="3D6925EF" w14:textId="05E1294E" w:rsidR="00EF44D6" w:rsidRDefault="00EF44D6" w:rsidP="00A16DDB">
      <w:pPr>
        <w:rPr>
          <w:rFonts w:cs="Times New Roman"/>
          <w:b/>
          <w:szCs w:val="24"/>
          <w:lang w:val="cs-CZ"/>
        </w:rPr>
      </w:pPr>
    </w:p>
    <w:p w14:paraId="29FA42E5" w14:textId="00E50F75" w:rsidR="00EF44D6" w:rsidRDefault="00EF44D6" w:rsidP="00A16DDB">
      <w:pPr>
        <w:rPr>
          <w:rFonts w:cs="Times New Roman"/>
          <w:b/>
          <w:szCs w:val="24"/>
          <w:lang w:val="cs-CZ"/>
        </w:rPr>
      </w:pPr>
    </w:p>
    <w:p w14:paraId="6E8E9AD2" w14:textId="6FD667A5" w:rsidR="00EF44D6" w:rsidRDefault="00EF44D6" w:rsidP="00A16DDB">
      <w:pPr>
        <w:rPr>
          <w:rFonts w:cs="Times New Roman"/>
          <w:b/>
          <w:szCs w:val="24"/>
          <w:lang w:val="cs-CZ"/>
        </w:rPr>
      </w:pPr>
    </w:p>
    <w:p w14:paraId="7DBAD547" w14:textId="77777777" w:rsidR="00EF44D6" w:rsidRPr="00D95127" w:rsidRDefault="00EF44D6" w:rsidP="00A16DDB">
      <w:pPr>
        <w:rPr>
          <w:rFonts w:cs="Times New Roman"/>
          <w:b/>
          <w:szCs w:val="24"/>
          <w:lang w:val="cs-CZ"/>
        </w:rPr>
      </w:pPr>
    </w:p>
    <w:p w14:paraId="7F296AE2" w14:textId="765B2E78" w:rsidR="00A16DDB" w:rsidRPr="00D95127" w:rsidRDefault="00A16DDB" w:rsidP="00EF44D6">
      <w:pPr>
        <w:pStyle w:val="UZEITaB"/>
      </w:pPr>
      <w:bookmarkStart w:id="1191" w:name="_Toc81738554"/>
      <w:r w:rsidRPr="00D95127">
        <w:t>Rentabilita u chovu koz</w:t>
      </w:r>
      <w:bookmarkEnd w:id="1191"/>
    </w:p>
    <w:p w14:paraId="72F64C72" w14:textId="77777777" w:rsidR="00A16DDB" w:rsidRPr="00D95127" w:rsidRDefault="00A16DDB" w:rsidP="00A16DDB">
      <w:pPr>
        <w:rPr>
          <w:rFonts w:cs="Times New Roman"/>
          <w:szCs w:val="24"/>
          <w:lang w:val="cs-CZ"/>
        </w:rPr>
      </w:pPr>
      <w:r w:rsidRPr="00D95127">
        <w:rPr>
          <w:rFonts w:cs="Times New Roman"/>
          <w:noProof/>
          <w:lang w:val="cs-CZ"/>
        </w:rPr>
        <w:drawing>
          <wp:inline distT="0" distB="0" distL="0" distR="0" wp14:anchorId="7A507E4B" wp14:editId="7D0A01DF">
            <wp:extent cx="5305425" cy="2057400"/>
            <wp:effectExtent l="0" t="0" r="0" b="0"/>
            <wp:docPr id="176" name="Obrázek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305425" cy="2057400"/>
                    </a:xfrm>
                    <a:prstGeom prst="rect">
                      <a:avLst/>
                    </a:prstGeom>
                    <a:noFill/>
                    <a:ln>
                      <a:noFill/>
                    </a:ln>
                  </pic:spPr>
                </pic:pic>
              </a:graphicData>
            </a:graphic>
          </wp:inline>
        </w:drawing>
      </w:r>
    </w:p>
    <w:p w14:paraId="6DDFA46D" w14:textId="60AB2092" w:rsidR="00A16DDB" w:rsidRPr="00D95127" w:rsidRDefault="00A16DDB" w:rsidP="00EF44D6">
      <w:pPr>
        <w:pStyle w:val="UZEITaB"/>
      </w:pPr>
      <w:bookmarkStart w:id="1192" w:name="_Toc81738555"/>
      <w:r w:rsidRPr="00D95127">
        <w:t>Rentabilita v chovu ovcí</w:t>
      </w:r>
      <w:bookmarkEnd w:id="1192"/>
    </w:p>
    <w:p w14:paraId="37B3E2E8" w14:textId="77777777" w:rsidR="00A16DDB" w:rsidRPr="00D95127" w:rsidRDefault="00A16DDB" w:rsidP="00A16DDB">
      <w:pPr>
        <w:keepNext/>
        <w:rPr>
          <w:rFonts w:cs="Times New Roman"/>
          <w:szCs w:val="24"/>
          <w:lang w:val="cs-CZ"/>
        </w:rPr>
      </w:pPr>
      <w:r w:rsidRPr="00D95127">
        <w:rPr>
          <w:rFonts w:cs="Times New Roman"/>
          <w:noProof/>
          <w:lang w:val="cs-CZ"/>
        </w:rPr>
        <w:drawing>
          <wp:inline distT="0" distB="0" distL="0" distR="0" wp14:anchorId="03F6C752" wp14:editId="2D493948">
            <wp:extent cx="5759450" cy="1788795"/>
            <wp:effectExtent l="0" t="0" r="0" b="1905"/>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759450" cy="1788795"/>
                    </a:xfrm>
                    <a:prstGeom prst="rect">
                      <a:avLst/>
                    </a:prstGeom>
                    <a:noFill/>
                    <a:ln>
                      <a:noFill/>
                    </a:ln>
                  </pic:spPr>
                </pic:pic>
              </a:graphicData>
            </a:graphic>
          </wp:inline>
        </w:drawing>
      </w:r>
    </w:p>
    <w:p w14:paraId="3C05342B" w14:textId="77777777" w:rsidR="00EF44D6" w:rsidRDefault="00EF44D6">
      <w:pPr>
        <w:spacing w:after="160" w:line="259" w:lineRule="auto"/>
        <w:jc w:val="left"/>
        <w:rPr>
          <w:rFonts w:eastAsiaTheme="majorEastAsia" w:cs="Times New Roman"/>
          <w:b/>
          <w:bCs/>
          <w:sz w:val="28"/>
          <w:szCs w:val="32"/>
          <w:lang w:val="cs-CZ"/>
        </w:rPr>
      </w:pPr>
      <w:bookmarkStart w:id="1193" w:name="_Toc23509797"/>
      <w:bookmarkStart w:id="1194" w:name="_Toc23509951"/>
      <w:bookmarkStart w:id="1195" w:name="_Toc23509798"/>
      <w:bookmarkStart w:id="1196" w:name="_Toc23509952"/>
      <w:bookmarkStart w:id="1197" w:name="_Toc23509799"/>
      <w:bookmarkStart w:id="1198" w:name="_Toc23509953"/>
      <w:bookmarkStart w:id="1199" w:name="_Toc27156997"/>
      <w:bookmarkStart w:id="1200" w:name="_Toc27157127"/>
      <w:bookmarkStart w:id="1201" w:name="_Toc27172236"/>
      <w:bookmarkStart w:id="1202" w:name="_Toc27172888"/>
      <w:bookmarkStart w:id="1203" w:name="_Toc27173041"/>
      <w:bookmarkStart w:id="1204" w:name="_Toc76137477"/>
      <w:bookmarkStart w:id="1205" w:name="_Toc76637676"/>
      <w:bookmarkStart w:id="1206" w:name="_Toc80953365"/>
      <w:bookmarkEnd w:id="1185"/>
      <w:bookmarkEnd w:id="1186"/>
      <w:bookmarkEnd w:id="1193"/>
      <w:bookmarkEnd w:id="1194"/>
      <w:bookmarkEnd w:id="1195"/>
      <w:bookmarkEnd w:id="1196"/>
      <w:bookmarkEnd w:id="1197"/>
      <w:bookmarkEnd w:id="1198"/>
      <w:bookmarkEnd w:id="1199"/>
      <w:bookmarkEnd w:id="1200"/>
      <w:bookmarkEnd w:id="1201"/>
      <w:bookmarkEnd w:id="1202"/>
      <w:bookmarkEnd w:id="1203"/>
      <w:r>
        <w:br w:type="page"/>
      </w:r>
    </w:p>
    <w:p w14:paraId="0B14BB1F" w14:textId="200D5F14" w:rsidR="00A16DDB" w:rsidRPr="00D95127" w:rsidRDefault="00A16DDB" w:rsidP="00EF44D6">
      <w:pPr>
        <w:pStyle w:val="Nadpis1"/>
      </w:pPr>
      <w:bookmarkStart w:id="1207" w:name="_Toc81739317"/>
      <w:r w:rsidRPr="00D95127">
        <w:t>Míra stávajícího řešení problému</w:t>
      </w:r>
      <w:bookmarkEnd w:id="1204"/>
      <w:bookmarkEnd w:id="1205"/>
      <w:bookmarkEnd w:id="1206"/>
      <w:bookmarkEnd w:id="1207"/>
    </w:p>
    <w:p w14:paraId="355B49C3" w14:textId="77777777" w:rsidR="00A16DDB" w:rsidRPr="00D95127" w:rsidRDefault="00A16DDB" w:rsidP="00EF44D6">
      <w:pPr>
        <w:pStyle w:val="UZEINormaln"/>
      </w:pPr>
      <w:r w:rsidRPr="00D95127">
        <w:t xml:space="preserve">Stávající řešení problémů je v nastavení jak přímých plateb, tak i v platbách AEKO, případně LFA, i národních dotací podle Zásad.  Ohledně pastevních areálů je problém ve stavebních předpisech – výstavba oplocení a pastevních přístřešků. </w:t>
      </w:r>
    </w:p>
    <w:p w14:paraId="0A298BD8" w14:textId="77777777" w:rsidR="00A16DDB" w:rsidRPr="00D95127" w:rsidRDefault="00A16DDB" w:rsidP="00EE733F">
      <w:pPr>
        <w:pStyle w:val="Nadpis2"/>
      </w:pPr>
      <w:bookmarkStart w:id="1208" w:name="_Toc15304127"/>
      <w:bookmarkStart w:id="1209" w:name="_Toc23509955"/>
      <w:bookmarkStart w:id="1210" w:name="_Toc76137478"/>
      <w:bookmarkStart w:id="1211" w:name="_Toc76637677"/>
      <w:bookmarkStart w:id="1212" w:name="_Toc80953366"/>
      <w:bookmarkStart w:id="1213" w:name="_Toc81739318"/>
      <w:r w:rsidRPr="00D95127">
        <w:t>Míra řešení ve stávající SZP (úspěšnost/neúspěšnost)</w:t>
      </w:r>
      <w:bookmarkEnd w:id="1208"/>
      <w:bookmarkEnd w:id="1209"/>
      <w:bookmarkEnd w:id="1210"/>
      <w:bookmarkEnd w:id="1211"/>
      <w:bookmarkEnd w:id="1212"/>
      <w:bookmarkEnd w:id="1213"/>
    </w:p>
    <w:p w14:paraId="76E69450" w14:textId="52DC6388" w:rsidR="00A16DDB" w:rsidRPr="00D95127" w:rsidRDefault="00A16DDB" w:rsidP="00EE733F">
      <w:pPr>
        <w:pStyle w:val="UZEIGraf"/>
        <w:rPr>
          <w:i/>
        </w:rPr>
      </w:pPr>
      <w:bookmarkStart w:id="1214" w:name="_Toc81738839"/>
      <w:r w:rsidRPr="00D95127">
        <w:t>Vývoj struktury podpor v chovu ovcí</w:t>
      </w:r>
      <w:bookmarkEnd w:id="1214"/>
    </w:p>
    <w:p w14:paraId="06D4BFC5" w14:textId="77777777" w:rsidR="00A16DDB" w:rsidRPr="00D95127" w:rsidRDefault="00A16DDB" w:rsidP="00A16DDB">
      <w:pPr>
        <w:keepNext/>
        <w:rPr>
          <w:rFonts w:cs="Times New Roman"/>
          <w:i/>
          <w:szCs w:val="24"/>
          <w:lang w:val="cs-CZ"/>
        </w:rPr>
      </w:pPr>
      <w:r w:rsidRPr="00D95127">
        <w:rPr>
          <w:rFonts w:cs="Times New Roman"/>
          <w:noProof/>
          <w:lang w:val="cs-CZ"/>
        </w:rPr>
        <w:drawing>
          <wp:inline distT="0" distB="0" distL="0" distR="0" wp14:anchorId="6D27443D" wp14:editId="1671C422">
            <wp:extent cx="5759450" cy="4214495"/>
            <wp:effectExtent l="0" t="0" r="12700" b="14605"/>
            <wp:docPr id="81" name="Graf 81">
              <a:extLst xmlns:a="http://schemas.openxmlformats.org/drawingml/2006/main">
                <a:ext uri="{FF2B5EF4-FFF2-40B4-BE49-F238E27FC236}">
                  <a16:creationId xmlns:a16="http://schemas.microsoft.com/office/drawing/2014/main" id="{181D74C1-6CC9-463F-A7C2-426AEC31875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7"/>
              </a:graphicData>
            </a:graphic>
          </wp:inline>
        </w:drawing>
      </w:r>
    </w:p>
    <w:p w14:paraId="2ACDA20A" w14:textId="77777777" w:rsidR="00A16DDB" w:rsidRPr="00D95127" w:rsidRDefault="00A16DDB" w:rsidP="00EE733F">
      <w:pPr>
        <w:pStyle w:val="UZEIZdroj"/>
      </w:pPr>
      <w:r w:rsidRPr="00D95127">
        <w:t>Pramen: ÚZEI, vlastní výpočty</w:t>
      </w:r>
    </w:p>
    <w:p w14:paraId="2DCE1953" w14:textId="5826729B" w:rsidR="00A16DDB" w:rsidRDefault="00A16DDB" w:rsidP="00A16DDB">
      <w:pPr>
        <w:pStyle w:val="Odstavecseseznamem"/>
        <w:ind w:left="0"/>
        <w:rPr>
          <w:u w:val="single"/>
        </w:rPr>
      </w:pPr>
    </w:p>
    <w:p w14:paraId="56079693" w14:textId="7C285F50" w:rsidR="00EE733F" w:rsidRDefault="00EE733F" w:rsidP="00A16DDB">
      <w:pPr>
        <w:pStyle w:val="Odstavecseseznamem"/>
        <w:ind w:left="0"/>
        <w:rPr>
          <w:u w:val="single"/>
        </w:rPr>
      </w:pPr>
    </w:p>
    <w:p w14:paraId="33DD7F11" w14:textId="53608485" w:rsidR="00EE733F" w:rsidRDefault="00EE733F" w:rsidP="00A16DDB">
      <w:pPr>
        <w:pStyle w:val="Odstavecseseznamem"/>
        <w:ind w:left="0"/>
        <w:rPr>
          <w:u w:val="single"/>
        </w:rPr>
      </w:pPr>
    </w:p>
    <w:p w14:paraId="38C8B7E3" w14:textId="07434394" w:rsidR="00EE733F" w:rsidRDefault="00EE733F" w:rsidP="00A16DDB">
      <w:pPr>
        <w:pStyle w:val="Odstavecseseznamem"/>
        <w:ind w:left="0"/>
        <w:rPr>
          <w:u w:val="single"/>
        </w:rPr>
      </w:pPr>
    </w:p>
    <w:p w14:paraId="3A843C83" w14:textId="7E124CD2" w:rsidR="00EE733F" w:rsidRDefault="00EE733F" w:rsidP="00A16DDB">
      <w:pPr>
        <w:pStyle w:val="Odstavecseseznamem"/>
        <w:ind w:left="0"/>
        <w:rPr>
          <w:u w:val="single"/>
        </w:rPr>
      </w:pPr>
    </w:p>
    <w:p w14:paraId="1F1A0F53" w14:textId="45CAA085" w:rsidR="00EE733F" w:rsidRDefault="00EE733F" w:rsidP="00A16DDB">
      <w:pPr>
        <w:pStyle w:val="Odstavecseseznamem"/>
        <w:ind w:left="0"/>
        <w:rPr>
          <w:u w:val="single"/>
        </w:rPr>
      </w:pPr>
    </w:p>
    <w:p w14:paraId="097CDF18" w14:textId="168747DB" w:rsidR="00EE733F" w:rsidRDefault="00EE733F" w:rsidP="00A16DDB">
      <w:pPr>
        <w:pStyle w:val="Odstavecseseznamem"/>
        <w:ind w:left="0"/>
        <w:rPr>
          <w:u w:val="single"/>
        </w:rPr>
      </w:pPr>
    </w:p>
    <w:p w14:paraId="5EDC4F82" w14:textId="44E31BD9" w:rsidR="00EE733F" w:rsidRDefault="00EE733F" w:rsidP="00A16DDB">
      <w:pPr>
        <w:pStyle w:val="Odstavecseseznamem"/>
        <w:ind w:left="0"/>
        <w:rPr>
          <w:u w:val="single"/>
        </w:rPr>
      </w:pPr>
    </w:p>
    <w:p w14:paraId="57B023B4" w14:textId="1B56A25C" w:rsidR="00EE733F" w:rsidRDefault="00EE733F" w:rsidP="00A16DDB">
      <w:pPr>
        <w:pStyle w:val="Odstavecseseznamem"/>
        <w:ind w:left="0"/>
        <w:rPr>
          <w:u w:val="single"/>
        </w:rPr>
      </w:pPr>
    </w:p>
    <w:p w14:paraId="659F6176" w14:textId="2E6AD4FE" w:rsidR="00EE733F" w:rsidRDefault="00EE733F" w:rsidP="00A16DDB">
      <w:pPr>
        <w:pStyle w:val="Odstavecseseznamem"/>
        <w:ind w:left="0"/>
        <w:rPr>
          <w:u w:val="single"/>
        </w:rPr>
      </w:pPr>
    </w:p>
    <w:p w14:paraId="5379E80B" w14:textId="06C7CAB0" w:rsidR="00EE733F" w:rsidRDefault="00EE733F" w:rsidP="00A16DDB">
      <w:pPr>
        <w:pStyle w:val="Odstavecseseznamem"/>
        <w:ind w:left="0"/>
        <w:rPr>
          <w:u w:val="single"/>
        </w:rPr>
      </w:pPr>
    </w:p>
    <w:p w14:paraId="39B76980" w14:textId="4C5729BE" w:rsidR="00EE733F" w:rsidRDefault="00EE733F" w:rsidP="00A16DDB">
      <w:pPr>
        <w:pStyle w:val="Odstavecseseznamem"/>
        <w:ind w:left="0"/>
        <w:rPr>
          <w:u w:val="single"/>
        </w:rPr>
      </w:pPr>
    </w:p>
    <w:p w14:paraId="46E93A7C" w14:textId="7C75866D" w:rsidR="00EE733F" w:rsidRDefault="00EE733F" w:rsidP="00A16DDB">
      <w:pPr>
        <w:pStyle w:val="Odstavecseseznamem"/>
        <w:ind w:left="0"/>
        <w:rPr>
          <w:u w:val="single"/>
        </w:rPr>
      </w:pPr>
    </w:p>
    <w:p w14:paraId="43B30C91" w14:textId="46F5F203" w:rsidR="00EE733F" w:rsidRDefault="00EE733F" w:rsidP="00A16DDB">
      <w:pPr>
        <w:pStyle w:val="Odstavecseseznamem"/>
        <w:ind w:left="0"/>
        <w:rPr>
          <w:u w:val="single"/>
        </w:rPr>
      </w:pPr>
    </w:p>
    <w:p w14:paraId="64524709" w14:textId="77777777" w:rsidR="00EE733F" w:rsidRPr="00D95127" w:rsidRDefault="00EE733F" w:rsidP="00A16DDB">
      <w:pPr>
        <w:pStyle w:val="Odstavecseseznamem"/>
        <w:ind w:left="0"/>
        <w:rPr>
          <w:u w:val="single"/>
        </w:rPr>
      </w:pPr>
    </w:p>
    <w:p w14:paraId="56AE47C3" w14:textId="22E8CDA8" w:rsidR="00A16DDB" w:rsidRPr="00D95127" w:rsidRDefault="00A16DDB" w:rsidP="00EE733F">
      <w:pPr>
        <w:pStyle w:val="UZEIGraf"/>
      </w:pPr>
      <w:bookmarkStart w:id="1215" w:name="_Toc81738840"/>
      <w:r w:rsidRPr="00D95127">
        <w:t>Vývoj struktury podpor v chovu koz</w:t>
      </w:r>
      <w:bookmarkEnd w:id="1215"/>
    </w:p>
    <w:p w14:paraId="7703F009" w14:textId="77777777" w:rsidR="00A16DDB" w:rsidRPr="00D95127" w:rsidRDefault="00A16DDB" w:rsidP="00A16DDB">
      <w:pPr>
        <w:keepNext/>
        <w:rPr>
          <w:rFonts w:cs="Times New Roman"/>
          <w:szCs w:val="24"/>
          <w:u w:val="single"/>
          <w:lang w:val="cs-CZ"/>
        </w:rPr>
      </w:pPr>
      <w:r w:rsidRPr="00D95127">
        <w:rPr>
          <w:rFonts w:cs="Times New Roman"/>
          <w:noProof/>
          <w:lang w:val="cs-CZ"/>
        </w:rPr>
        <w:drawing>
          <wp:inline distT="0" distB="0" distL="0" distR="0" wp14:anchorId="257E1C74" wp14:editId="72164848">
            <wp:extent cx="5759450" cy="4314825"/>
            <wp:effectExtent l="0" t="0" r="12700" b="9525"/>
            <wp:docPr id="82" name="Graf 82">
              <a:extLst xmlns:a="http://schemas.openxmlformats.org/drawingml/2006/main">
                <a:ext uri="{FF2B5EF4-FFF2-40B4-BE49-F238E27FC236}">
                  <a16:creationId xmlns:a16="http://schemas.microsoft.com/office/drawing/2014/main" id="{148B812A-7FFC-4502-AE43-DA843F78AA0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8"/>
              </a:graphicData>
            </a:graphic>
          </wp:inline>
        </w:drawing>
      </w:r>
    </w:p>
    <w:p w14:paraId="76BC67C7" w14:textId="39F399D8" w:rsidR="00A16DDB" w:rsidRPr="00EE733F" w:rsidRDefault="00A16DDB" w:rsidP="00EE733F">
      <w:pPr>
        <w:pStyle w:val="UZEIZdroj"/>
      </w:pPr>
      <w:r w:rsidRPr="00D95127">
        <w:t>Pramen: ÚZEI, vlastní výpočty</w:t>
      </w:r>
    </w:p>
    <w:p w14:paraId="34E6219F" w14:textId="77777777" w:rsidR="00A16DDB" w:rsidRPr="00D95127" w:rsidRDefault="00A16DDB" w:rsidP="00EE733F">
      <w:pPr>
        <w:pStyle w:val="UZEINormaln"/>
      </w:pPr>
      <w:r w:rsidRPr="00D95127">
        <w:t xml:space="preserve">Pokud se týká zelené nafty, tak vhledem k převažujícímu počtu ovcí a koz ve stádech do 50 ks se drobnochovatelům nevyplatí vést evidenci spotřeby nafty a následně žádat vratku části spotřební daně. </w:t>
      </w:r>
    </w:p>
    <w:p w14:paraId="7BA4B2FD" w14:textId="77777777" w:rsidR="00A16DDB" w:rsidRPr="00D95127" w:rsidRDefault="00A16DDB" w:rsidP="00EE733F">
      <w:pPr>
        <w:pStyle w:val="Nadpis2"/>
      </w:pPr>
      <w:bookmarkStart w:id="1216" w:name="_Toc15304128"/>
      <w:bookmarkStart w:id="1217" w:name="_Toc23509956"/>
      <w:bookmarkStart w:id="1218" w:name="_Toc76137479"/>
      <w:bookmarkStart w:id="1219" w:name="_Toc76637678"/>
      <w:bookmarkStart w:id="1220" w:name="_Toc80953367"/>
      <w:bookmarkStart w:id="1221" w:name="_Toc81739319"/>
      <w:r w:rsidRPr="00D95127">
        <w:t>Míra současného řešení problému jinými politikami</w:t>
      </w:r>
      <w:bookmarkEnd w:id="1216"/>
      <w:bookmarkEnd w:id="1217"/>
      <w:bookmarkEnd w:id="1218"/>
      <w:bookmarkEnd w:id="1219"/>
      <w:bookmarkEnd w:id="1220"/>
      <w:bookmarkEnd w:id="1221"/>
    </w:p>
    <w:p w14:paraId="78739921" w14:textId="77777777" w:rsidR="00A16DDB" w:rsidRPr="00EE733F" w:rsidRDefault="00A16DDB" w:rsidP="00EE733F">
      <w:pPr>
        <w:pStyle w:val="UZEINormaln"/>
        <w:rPr>
          <w:u w:val="single"/>
        </w:rPr>
      </w:pPr>
      <w:r w:rsidRPr="00EE733F">
        <w:rPr>
          <w:u w:val="single"/>
        </w:rPr>
        <w:t xml:space="preserve">Sektor ovcí a koz je podporován národními podporami v rámci udržování a zlepšování genetického materiálu a kontrol užitkovosti. </w:t>
      </w:r>
    </w:p>
    <w:p w14:paraId="05C685B2" w14:textId="77777777" w:rsidR="00A16DDB" w:rsidRPr="00D95127" w:rsidRDefault="00A16DDB" w:rsidP="00EE733F">
      <w:pPr>
        <w:pStyle w:val="UZEINormaln"/>
      </w:pPr>
      <w:r w:rsidRPr="00D95127">
        <w:t>Zásady na základě § 1, § 2 a § 2d zákona č. 252/1997 Sb., o zemědělství,</w:t>
      </w:r>
    </w:p>
    <w:p w14:paraId="2C03B723" w14:textId="77777777" w:rsidR="00A16DDB" w:rsidRPr="00D95127" w:rsidRDefault="00A16DDB" w:rsidP="00EE733F">
      <w:pPr>
        <w:pStyle w:val="UZEINormaln"/>
      </w:pPr>
      <w:r w:rsidRPr="00D95127">
        <w:t>2.A. Udržování a zlepšování genetického potenciálu vyjmenovaných hospodářských zvířat</w:t>
      </w:r>
    </w:p>
    <w:p w14:paraId="25957968" w14:textId="77777777" w:rsidR="00A16DDB" w:rsidRPr="00D95127" w:rsidRDefault="00A16DDB" w:rsidP="00EE733F">
      <w:pPr>
        <w:pStyle w:val="UZEINormaln"/>
      </w:pPr>
      <w:r w:rsidRPr="00D95127">
        <w:t>2.A.e.</w:t>
      </w:r>
      <w:r w:rsidRPr="00D95127">
        <w:tab/>
        <w:t xml:space="preserve">Kontrola užitkovosti (dále jen „KU“), výkonnostní zkoušky, výkonnostní testy a posuzování a kontrola dědičnosti (dále jen „KD“) užitkových vlastností a zdraví vyjmenovaných hospodářských zvířat </w:t>
      </w:r>
    </w:p>
    <w:p w14:paraId="725F4D64" w14:textId="77777777" w:rsidR="00A16DDB" w:rsidRPr="00D95127" w:rsidRDefault="00A16DDB" w:rsidP="00EE733F">
      <w:pPr>
        <w:pStyle w:val="UZEINormaln"/>
      </w:pPr>
      <w:r w:rsidRPr="00D95127">
        <w:t>2.A.e.1) Kontrola užitkovosti</w:t>
      </w:r>
      <w:r w:rsidRPr="00D95127">
        <w:tab/>
      </w:r>
    </w:p>
    <w:p w14:paraId="4D28E186" w14:textId="77777777" w:rsidR="00A16DDB" w:rsidRPr="00D95127" w:rsidRDefault="00A16DDB" w:rsidP="00EE733F">
      <w:pPr>
        <w:pStyle w:val="UZEINormaln"/>
      </w:pPr>
      <w:r w:rsidRPr="00D95127">
        <w:t>2.A.e.1.a) Podpora chovateli, jehož vyjmenovaná hospodářská zvířata jsou zařazena do KU, oprávněným osobám zajišťujícím KU. Podpora chovatelům bude poskytnuta prostřednictvím oprávněných osob, které zajišťují KU, z toho oprávněná osoba obdrží, pokud se jedná o skot 8 %, pokud se jedná o ostatní vyjmenovaná hospodářská zvířata 4 % z přiznané dotace.</w:t>
      </w:r>
    </w:p>
    <w:p w14:paraId="3460B69C" w14:textId="2F75C83A" w:rsidR="00A16DDB" w:rsidRPr="00D95127" w:rsidRDefault="00A16DDB" w:rsidP="00EE733F">
      <w:pPr>
        <w:pStyle w:val="UZEIOdrky"/>
      </w:pPr>
      <w:r w:rsidRPr="00D95127">
        <w:t>ovce a kozy, u ovcí do 150 Kč za 1 kus, zapojený v KU, u koz a ovcí s prováděnou kontrolou mléčné užitkovosti do 300 Kč za 1 kus, zapojený v KU,</w:t>
      </w:r>
    </w:p>
    <w:p w14:paraId="7D4A4BD8" w14:textId="77777777" w:rsidR="00A16DDB" w:rsidRPr="00D95127" w:rsidRDefault="00A16DDB" w:rsidP="00EE733F">
      <w:pPr>
        <w:pStyle w:val="UZEINormaln"/>
      </w:pPr>
      <w:r w:rsidRPr="00D95127">
        <w:t>2.A.e.2.i) Podpora chovateli na plemenného berana pocházejícího z chovu zapojeného v KU a zapsaného do PK s přiděleným ústředním registrem, chovaného v době od 1.9.2017 do 31.8.2018 do 17 Kč na jeden krmný den.</w:t>
      </w:r>
    </w:p>
    <w:p w14:paraId="264CA11F" w14:textId="77777777" w:rsidR="00A16DDB" w:rsidRPr="00D95127" w:rsidRDefault="00A16DDB" w:rsidP="00EE733F">
      <w:pPr>
        <w:pStyle w:val="UZEINormaln"/>
      </w:pPr>
      <w:r w:rsidRPr="00D95127">
        <w:t>2.A.e.2.j) Podpora chovateli na plemenného kozla pocházejícího z chovu zapojeného v KU a zapsaného do PK s přiděleným ústředním registrem, chovaného v době od 1.9.2017 do 31.8.2018 do 20 Kč na jeden krmný den.</w:t>
      </w:r>
    </w:p>
    <w:p w14:paraId="48623BC3" w14:textId="44DB1EA3" w:rsidR="00A16DDB" w:rsidRPr="00EE733F" w:rsidRDefault="00A16DDB" w:rsidP="00EE733F">
      <w:pPr>
        <w:pStyle w:val="UZEINormaln"/>
      </w:pPr>
      <w:r w:rsidRPr="00D95127">
        <w:t>2.A.e.2.k) Podpora chovateli na plemenného berana nebo kozla s doloženou plemennou hodnotou, vybraného uznaným chovatelským sdružením do plemenitby a prodaného a zařazeného v elitních třídách, v období od 1.9. 2017 do 31.8.2018.</w:t>
      </w:r>
    </w:p>
    <w:p w14:paraId="7B9B832D" w14:textId="3AB7EC67" w:rsidR="00A16DDB" w:rsidRPr="00D95127" w:rsidRDefault="00A16DDB" w:rsidP="00EE733F">
      <w:pPr>
        <w:pStyle w:val="UZEITaB"/>
      </w:pPr>
      <w:bookmarkStart w:id="1222" w:name="_Toc4156777"/>
      <w:bookmarkStart w:id="1223" w:name="_Toc81738556"/>
      <w:r w:rsidRPr="00D95127">
        <w:t>Podprogram 6.1 - Podpora genetických zdrojů zvířat</w:t>
      </w:r>
      <w:bookmarkEnd w:id="1222"/>
      <w:bookmarkEnd w:id="1223"/>
    </w:p>
    <w:tbl>
      <w:tblPr>
        <w:tblW w:w="898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3"/>
        <w:gridCol w:w="5981"/>
        <w:gridCol w:w="1749"/>
      </w:tblGrid>
      <w:tr w:rsidR="00A16DDB" w:rsidRPr="00EE733F" w14:paraId="5953D710" w14:textId="77777777" w:rsidTr="00EE733F">
        <w:trPr>
          <w:trHeight w:val="672"/>
        </w:trPr>
        <w:tc>
          <w:tcPr>
            <w:tcW w:w="1253" w:type="dxa"/>
            <w:tcBorders>
              <w:top w:val="single" w:sz="4" w:space="0" w:color="auto"/>
              <w:left w:val="single" w:sz="4" w:space="0" w:color="auto"/>
              <w:bottom w:val="single" w:sz="4" w:space="0" w:color="auto"/>
              <w:right w:val="single" w:sz="4" w:space="0" w:color="auto"/>
            </w:tcBorders>
            <w:vAlign w:val="center"/>
            <w:hideMark/>
          </w:tcPr>
          <w:p w14:paraId="18043F4D" w14:textId="77777777" w:rsidR="00A16DDB" w:rsidRPr="00EE733F" w:rsidRDefault="00A16DDB" w:rsidP="007A627A">
            <w:pPr>
              <w:jc w:val="center"/>
              <w:rPr>
                <w:rFonts w:eastAsia="Times New Roman" w:cs="Times New Roman"/>
                <w:sz w:val="20"/>
                <w:szCs w:val="20"/>
                <w:lang w:val="cs-CZ" w:eastAsia="cs-CZ"/>
              </w:rPr>
            </w:pPr>
            <w:r w:rsidRPr="00EE733F">
              <w:rPr>
                <w:rFonts w:eastAsia="Times New Roman" w:cs="Times New Roman"/>
                <w:sz w:val="20"/>
                <w:szCs w:val="20"/>
                <w:lang w:val="cs-CZ" w:eastAsia="cs-CZ"/>
              </w:rPr>
              <w:t>6.1.4.a</w:t>
            </w:r>
          </w:p>
        </w:tc>
        <w:tc>
          <w:tcPr>
            <w:tcW w:w="5981" w:type="dxa"/>
            <w:tcBorders>
              <w:top w:val="single" w:sz="4" w:space="0" w:color="auto"/>
              <w:left w:val="single" w:sz="4" w:space="0" w:color="auto"/>
              <w:bottom w:val="single" w:sz="4" w:space="0" w:color="auto"/>
              <w:right w:val="single" w:sz="4" w:space="0" w:color="auto"/>
            </w:tcBorders>
            <w:vAlign w:val="center"/>
            <w:hideMark/>
          </w:tcPr>
          <w:p w14:paraId="75FD1A73" w14:textId="77777777" w:rsidR="00A16DDB" w:rsidRPr="00EE733F" w:rsidRDefault="00A16DDB" w:rsidP="007A627A">
            <w:pPr>
              <w:rPr>
                <w:rFonts w:eastAsia="Times New Roman" w:cs="Times New Roman"/>
                <w:sz w:val="20"/>
                <w:szCs w:val="20"/>
                <w:lang w:val="cs-CZ" w:eastAsia="cs-CZ"/>
              </w:rPr>
            </w:pPr>
            <w:r w:rsidRPr="00EE733F">
              <w:rPr>
                <w:rFonts w:eastAsia="Times New Roman" w:cs="Times New Roman"/>
                <w:sz w:val="20"/>
                <w:szCs w:val="20"/>
                <w:lang w:val="cs-CZ" w:eastAsia="cs-CZ"/>
              </w:rPr>
              <w:t>Plemeno šumavská ovce reprodukčně aktivní bahnice zařazená v kontrole užitkovosti v chovech s produkcí plemenných beranů</w:t>
            </w:r>
          </w:p>
        </w:tc>
        <w:tc>
          <w:tcPr>
            <w:tcW w:w="1749" w:type="dxa"/>
            <w:tcBorders>
              <w:top w:val="single" w:sz="4" w:space="0" w:color="auto"/>
              <w:left w:val="single" w:sz="4" w:space="0" w:color="auto"/>
              <w:bottom w:val="single" w:sz="4" w:space="0" w:color="auto"/>
              <w:right w:val="single" w:sz="4" w:space="0" w:color="auto"/>
            </w:tcBorders>
            <w:vAlign w:val="center"/>
            <w:hideMark/>
          </w:tcPr>
          <w:p w14:paraId="09ECB7CD" w14:textId="77777777" w:rsidR="00A16DDB" w:rsidRPr="00EE733F" w:rsidRDefault="00A16DDB" w:rsidP="007A627A">
            <w:pPr>
              <w:jc w:val="center"/>
              <w:rPr>
                <w:rFonts w:eastAsia="Times New Roman" w:cs="Times New Roman"/>
                <w:sz w:val="20"/>
                <w:szCs w:val="20"/>
                <w:lang w:val="cs-CZ" w:eastAsia="cs-CZ"/>
              </w:rPr>
            </w:pPr>
            <w:r w:rsidRPr="00EE733F">
              <w:rPr>
                <w:rFonts w:eastAsia="Times New Roman" w:cs="Times New Roman"/>
                <w:sz w:val="20"/>
                <w:szCs w:val="20"/>
                <w:lang w:val="cs-CZ" w:eastAsia="cs-CZ"/>
              </w:rPr>
              <w:t>do 800,- Kč</w:t>
            </w:r>
          </w:p>
        </w:tc>
      </w:tr>
      <w:tr w:rsidR="00A16DDB" w:rsidRPr="00EE733F" w14:paraId="726D515B" w14:textId="77777777" w:rsidTr="00EE733F">
        <w:trPr>
          <w:trHeight w:val="465"/>
        </w:trPr>
        <w:tc>
          <w:tcPr>
            <w:tcW w:w="1253" w:type="dxa"/>
            <w:tcBorders>
              <w:top w:val="single" w:sz="4" w:space="0" w:color="auto"/>
              <w:left w:val="single" w:sz="4" w:space="0" w:color="auto"/>
              <w:bottom w:val="single" w:sz="4" w:space="0" w:color="auto"/>
              <w:right w:val="single" w:sz="4" w:space="0" w:color="auto"/>
            </w:tcBorders>
            <w:vAlign w:val="center"/>
            <w:hideMark/>
          </w:tcPr>
          <w:p w14:paraId="006E655F" w14:textId="77777777" w:rsidR="00A16DDB" w:rsidRPr="00EE733F" w:rsidRDefault="00A16DDB" w:rsidP="007A627A">
            <w:pPr>
              <w:jc w:val="center"/>
              <w:rPr>
                <w:rFonts w:eastAsia="Times New Roman" w:cs="Times New Roman"/>
                <w:sz w:val="20"/>
                <w:szCs w:val="20"/>
                <w:lang w:val="cs-CZ" w:eastAsia="cs-CZ"/>
              </w:rPr>
            </w:pPr>
            <w:r w:rsidRPr="00EE733F">
              <w:rPr>
                <w:rFonts w:eastAsia="Times New Roman" w:cs="Times New Roman"/>
                <w:sz w:val="20"/>
                <w:szCs w:val="20"/>
                <w:lang w:val="cs-CZ" w:eastAsia="cs-CZ"/>
              </w:rPr>
              <w:t>6.1.4.b</w:t>
            </w:r>
          </w:p>
        </w:tc>
        <w:tc>
          <w:tcPr>
            <w:tcW w:w="5981" w:type="dxa"/>
            <w:tcBorders>
              <w:top w:val="single" w:sz="4" w:space="0" w:color="auto"/>
              <w:left w:val="single" w:sz="4" w:space="0" w:color="auto"/>
              <w:bottom w:val="single" w:sz="4" w:space="0" w:color="auto"/>
              <w:right w:val="single" w:sz="4" w:space="0" w:color="auto"/>
            </w:tcBorders>
            <w:vAlign w:val="center"/>
            <w:hideMark/>
          </w:tcPr>
          <w:p w14:paraId="263397D9" w14:textId="77777777" w:rsidR="00A16DDB" w:rsidRPr="00EE733F" w:rsidRDefault="00A16DDB" w:rsidP="007A627A">
            <w:pPr>
              <w:rPr>
                <w:rFonts w:eastAsia="Times New Roman" w:cs="Times New Roman"/>
                <w:sz w:val="20"/>
                <w:szCs w:val="20"/>
                <w:lang w:val="cs-CZ" w:eastAsia="cs-CZ"/>
              </w:rPr>
            </w:pPr>
            <w:r w:rsidRPr="00EE733F">
              <w:rPr>
                <w:rFonts w:eastAsia="Times New Roman" w:cs="Times New Roman"/>
                <w:sz w:val="20"/>
                <w:szCs w:val="20"/>
                <w:lang w:val="cs-CZ" w:eastAsia="cs-CZ"/>
              </w:rPr>
              <w:t>Plemeno šumavská ovce reprodukčně aktivní bahnice zařazená v kontrole užitkovosti v ostatních chovech</w:t>
            </w:r>
          </w:p>
        </w:tc>
        <w:tc>
          <w:tcPr>
            <w:tcW w:w="1749" w:type="dxa"/>
            <w:tcBorders>
              <w:top w:val="single" w:sz="4" w:space="0" w:color="auto"/>
              <w:left w:val="single" w:sz="4" w:space="0" w:color="auto"/>
              <w:bottom w:val="single" w:sz="4" w:space="0" w:color="auto"/>
              <w:right w:val="single" w:sz="4" w:space="0" w:color="auto"/>
            </w:tcBorders>
            <w:vAlign w:val="center"/>
            <w:hideMark/>
          </w:tcPr>
          <w:p w14:paraId="24552B5D" w14:textId="77777777" w:rsidR="00A16DDB" w:rsidRPr="00EE733F" w:rsidRDefault="00A16DDB" w:rsidP="007A627A">
            <w:pPr>
              <w:jc w:val="center"/>
              <w:rPr>
                <w:rFonts w:eastAsia="Times New Roman" w:cs="Times New Roman"/>
                <w:sz w:val="20"/>
                <w:szCs w:val="20"/>
                <w:lang w:val="cs-CZ" w:eastAsia="cs-CZ"/>
              </w:rPr>
            </w:pPr>
            <w:r w:rsidRPr="00EE733F">
              <w:rPr>
                <w:rFonts w:eastAsia="Times New Roman" w:cs="Times New Roman"/>
                <w:sz w:val="20"/>
                <w:szCs w:val="20"/>
                <w:lang w:val="cs-CZ" w:eastAsia="cs-CZ"/>
              </w:rPr>
              <w:t>do 400,- Kč</w:t>
            </w:r>
          </w:p>
        </w:tc>
      </w:tr>
      <w:tr w:rsidR="00A16DDB" w:rsidRPr="00EE733F" w14:paraId="21CD1632" w14:textId="77777777" w:rsidTr="00EE733F">
        <w:trPr>
          <w:trHeight w:val="484"/>
        </w:trPr>
        <w:tc>
          <w:tcPr>
            <w:tcW w:w="1253" w:type="dxa"/>
            <w:tcBorders>
              <w:top w:val="single" w:sz="4" w:space="0" w:color="auto"/>
              <w:left w:val="single" w:sz="4" w:space="0" w:color="auto"/>
              <w:bottom w:val="single" w:sz="4" w:space="0" w:color="auto"/>
              <w:right w:val="single" w:sz="4" w:space="0" w:color="auto"/>
            </w:tcBorders>
            <w:vAlign w:val="center"/>
            <w:hideMark/>
          </w:tcPr>
          <w:p w14:paraId="66D70BF3" w14:textId="77777777" w:rsidR="00A16DDB" w:rsidRPr="00EE733F" w:rsidRDefault="00A16DDB" w:rsidP="007A627A">
            <w:pPr>
              <w:jc w:val="center"/>
              <w:rPr>
                <w:rFonts w:eastAsia="Times New Roman" w:cs="Times New Roman"/>
                <w:sz w:val="20"/>
                <w:szCs w:val="20"/>
                <w:lang w:val="cs-CZ" w:eastAsia="cs-CZ"/>
              </w:rPr>
            </w:pPr>
            <w:r w:rsidRPr="00EE733F">
              <w:rPr>
                <w:rFonts w:eastAsia="Times New Roman" w:cs="Times New Roman"/>
                <w:sz w:val="20"/>
                <w:szCs w:val="20"/>
                <w:lang w:val="cs-CZ" w:eastAsia="cs-CZ"/>
              </w:rPr>
              <w:t>6.1.5.a</w:t>
            </w:r>
          </w:p>
        </w:tc>
        <w:tc>
          <w:tcPr>
            <w:tcW w:w="5981" w:type="dxa"/>
            <w:tcBorders>
              <w:top w:val="single" w:sz="4" w:space="0" w:color="auto"/>
              <w:left w:val="single" w:sz="4" w:space="0" w:color="auto"/>
              <w:bottom w:val="single" w:sz="4" w:space="0" w:color="auto"/>
              <w:right w:val="single" w:sz="4" w:space="0" w:color="auto"/>
            </w:tcBorders>
            <w:vAlign w:val="center"/>
            <w:hideMark/>
          </w:tcPr>
          <w:p w14:paraId="62F2637C" w14:textId="77777777" w:rsidR="00A16DDB" w:rsidRPr="00EE733F" w:rsidRDefault="00A16DDB" w:rsidP="007A627A">
            <w:pPr>
              <w:rPr>
                <w:rFonts w:eastAsia="Times New Roman" w:cs="Times New Roman"/>
                <w:sz w:val="20"/>
                <w:szCs w:val="20"/>
                <w:lang w:val="cs-CZ" w:eastAsia="cs-CZ"/>
              </w:rPr>
            </w:pPr>
            <w:r w:rsidRPr="00EE733F">
              <w:rPr>
                <w:rFonts w:eastAsia="Times New Roman" w:cs="Times New Roman"/>
                <w:sz w:val="20"/>
                <w:szCs w:val="20"/>
                <w:lang w:val="cs-CZ" w:eastAsia="cs-CZ"/>
              </w:rPr>
              <w:t>Plemeno valašská ovce reprodukčně aktivní bahnice zařazená v kontrole užitkovosti</w:t>
            </w:r>
          </w:p>
        </w:tc>
        <w:tc>
          <w:tcPr>
            <w:tcW w:w="1749" w:type="dxa"/>
            <w:tcBorders>
              <w:top w:val="single" w:sz="4" w:space="0" w:color="auto"/>
              <w:left w:val="single" w:sz="4" w:space="0" w:color="auto"/>
              <w:bottom w:val="single" w:sz="4" w:space="0" w:color="auto"/>
              <w:right w:val="single" w:sz="4" w:space="0" w:color="auto"/>
            </w:tcBorders>
            <w:vAlign w:val="center"/>
            <w:hideMark/>
          </w:tcPr>
          <w:p w14:paraId="07DF6FB5" w14:textId="77777777" w:rsidR="00A16DDB" w:rsidRPr="00EE733F" w:rsidRDefault="00A16DDB" w:rsidP="007A627A">
            <w:pPr>
              <w:jc w:val="center"/>
              <w:rPr>
                <w:rFonts w:eastAsia="Times New Roman" w:cs="Times New Roman"/>
                <w:sz w:val="20"/>
                <w:szCs w:val="20"/>
                <w:lang w:val="cs-CZ" w:eastAsia="cs-CZ"/>
              </w:rPr>
            </w:pPr>
            <w:r w:rsidRPr="00EE733F">
              <w:rPr>
                <w:rFonts w:eastAsia="Times New Roman" w:cs="Times New Roman"/>
                <w:sz w:val="20"/>
                <w:szCs w:val="20"/>
                <w:lang w:val="cs-CZ" w:eastAsia="cs-CZ"/>
              </w:rPr>
              <w:t>do 1 000,- Kč</w:t>
            </w:r>
          </w:p>
        </w:tc>
      </w:tr>
      <w:tr w:rsidR="00A16DDB" w:rsidRPr="00EE733F" w14:paraId="259E38E7" w14:textId="77777777" w:rsidTr="00EE733F">
        <w:trPr>
          <w:trHeight w:val="463"/>
        </w:trPr>
        <w:tc>
          <w:tcPr>
            <w:tcW w:w="1253" w:type="dxa"/>
            <w:tcBorders>
              <w:top w:val="single" w:sz="4" w:space="0" w:color="auto"/>
              <w:left w:val="single" w:sz="4" w:space="0" w:color="auto"/>
              <w:bottom w:val="single" w:sz="4" w:space="0" w:color="auto"/>
              <w:right w:val="single" w:sz="4" w:space="0" w:color="auto"/>
            </w:tcBorders>
            <w:vAlign w:val="center"/>
            <w:hideMark/>
          </w:tcPr>
          <w:p w14:paraId="53D952C8" w14:textId="77777777" w:rsidR="00A16DDB" w:rsidRPr="00EE733F" w:rsidRDefault="00A16DDB" w:rsidP="007A627A">
            <w:pPr>
              <w:jc w:val="center"/>
              <w:rPr>
                <w:rFonts w:eastAsia="Times New Roman" w:cs="Times New Roman"/>
                <w:sz w:val="20"/>
                <w:szCs w:val="20"/>
                <w:lang w:val="cs-CZ" w:eastAsia="cs-CZ"/>
              </w:rPr>
            </w:pPr>
            <w:r w:rsidRPr="00EE733F">
              <w:rPr>
                <w:rFonts w:eastAsia="Times New Roman" w:cs="Times New Roman"/>
                <w:sz w:val="20"/>
                <w:szCs w:val="20"/>
                <w:lang w:val="cs-CZ" w:eastAsia="cs-CZ"/>
              </w:rPr>
              <w:t>6.1.6.a</w:t>
            </w:r>
          </w:p>
        </w:tc>
        <w:tc>
          <w:tcPr>
            <w:tcW w:w="5981" w:type="dxa"/>
            <w:tcBorders>
              <w:top w:val="single" w:sz="4" w:space="0" w:color="auto"/>
              <w:left w:val="single" w:sz="4" w:space="0" w:color="auto"/>
              <w:bottom w:val="single" w:sz="4" w:space="0" w:color="auto"/>
              <w:right w:val="single" w:sz="4" w:space="0" w:color="auto"/>
            </w:tcBorders>
            <w:vAlign w:val="center"/>
            <w:hideMark/>
          </w:tcPr>
          <w:p w14:paraId="53499B98" w14:textId="77777777" w:rsidR="00A16DDB" w:rsidRPr="00EE733F" w:rsidRDefault="00A16DDB" w:rsidP="007A627A">
            <w:pPr>
              <w:rPr>
                <w:rFonts w:eastAsia="Times New Roman" w:cs="Times New Roman"/>
                <w:sz w:val="20"/>
                <w:szCs w:val="20"/>
                <w:lang w:val="cs-CZ" w:eastAsia="cs-CZ"/>
              </w:rPr>
            </w:pPr>
            <w:r w:rsidRPr="00EE733F">
              <w:rPr>
                <w:rFonts w:eastAsia="Times New Roman" w:cs="Times New Roman"/>
                <w:sz w:val="20"/>
                <w:szCs w:val="20"/>
                <w:lang w:val="cs-CZ" w:eastAsia="cs-CZ"/>
              </w:rPr>
              <w:t>Plemeno bílá krátkosrstá koza reprodukčně aktivní koza zařazená v kontrole užitkovosti</w:t>
            </w:r>
          </w:p>
        </w:tc>
        <w:tc>
          <w:tcPr>
            <w:tcW w:w="1749" w:type="dxa"/>
            <w:tcBorders>
              <w:top w:val="single" w:sz="4" w:space="0" w:color="auto"/>
              <w:left w:val="single" w:sz="4" w:space="0" w:color="auto"/>
              <w:bottom w:val="single" w:sz="4" w:space="0" w:color="auto"/>
              <w:right w:val="single" w:sz="4" w:space="0" w:color="auto"/>
            </w:tcBorders>
            <w:vAlign w:val="center"/>
            <w:hideMark/>
          </w:tcPr>
          <w:p w14:paraId="49E3075C" w14:textId="77777777" w:rsidR="00A16DDB" w:rsidRPr="00EE733F" w:rsidRDefault="00A16DDB" w:rsidP="007A627A">
            <w:pPr>
              <w:jc w:val="center"/>
              <w:rPr>
                <w:rFonts w:eastAsia="Times New Roman" w:cs="Times New Roman"/>
                <w:sz w:val="20"/>
                <w:szCs w:val="20"/>
                <w:lang w:val="cs-CZ" w:eastAsia="cs-CZ"/>
              </w:rPr>
            </w:pPr>
            <w:r w:rsidRPr="00EE733F">
              <w:rPr>
                <w:rFonts w:eastAsia="Times New Roman" w:cs="Times New Roman"/>
                <w:sz w:val="20"/>
                <w:szCs w:val="20"/>
                <w:lang w:val="cs-CZ" w:eastAsia="cs-CZ"/>
              </w:rPr>
              <w:t>do 800,- Kč</w:t>
            </w:r>
          </w:p>
        </w:tc>
      </w:tr>
      <w:tr w:rsidR="00A16DDB" w:rsidRPr="00EE733F" w14:paraId="5A2C7ECB" w14:textId="77777777" w:rsidTr="00EE733F">
        <w:trPr>
          <w:trHeight w:val="456"/>
        </w:trPr>
        <w:tc>
          <w:tcPr>
            <w:tcW w:w="1253" w:type="dxa"/>
            <w:tcBorders>
              <w:top w:val="single" w:sz="4" w:space="0" w:color="auto"/>
              <w:left w:val="single" w:sz="4" w:space="0" w:color="auto"/>
              <w:bottom w:val="single" w:sz="4" w:space="0" w:color="auto"/>
              <w:right w:val="single" w:sz="4" w:space="0" w:color="auto"/>
            </w:tcBorders>
            <w:vAlign w:val="center"/>
            <w:hideMark/>
          </w:tcPr>
          <w:p w14:paraId="41F9BFA6" w14:textId="77777777" w:rsidR="00A16DDB" w:rsidRPr="00EE733F" w:rsidRDefault="00A16DDB" w:rsidP="007A627A">
            <w:pPr>
              <w:jc w:val="center"/>
              <w:rPr>
                <w:rFonts w:eastAsia="Times New Roman" w:cs="Times New Roman"/>
                <w:sz w:val="20"/>
                <w:szCs w:val="20"/>
                <w:lang w:val="cs-CZ" w:eastAsia="cs-CZ"/>
              </w:rPr>
            </w:pPr>
            <w:r w:rsidRPr="00EE733F">
              <w:rPr>
                <w:rFonts w:eastAsia="Times New Roman" w:cs="Times New Roman"/>
                <w:sz w:val="20"/>
                <w:szCs w:val="20"/>
                <w:lang w:val="cs-CZ" w:eastAsia="cs-CZ"/>
              </w:rPr>
              <w:t>6.1.7.a</w:t>
            </w:r>
          </w:p>
        </w:tc>
        <w:tc>
          <w:tcPr>
            <w:tcW w:w="5981" w:type="dxa"/>
            <w:tcBorders>
              <w:top w:val="single" w:sz="4" w:space="0" w:color="auto"/>
              <w:left w:val="single" w:sz="4" w:space="0" w:color="auto"/>
              <w:bottom w:val="single" w:sz="4" w:space="0" w:color="auto"/>
              <w:right w:val="single" w:sz="4" w:space="0" w:color="auto"/>
            </w:tcBorders>
            <w:vAlign w:val="center"/>
            <w:hideMark/>
          </w:tcPr>
          <w:p w14:paraId="253A12F5" w14:textId="77777777" w:rsidR="00A16DDB" w:rsidRPr="00EE733F" w:rsidRDefault="00A16DDB" w:rsidP="007A627A">
            <w:pPr>
              <w:rPr>
                <w:rFonts w:eastAsia="Times New Roman" w:cs="Times New Roman"/>
                <w:sz w:val="20"/>
                <w:szCs w:val="20"/>
                <w:lang w:val="cs-CZ" w:eastAsia="cs-CZ"/>
              </w:rPr>
            </w:pPr>
            <w:r w:rsidRPr="00EE733F">
              <w:rPr>
                <w:rFonts w:eastAsia="Times New Roman" w:cs="Times New Roman"/>
                <w:sz w:val="20"/>
                <w:szCs w:val="20"/>
                <w:lang w:val="cs-CZ" w:eastAsia="cs-CZ"/>
              </w:rPr>
              <w:t>Plemeno hnědá krátkosrstá koza reprodukčně aktivní koza zařazená v kontrole užitkovosti</w:t>
            </w:r>
          </w:p>
        </w:tc>
        <w:tc>
          <w:tcPr>
            <w:tcW w:w="1749" w:type="dxa"/>
            <w:tcBorders>
              <w:top w:val="single" w:sz="4" w:space="0" w:color="auto"/>
              <w:left w:val="single" w:sz="4" w:space="0" w:color="auto"/>
              <w:bottom w:val="single" w:sz="4" w:space="0" w:color="auto"/>
              <w:right w:val="single" w:sz="4" w:space="0" w:color="auto"/>
            </w:tcBorders>
            <w:vAlign w:val="center"/>
            <w:hideMark/>
          </w:tcPr>
          <w:p w14:paraId="3FF5F7B4" w14:textId="77777777" w:rsidR="00A16DDB" w:rsidRPr="00EE733F" w:rsidRDefault="00A16DDB" w:rsidP="007A627A">
            <w:pPr>
              <w:jc w:val="center"/>
              <w:rPr>
                <w:rFonts w:eastAsia="Times New Roman" w:cs="Times New Roman"/>
                <w:sz w:val="20"/>
                <w:szCs w:val="20"/>
                <w:lang w:val="cs-CZ" w:eastAsia="cs-CZ"/>
              </w:rPr>
            </w:pPr>
            <w:r w:rsidRPr="00EE733F">
              <w:rPr>
                <w:rFonts w:eastAsia="Times New Roman" w:cs="Times New Roman"/>
                <w:sz w:val="20"/>
                <w:szCs w:val="20"/>
                <w:lang w:val="cs-CZ" w:eastAsia="cs-CZ"/>
              </w:rPr>
              <w:t>do 1 000,- Kč</w:t>
            </w:r>
          </w:p>
        </w:tc>
      </w:tr>
    </w:tbl>
    <w:p w14:paraId="780919BE" w14:textId="77777777" w:rsidR="00A16DDB" w:rsidRPr="00D95127" w:rsidRDefault="00A16DDB" w:rsidP="00A16DDB">
      <w:pPr>
        <w:rPr>
          <w:rFonts w:eastAsia="Times New Roman" w:cs="Times New Roman"/>
          <w:szCs w:val="24"/>
          <w:lang w:val="cs-CZ" w:eastAsia="cs-CZ"/>
        </w:rPr>
      </w:pPr>
    </w:p>
    <w:p w14:paraId="102D92BA" w14:textId="77777777" w:rsidR="00A16DDB" w:rsidRPr="00D95127" w:rsidRDefault="00A16DDB" w:rsidP="00EE733F">
      <w:pPr>
        <w:pStyle w:val="UZEINormaln"/>
      </w:pPr>
      <w:r w:rsidRPr="00D95127">
        <w:t xml:space="preserve">Podpory podle Zásad nemají v podstatě žádný kladný vliv na rentabilitu, i když v podstatě podpora plemeníků má příznivý vliv na obnovu stáda. Ale nelze tento vliv propočítat na ks bahnice/kozy, neboť jeden plemeník je chován ke stádu 5 ks, a jindy postačuje na 50 samic. </w:t>
      </w:r>
    </w:p>
    <w:p w14:paraId="3F62910F" w14:textId="77777777" w:rsidR="00A16DDB" w:rsidRPr="00D95127" w:rsidRDefault="00A16DDB" w:rsidP="00EE733F">
      <w:pPr>
        <w:pStyle w:val="UZEINormaln"/>
      </w:pPr>
      <w:r w:rsidRPr="00D95127">
        <w:t>Podpora genofondu je pouze částečnou kompenzací vícenákladů, spojených s kontrolou užitkovosti.</w:t>
      </w:r>
    </w:p>
    <w:p w14:paraId="4363BBB9" w14:textId="77777777" w:rsidR="00A16DDB" w:rsidRPr="00D95127" w:rsidRDefault="00A16DDB" w:rsidP="00A16DDB">
      <w:pPr>
        <w:pStyle w:val="Odstavecseseznamem"/>
        <w:ind w:left="0" w:firstLine="709"/>
        <w:rPr>
          <w:u w:val="single"/>
        </w:rPr>
      </w:pPr>
    </w:p>
    <w:p w14:paraId="4A8F1FCB" w14:textId="77777777" w:rsidR="00EE733F" w:rsidRDefault="00EE733F">
      <w:pPr>
        <w:spacing w:after="160" w:line="259" w:lineRule="auto"/>
        <w:jc w:val="left"/>
        <w:rPr>
          <w:rFonts w:eastAsiaTheme="majorEastAsia" w:cs="Times New Roman"/>
          <w:b/>
          <w:bCs/>
          <w:sz w:val="28"/>
          <w:szCs w:val="32"/>
          <w:lang w:val="cs-CZ"/>
        </w:rPr>
      </w:pPr>
      <w:bookmarkStart w:id="1224" w:name="_Toc76137480"/>
      <w:bookmarkStart w:id="1225" w:name="_Toc76637679"/>
      <w:bookmarkStart w:id="1226" w:name="_Toc80953368"/>
      <w:r>
        <w:br w:type="page"/>
      </w:r>
    </w:p>
    <w:p w14:paraId="642588CA" w14:textId="3ED34872" w:rsidR="00A16DDB" w:rsidRPr="00D95127" w:rsidRDefault="00A16DDB" w:rsidP="00EE733F">
      <w:pPr>
        <w:pStyle w:val="Nadpis1"/>
      </w:pPr>
      <w:bookmarkStart w:id="1227" w:name="_Toc81739320"/>
      <w:r w:rsidRPr="00D95127">
        <w:t>Existence/neexistence možnosti efektivního řešení v rámci nástrojů SZP, které lze uvažovat v nových návrzích SZP</w:t>
      </w:r>
      <w:bookmarkEnd w:id="1224"/>
      <w:bookmarkEnd w:id="1225"/>
      <w:bookmarkEnd w:id="1226"/>
      <w:bookmarkEnd w:id="1227"/>
    </w:p>
    <w:p w14:paraId="0EFD8C65" w14:textId="77777777" w:rsidR="00A16DDB" w:rsidRPr="00EE733F" w:rsidRDefault="00A16DDB" w:rsidP="00EE733F">
      <w:pPr>
        <w:pStyle w:val="UZEINormaln"/>
        <w:rPr>
          <w:b/>
          <w:bCs/>
        </w:rPr>
      </w:pPr>
      <w:r w:rsidRPr="00EE733F">
        <w:rPr>
          <w:b/>
          <w:bCs/>
        </w:rPr>
        <w:t>Intervence na podporu chovu a koz</w:t>
      </w:r>
    </w:p>
    <w:p w14:paraId="2FFFBE75" w14:textId="77777777" w:rsidR="00A16DDB" w:rsidRPr="00D95127" w:rsidRDefault="00A16DDB" w:rsidP="00EE733F">
      <w:pPr>
        <w:pStyle w:val="UZEIOdrky"/>
      </w:pPr>
      <w:r w:rsidRPr="00D95127">
        <w:t xml:space="preserve">Záporná rentabilita je částečně vyrovnávána dobrovolně vázanou podporou (VCS). K zajištění současných stavů je nutno v obdobné podpoře pokračovat. </w:t>
      </w:r>
    </w:p>
    <w:p w14:paraId="013A5816" w14:textId="77777777" w:rsidR="00A16DDB" w:rsidRPr="00D95127" w:rsidRDefault="00A16DDB" w:rsidP="00EE733F">
      <w:pPr>
        <w:pStyle w:val="UZEIOdrky"/>
      </w:pPr>
      <w:r w:rsidRPr="00D95127">
        <w:t>Zachování vázaných plateb zejména u pasených ovcí a koz</w:t>
      </w:r>
    </w:p>
    <w:p w14:paraId="365205B5" w14:textId="77777777" w:rsidR="00A16DDB" w:rsidRPr="00D95127" w:rsidRDefault="00A16DDB" w:rsidP="00EE733F">
      <w:pPr>
        <w:pStyle w:val="UZEIOdrky"/>
      </w:pPr>
      <w:r w:rsidRPr="00D95127">
        <w:t>Zachování podpory plemeníků v rámci národních dotací.</w:t>
      </w:r>
    </w:p>
    <w:p w14:paraId="03B1AFB3" w14:textId="77777777" w:rsidR="00A16DDB" w:rsidRPr="00D95127" w:rsidRDefault="00A16DDB" w:rsidP="00EE733F">
      <w:pPr>
        <w:pStyle w:val="UZEIOdrky"/>
      </w:pPr>
      <w:r w:rsidRPr="00D95127">
        <w:t>Podpora investic do faremního zpracování mléka.</w:t>
      </w:r>
    </w:p>
    <w:p w14:paraId="52AE14C8" w14:textId="77777777" w:rsidR="00A16DDB" w:rsidRPr="00D95127" w:rsidRDefault="00A16DDB" w:rsidP="00EE733F">
      <w:pPr>
        <w:pStyle w:val="UZEIOdrky"/>
      </w:pPr>
      <w:r w:rsidRPr="00D95127">
        <w:t>Podpora investic do ustájovacích zařízení a pastevních areálů</w:t>
      </w:r>
    </w:p>
    <w:p w14:paraId="7B6023AE" w14:textId="77777777" w:rsidR="00A16DDB" w:rsidRPr="00D95127" w:rsidRDefault="00A16DDB" w:rsidP="00EE733F">
      <w:pPr>
        <w:pStyle w:val="UZEIOdrky"/>
      </w:pPr>
      <w:r w:rsidRPr="00D95127">
        <w:t>Potřeba cíleného poradenství</w:t>
      </w:r>
    </w:p>
    <w:p w14:paraId="390BC67F" w14:textId="2404D42A" w:rsidR="00A16DDB" w:rsidRPr="00EE733F" w:rsidRDefault="00A16DDB" w:rsidP="00EE733F">
      <w:pPr>
        <w:pStyle w:val="UZEIOdrky"/>
      </w:pPr>
      <w:r w:rsidRPr="00D95127">
        <w:t>Změny zákonů s cílem usnadnit výstavbu pastevních areálů</w:t>
      </w:r>
    </w:p>
    <w:p w14:paraId="13CAC783" w14:textId="2924ADD1" w:rsidR="00A16DDB" w:rsidRPr="00D95127" w:rsidRDefault="00A16DDB" w:rsidP="00EE733F">
      <w:pPr>
        <w:pStyle w:val="UZEITaB"/>
      </w:pPr>
      <w:bookmarkStart w:id="1228" w:name="_Toc81738557"/>
      <w:r w:rsidRPr="00D95127">
        <w:t>Ekonomika chovu ovcí v letech 2018 až 2020 s výhledem do 2030</w:t>
      </w:r>
      <w:bookmarkEnd w:id="1228"/>
    </w:p>
    <w:p w14:paraId="6554AA1B" w14:textId="77777777" w:rsidR="00A16DDB" w:rsidRPr="00D95127" w:rsidRDefault="00A16DDB" w:rsidP="00A16DDB">
      <w:pPr>
        <w:spacing w:after="120"/>
        <w:rPr>
          <w:rFonts w:cs="Times New Roman"/>
          <w:color w:val="000000"/>
          <w:szCs w:val="24"/>
          <w:lang w:val="cs-CZ"/>
        </w:rPr>
      </w:pPr>
      <w:r w:rsidRPr="00D95127">
        <w:rPr>
          <w:rFonts w:cs="Times New Roman"/>
          <w:noProof/>
          <w:lang w:val="cs-CZ"/>
        </w:rPr>
        <w:drawing>
          <wp:inline distT="0" distB="0" distL="0" distR="0" wp14:anchorId="5BDFF08F" wp14:editId="391C8846">
            <wp:extent cx="5657850" cy="1047750"/>
            <wp:effectExtent l="0" t="0" r="0" b="0"/>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657850" cy="1047750"/>
                    </a:xfrm>
                    <a:prstGeom prst="rect">
                      <a:avLst/>
                    </a:prstGeom>
                    <a:noFill/>
                    <a:ln>
                      <a:noFill/>
                    </a:ln>
                  </pic:spPr>
                </pic:pic>
              </a:graphicData>
            </a:graphic>
          </wp:inline>
        </w:drawing>
      </w:r>
    </w:p>
    <w:p w14:paraId="7C0EAC84" w14:textId="77777777" w:rsidR="00A16DDB" w:rsidRPr="00D95127" w:rsidRDefault="00A16DDB" w:rsidP="00EE733F">
      <w:pPr>
        <w:pStyle w:val="UZEIZdroj"/>
      </w:pPr>
      <w:r w:rsidRPr="00D95127">
        <w:t>Zdroj: Výběrové šetření nákladů a výnosů vybraných zemědělských komodit ÚZEI, vlastní výpočty</w:t>
      </w:r>
    </w:p>
    <w:p w14:paraId="59FD3492" w14:textId="447B9216" w:rsidR="00A16DDB" w:rsidRPr="00D95127" w:rsidRDefault="00A16DDB" w:rsidP="00EE733F">
      <w:pPr>
        <w:pStyle w:val="UZEITaB"/>
      </w:pPr>
      <w:bookmarkStart w:id="1229" w:name="_Toc81738558"/>
      <w:r w:rsidRPr="00D95127">
        <w:t>Ekonomika chovu koz v letech 2018 až 2020 s výhledem do 2030</w:t>
      </w:r>
      <w:bookmarkEnd w:id="1229"/>
    </w:p>
    <w:p w14:paraId="61D69F2D" w14:textId="77777777" w:rsidR="00A16DDB" w:rsidRPr="00D95127" w:rsidRDefault="00A16DDB" w:rsidP="00A16DDB">
      <w:pPr>
        <w:spacing w:after="120"/>
        <w:rPr>
          <w:rFonts w:cs="Times New Roman"/>
          <w:color w:val="000000"/>
          <w:szCs w:val="24"/>
          <w:lang w:val="cs-CZ"/>
        </w:rPr>
      </w:pPr>
      <w:r w:rsidRPr="00D95127">
        <w:rPr>
          <w:rFonts w:cs="Times New Roman"/>
          <w:noProof/>
          <w:lang w:val="cs-CZ"/>
        </w:rPr>
        <w:drawing>
          <wp:inline distT="0" distB="0" distL="0" distR="0" wp14:anchorId="16A4B59B" wp14:editId="47D7BC6C">
            <wp:extent cx="5657850" cy="1285875"/>
            <wp:effectExtent l="0" t="0" r="0" b="952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657850" cy="1285875"/>
                    </a:xfrm>
                    <a:prstGeom prst="rect">
                      <a:avLst/>
                    </a:prstGeom>
                    <a:noFill/>
                    <a:ln>
                      <a:noFill/>
                    </a:ln>
                  </pic:spPr>
                </pic:pic>
              </a:graphicData>
            </a:graphic>
          </wp:inline>
        </w:drawing>
      </w:r>
    </w:p>
    <w:p w14:paraId="429C1019" w14:textId="1358E8F7" w:rsidR="00A16DDB" w:rsidRPr="00EE733F" w:rsidRDefault="00A16DDB" w:rsidP="00EE733F">
      <w:pPr>
        <w:pStyle w:val="UZEIZdroj"/>
      </w:pPr>
      <w:r w:rsidRPr="00D95127">
        <w:t>Zdroj: Výběrové šetření nákladů a výnosů vybraných zemědělských komodit ÚZEI, vlastní výpočty</w:t>
      </w:r>
    </w:p>
    <w:p w14:paraId="78225ECE" w14:textId="795D18A3" w:rsidR="00A16DDB" w:rsidRPr="00D95127" w:rsidRDefault="00A16DDB" w:rsidP="00EE733F">
      <w:pPr>
        <w:pStyle w:val="UZEITaB"/>
      </w:pPr>
      <w:bookmarkStart w:id="1230" w:name="_Toc81738559"/>
      <w:r w:rsidRPr="00D95127">
        <w:t>Teorie změny – ovce a kozy</w:t>
      </w:r>
      <w:bookmarkEnd w:id="1230"/>
    </w:p>
    <w:tbl>
      <w:tblPr>
        <w:tblStyle w:val="Mkatabulky"/>
        <w:tblW w:w="0" w:type="auto"/>
        <w:tblLayout w:type="fixed"/>
        <w:tblLook w:val="04A0" w:firstRow="1" w:lastRow="0" w:firstColumn="1" w:lastColumn="0" w:noHBand="0" w:noVBand="1"/>
      </w:tblPr>
      <w:tblGrid>
        <w:gridCol w:w="1447"/>
        <w:gridCol w:w="1421"/>
        <w:gridCol w:w="1656"/>
        <w:gridCol w:w="1239"/>
        <w:gridCol w:w="1462"/>
        <w:gridCol w:w="1835"/>
      </w:tblGrid>
      <w:tr w:rsidR="00A16DDB" w:rsidRPr="00EE733F" w14:paraId="0F4643C8" w14:textId="77777777" w:rsidTr="007A627A">
        <w:tc>
          <w:tcPr>
            <w:tcW w:w="1447" w:type="dxa"/>
          </w:tcPr>
          <w:p w14:paraId="599BF454" w14:textId="77777777" w:rsidR="00A16DDB" w:rsidRPr="00EE733F" w:rsidRDefault="00A16DDB" w:rsidP="007A627A">
            <w:pPr>
              <w:rPr>
                <w:b/>
                <w:bCs/>
                <w:sz w:val="20"/>
              </w:rPr>
            </w:pPr>
            <w:r w:rsidRPr="00EE733F">
              <w:rPr>
                <w:b/>
                <w:bCs/>
                <w:sz w:val="20"/>
              </w:rPr>
              <w:t>Problém</w:t>
            </w:r>
          </w:p>
        </w:tc>
        <w:tc>
          <w:tcPr>
            <w:tcW w:w="1421" w:type="dxa"/>
          </w:tcPr>
          <w:p w14:paraId="4EF91F25" w14:textId="6F6ED12D" w:rsidR="00A16DDB" w:rsidRPr="00EE733F" w:rsidRDefault="00EE733F" w:rsidP="007A627A">
            <w:pPr>
              <w:rPr>
                <w:b/>
                <w:bCs/>
                <w:sz w:val="20"/>
              </w:rPr>
            </w:pPr>
            <w:r>
              <w:rPr>
                <w:b/>
                <w:bCs/>
                <w:sz w:val="20"/>
              </w:rPr>
              <w:t>P</w:t>
            </w:r>
            <w:r w:rsidR="00A16DDB" w:rsidRPr="00EE733F">
              <w:rPr>
                <w:b/>
                <w:bCs/>
                <w:sz w:val="20"/>
              </w:rPr>
              <w:t>říčiny</w:t>
            </w:r>
          </w:p>
        </w:tc>
        <w:tc>
          <w:tcPr>
            <w:tcW w:w="1656" w:type="dxa"/>
          </w:tcPr>
          <w:p w14:paraId="462CA61C" w14:textId="77777777" w:rsidR="00A16DDB" w:rsidRPr="00EE733F" w:rsidRDefault="00A16DDB" w:rsidP="007A627A">
            <w:pPr>
              <w:rPr>
                <w:b/>
                <w:bCs/>
                <w:sz w:val="20"/>
              </w:rPr>
            </w:pPr>
            <w:r w:rsidRPr="00EE733F">
              <w:rPr>
                <w:b/>
                <w:bCs/>
                <w:sz w:val="20"/>
              </w:rPr>
              <w:t>Převládající chování/reakce zemědělců</w:t>
            </w:r>
          </w:p>
        </w:tc>
        <w:tc>
          <w:tcPr>
            <w:tcW w:w="1239" w:type="dxa"/>
          </w:tcPr>
          <w:p w14:paraId="39ED4794" w14:textId="77777777" w:rsidR="00A16DDB" w:rsidRPr="00EE733F" w:rsidRDefault="00A16DDB" w:rsidP="007A627A">
            <w:pPr>
              <w:rPr>
                <w:b/>
                <w:bCs/>
                <w:sz w:val="20"/>
              </w:rPr>
            </w:pPr>
            <w:r w:rsidRPr="00EE733F">
              <w:rPr>
                <w:b/>
                <w:bCs/>
                <w:sz w:val="20"/>
              </w:rPr>
              <w:t>Nutná změna</w:t>
            </w:r>
          </w:p>
        </w:tc>
        <w:tc>
          <w:tcPr>
            <w:tcW w:w="1462" w:type="dxa"/>
          </w:tcPr>
          <w:p w14:paraId="5EDFD693" w14:textId="77777777" w:rsidR="00A16DDB" w:rsidRPr="00EE733F" w:rsidRDefault="00A16DDB" w:rsidP="007A627A">
            <w:pPr>
              <w:rPr>
                <w:b/>
                <w:bCs/>
                <w:sz w:val="20"/>
              </w:rPr>
            </w:pPr>
            <w:r w:rsidRPr="00EE733F">
              <w:rPr>
                <w:b/>
                <w:bCs/>
                <w:sz w:val="20"/>
              </w:rPr>
              <w:t>intervence</w:t>
            </w:r>
          </w:p>
        </w:tc>
        <w:tc>
          <w:tcPr>
            <w:tcW w:w="1835" w:type="dxa"/>
          </w:tcPr>
          <w:p w14:paraId="4C37AF20" w14:textId="77777777" w:rsidR="00A16DDB" w:rsidRPr="00EE733F" w:rsidRDefault="00A16DDB" w:rsidP="007A627A">
            <w:pPr>
              <w:rPr>
                <w:b/>
                <w:bCs/>
                <w:sz w:val="20"/>
              </w:rPr>
            </w:pPr>
            <w:r w:rsidRPr="00EE733F">
              <w:rPr>
                <w:b/>
                <w:bCs/>
                <w:sz w:val="20"/>
              </w:rPr>
              <w:t>Prvek intervence</w:t>
            </w:r>
          </w:p>
        </w:tc>
      </w:tr>
      <w:tr w:rsidR="00A16DDB" w:rsidRPr="00EE733F" w14:paraId="56DE878E" w14:textId="77777777" w:rsidTr="007A627A">
        <w:tc>
          <w:tcPr>
            <w:tcW w:w="1447" w:type="dxa"/>
          </w:tcPr>
          <w:p w14:paraId="15A30B61" w14:textId="77777777" w:rsidR="00A16DDB" w:rsidRPr="00EE733F" w:rsidRDefault="00A16DDB" w:rsidP="007A627A">
            <w:pPr>
              <w:rPr>
                <w:sz w:val="20"/>
              </w:rPr>
            </w:pPr>
            <w:r w:rsidRPr="00EE733F">
              <w:rPr>
                <w:sz w:val="20"/>
              </w:rPr>
              <w:t xml:space="preserve">Zachování potřebné úrovně, značný environmentální a sociální význam </w:t>
            </w:r>
          </w:p>
        </w:tc>
        <w:tc>
          <w:tcPr>
            <w:tcW w:w="1421" w:type="dxa"/>
          </w:tcPr>
          <w:p w14:paraId="2AF832CD" w14:textId="77777777" w:rsidR="00A16DDB" w:rsidRPr="00EE733F" w:rsidRDefault="00A16DDB" w:rsidP="007A627A">
            <w:pPr>
              <w:rPr>
                <w:sz w:val="20"/>
              </w:rPr>
            </w:pPr>
            <w:r w:rsidRPr="00EE733F">
              <w:rPr>
                <w:sz w:val="20"/>
              </w:rPr>
              <w:t xml:space="preserve">Roztříštěnost chovů. </w:t>
            </w:r>
          </w:p>
        </w:tc>
        <w:tc>
          <w:tcPr>
            <w:tcW w:w="1656" w:type="dxa"/>
          </w:tcPr>
          <w:p w14:paraId="0EC19C8C" w14:textId="77777777" w:rsidR="00A16DDB" w:rsidRPr="00EE733F" w:rsidRDefault="00A16DDB" w:rsidP="007A627A">
            <w:pPr>
              <w:rPr>
                <w:sz w:val="20"/>
              </w:rPr>
            </w:pPr>
            <w:r w:rsidRPr="00EE733F">
              <w:rPr>
                <w:sz w:val="20"/>
              </w:rPr>
              <w:t>Mimo velké chovy se pak jedná spíše o hobby chovy, mající však znační environmetální a sociální význam</w:t>
            </w:r>
          </w:p>
        </w:tc>
        <w:tc>
          <w:tcPr>
            <w:tcW w:w="1239" w:type="dxa"/>
          </w:tcPr>
          <w:p w14:paraId="349F5192" w14:textId="77777777" w:rsidR="00A16DDB" w:rsidRPr="00EE733F" w:rsidRDefault="00A16DDB" w:rsidP="007A627A">
            <w:pPr>
              <w:rPr>
                <w:sz w:val="20"/>
              </w:rPr>
            </w:pPr>
            <w:r w:rsidRPr="00EE733F">
              <w:rPr>
                <w:sz w:val="20"/>
              </w:rPr>
              <w:t>Podpora znalostí, pokračování v podpoře plemeníků a genofondu</w:t>
            </w:r>
          </w:p>
        </w:tc>
        <w:tc>
          <w:tcPr>
            <w:tcW w:w="1462" w:type="dxa"/>
          </w:tcPr>
          <w:p w14:paraId="5F09160B" w14:textId="77777777" w:rsidR="00A16DDB" w:rsidRPr="00EE733F" w:rsidRDefault="00A16DDB" w:rsidP="007A627A">
            <w:pPr>
              <w:rPr>
                <w:sz w:val="20"/>
              </w:rPr>
            </w:pPr>
            <w:r w:rsidRPr="00EE733F">
              <w:rPr>
                <w:sz w:val="20"/>
              </w:rPr>
              <w:t xml:space="preserve">Podpora plemeníků </w:t>
            </w:r>
          </w:p>
        </w:tc>
        <w:tc>
          <w:tcPr>
            <w:tcW w:w="1835" w:type="dxa"/>
          </w:tcPr>
          <w:p w14:paraId="7A9F9330" w14:textId="77777777" w:rsidR="00A16DDB" w:rsidRPr="00EE733F" w:rsidRDefault="00A16DDB" w:rsidP="007A627A">
            <w:pPr>
              <w:rPr>
                <w:sz w:val="20"/>
              </w:rPr>
            </w:pPr>
            <w:r w:rsidRPr="00EE733F">
              <w:rPr>
                <w:sz w:val="20"/>
              </w:rPr>
              <w:t>Podpora plemeníků</w:t>
            </w:r>
          </w:p>
        </w:tc>
      </w:tr>
      <w:tr w:rsidR="00A16DDB" w:rsidRPr="00EE733F" w14:paraId="626EEC6A" w14:textId="77777777" w:rsidTr="007A627A">
        <w:tc>
          <w:tcPr>
            <w:tcW w:w="1447" w:type="dxa"/>
          </w:tcPr>
          <w:p w14:paraId="32033AD0" w14:textId="77777777" w:rsidR="00A16DDB" w:rsidRPr="00EE733F" w:rsidRDefault="00A16DDB" w:rsidP="007A627A">
            <w:pPr>
              <w:rPr>
                <w:sz w:val="20"/>
              </w:rPr>
            </w:pPr>
          </w:p>
        </w:tc>
        <w:tc>
          <w:tcPr>
            <w:tcW w:w="1421" w:type="dxa"/>
          </w:tcPr>
          <w:p w14:paraId="40F40A70" w14:textId="77777777" w:rsidR="00A16DDB" w:rsidRPr="00EE733F" w:rsidRDefault="00A16DDB" w:rsidP="007A627A">
            <w:pPr>
              <w:rPr>
                <w:sz w:val="20"/>
              </w:rPr>
            </w:pPr>
            <w:r w:rsidRPr="00EE733F">
              <w:rPr>
                <w:sz w:val="20"/>
              </w:rPr>
              <w:t>Nízká rentabilita chovu</w:t>
            </w:r>
          </w:p>
        </w:tc>
        <w:tc>
          <w:tcPr>
            <w:tcW w:w="1656" w:type="dxa"/>
          </w:tcPr>
          <w:p w14:paraId="6D415276" w14:textId="77777777" w:rsidR="00A16DDB" w:rsidRPr="00EE733F" w:rsidRDefault="00A16DDB" w:rsidP="007A627A">
            <w:pPr>
              <w:rPr>
                <w:sz w:val="20"/>
              </w:rPr>
            </w:pPr>
            <w:r w:rsidRPr="00EE733F">
              <w:rPr>
                <w:sz w:val="20"/>
              </w:rPr>
              <w:t>Využívání stávajících podpor, zvýšený výskyt pastva</w:t>
            </w:r>
          </w:p>
        </w:tc>
        <w:tc>
          <w:tcPr>
            <w:tcW w:w="1239" w:type="dxa"/>
          </w:tcPr>
          <w:p w14:paraId="7E0568A8" w14:textId="77777777" w:rsidR="00A16DDB" w:rsidRPr="00EE733F" w:rsidRDefault="00A16DDB" w:rsidP="007A627A">
            <w:pPr>
              <w:rPr>
                <w:sz w:val="20"/>
              </w:rPr>
            </w:pPr>
            <w:r w:rsidRPr="00EE733F">
              <w:rPr>
                <w:sz w:val="20"/>
              </w:rPr>
              <w:t xml:space="preserve">Zachování stávajících podpor </w:t>
            </w:r>
          </w:p>
        </w:tc>
        <w:tc>
          <w:tcPr>
            <w:tcW w:w="1462" w:type="dxa"/>
          </w:tcPr>
          <w:p w14:paraId="308CF589" w14:textId="77777777" w:rsidR="00A16DDB" w:rsidRPr="00EE733F" w:rsidRDefault="00A16DDB" w:rsidP="007A627A">
            <w:pPr>
              <w:rPr>
                <w:sz w:val="20"/>
              </w:rPr>
            </w:pPr>
            <w:r w:rsidRPr="00EE733F">
              <w:rPr>
                <w:sz w:val="20"/>
              </w:rPr>
              <w:t>Přímé platby a VCS</w:t>
            </w:r>
          </w:p>
        </w:tc>
        <w:tc>
          <w:tcPr>
            <w:tcW w:w="1835" w:type="dxa"/>
          </w:tcPr>
          <w:p w14:paraId="2AB45007" w14:textId="77777777" w:rsidR="00A16DDB" w:rsidRPr="00EE733F" w:rsidRDefault="00A16DDB" w:rsidP="007A627A">
            <w:pPr>
              <w:rPr>
                <w:sz w:val="20"/>
              </w:rPr>
            </w:pPr>
            <w:r w:rsidRPr="00EE733F">
              <w:rPr>
                <w:sz w:val="20"/>
              </w:rPr>
              <w:t>Přímé platby a VCS</w:t>
            </w:r>
          </w:p>
        </w:tc>
      </w:tr>
      <w:tr w:rsidR="00A16DDB" w:rsidRPr="00EE733F" w14:paraId="123A1AE1" w14:textId="77777777" w:rsidTr="007A627A">
        <w:tc>
          <w:tcPr>
            <w:tcW w:w="1447" w:type="dxa"/>
          </w:tcPr>
          <w:p w14:paraId="54709079" w14:textId="77777777" w:rsidR="00A16DDB" w:rsidRPr="00EE733F" w:rsidRDefault="00A16DDB" w:rsidP="007A627A">
            <w:pPr>
              <w:rPr>
                <w:sz w:val="20"/>
              </w:rPr>
            </w:pPr>
          </w:p>
        </w:tc>
        <w:tc>
          <w:tcPr>
            <w:tcW w:w="1421" w:type="dxa"/>
          </w:tcPr>
          <w:p w14:paraId="7D63565C" w14:textId="77777777" w:rsidR="00A16DDB" w:rsidRPr="00EE733F" w:rsidRDefault="00A16DDB" w:rsidP="007A627A">
            <w:pPr>
              <w:rPr>
                <w:sz w:val="20"/>
              </w:rPr>
            </w:pPr>
            <w:r w:rsidRPr="00EE733F">
              <w:rPr>
                <w:sz w:val="20"/>
              </w:rPr>
              <w:t>Mnohdy nedostatečné péče z hlediska veterinárního</w:t>
            </w:r>
          </w:p>
        </w:tc>
        <w:tc>
          <w:tcPr>
            <w:tcW w:w="1656" w:type="dxa"/>
          </w:tcPr>
          <w:p w14:paraId="66F4F08B" w14:textId="77777777" w:rsidR="00A16DDB" w:rsidRPr="00EE733F" w:rsidRDefault="00A16DDB" w:rsidP="007A627A">
            <w:pPr>
              <w:rPr>
                <w:sz w:val="20"/>
              </w:rPr>
            </w:pPr>
            <w:r w:rsidRPr="00EE733F">
              <w:rPr>
                <w:sz w:val="20"/>
              </w:rPr>
              <w:t>Rozdílná úroveň veterinární péče, špatné odčervování a péče o paznehty</w:t>
            </w:r>
          </w:p>
        </w:tc>
        <w:tc>
          <w:tcPr>
            <w:tcW w:w="1239" w:type="dxa"/>
          </w:tcPr>
          <w:p w14:paraId="5DBCFEB4" w14:textId="77777777" w:rsidR="00A16DDB" w:rsidRPr="00EE733F" w:rsidRDefault="00A16DDB" w:rsidP="007A627A">
            <w:pPr>
              <w:rPr>
                <w:sz w:val="20"/>
              </w:rPr>
            </w:pPr>
            <w:r w:rsidRPr="00EE733F">
              <w:rPr>
                <w:sz w:val="20"/>
              </w:rPr>
              <w:t>Posílit a zkvalitnit veterinární péči</w:t>
            </w:r>
          </w:p>
        </w:tc>
        <w:tc>
          <w:tcPr>
            <w:tcW w:w="1462" w:type="dxa"/>
          </w:tcPr>
          <w:p w14:paraId="3684230C" w14:textId="77777777" w:rsidR="00A16DDB" w:rsidRPr="00EE733F" w:rsidRDefault="00A16DDB" w:rsidP="007A627A">
            <w:pPr>
              <w:rPr>
                <w:sz w:val="20"/>
              </w:rPr>
            </w:pPr>
            <w:r w:rsidRPr="00EE733F">
              <w:rPr>
                <w:sz w:val="20"/>
              </w:rPr>
              <w:t>Podpora speciálního poradenství, program animal welfare podpořit péči o paznehty přímou dotací v rámci 2. pilíře (lavážní vany, přípravky)</w:t>
            </w:r>
          </w:p>
        </w:tc>
        <w:tc>
          <w:tcPr>
            <w:tcW w:w="1835" w:type="dxa"/>
          </w:tcPr>
          <w:p w14:paraId="06414D2B" w14:textId="77777777" w:rsidR="00A16DDB" w:rsidRPr="00EE733F" w:rsidRDefault="00A16DDB" w:rsidP="007A627A">
            <w:pPr>
              <w:rPr>
                <w:sz w:val="20"/>
              </w:rPr>
            </w:pPr>
            <w:r w:rsidRPr="00EE733F">
              <w:rPr>
                <w:sz w:val="20"/>
              </w:rPr>
              <w:t>Podpora speciálního poradenství podpořit péči o paznehty přímou dotací v rámci 2. pilíře</w:t>
            </w:r>
          </w:p>
        </w:tc>
      </w:tr>
      <w:tr w:rsidR="00A16DDB" w:rsidRPr="00EE733F" w14:paraId="3D28A0F7" w14:textId="77777777" w:rsidTr="007A627A">
        <w:tc>
          <w:tcPr>
            <w:tcW w:w="1447" w:type="dxa"/>
          </w:tcPr>
          <w:p w14:paraId="5A25DC50" w14:textId="77777777" w:rsidR="00A16DDB" w:rsidRPr="00EE733F" w:rsidRDefault="00A16DDB" w:rsidP="007A627A">
            <w:pPr>
              <w:rPr>
                <w:sz w:val="20"/>
              </w:rPr>
            </w:pPr>
          </w:p>
        </w:tc>
        <w:tc>
          <w:tcPr>
            <w:tcW w:w="1421" w:type="dxa"/>
          </w:tcPr>
          <w:p w14:paraId="7981DA33" w14:textId="77777777" w:rsidR="00A16DDB" w:rsidRPr="00EE733F" w:rsidRDefault="00A16DDB" w:rsidP="007A627A">
            <w:pPr>
              <w:rPr>
                <w:sz w:val="20"/>
              </w:rPr>
            </w:pPr>
            <w:r w:rsidRPr="00EE733F">
              <w:rPr>
                <w:sz w:val="20"/>
              </w:rPr>
              <w:t>Málo funkční odbytová organizace</w:t>
            </w:r>
          </w:p>
        </w:tc>
        <w:tc>
          <w:tcPr>
            <w:tcW w:w="1656" w:type="dxa"/>
          </w:tcPr>
          <w:p w14:paraId="059CE160" w14:textId="77777777" w:rsidR="00A16DDB" w:rsidRPr="00EE733F" w:rsidRDefault="00A16DDB" w:rsidP="007A627A">
            <w:pPr>
              <w:rPr>
                <w:sz w:val="20"/>
              </w:rPr>
            </w:pPr>
            <w:r w:rsidRPr="00EE733F">
              <w:rPr>
                <w:sz w:val="20"/>
              </w:rPr>
              <w:t xml:space="preserve">Většinou přímý odbyt </w:t>
            </w:r>
          </w:p>
        </w:tc>
        <w:tc>
          <w:tcPr>
            <w:tcW w:w="1239" w:type="dxa"/>
          </w:tcPr>
          <w:p w14:paraId="6E7EC350" w14:textId="77777777" w:rsidR="00A16DDB" w:rsidRPr="00EE733F" w:rsidRDefault="00A16DDB" w:rsidP="007A627A">
            <w:pPr>
              <w:rPr>
                <w:sz w:val="20"/>
              </w:rPr>
            </w:pPr>
            <w:r w:rsidRPr="00EE733F">
              <w:rPr>
                <w:sz w:val="20"/>
              </w:rPr>
              <w:t>Motivovat odbyt přes odbytovou organizaci</w:t>
            </w:r>
          </w:p>
        </w:tc>
        <w:tc>
          <w:tcPr>
            <w:tcW w:w="1462" w:type="dxa"/>
          </w:tcPr>
          <w:p w14:paraId="1017D10C" w14:textId="77777777" w:rsidR="00A16DDB" w:rsidRPr="00EE733F" w:rsidRDefault="00A16DDB" w:rsidP="007A627A">
            <w:pPr>
              <w:rPr>
                <w:sz w:val="20"/>
              </w:rPr>
            </w:pPr>
            <w:r w:rsidRPr="00EE733F">
              <w:rPr>
                <w:sz w:val="20"/>
              </w:rPr>
              <w:t>Podpora v rámci SOT</w:t>
            </w:r>
          </w:p>
        </w:tc>
        <w:tc>
          <w:tcPr>
            <w:tcW w:w="1835" w:type="dxa"/>
          </w:tcPr>
          <w:p w14:paraId="7CBB6BEF" w14:textId="77777777" w:rsidR="00A16DDB" w:rsidRPr="00EE733F" w:rsidRDefault="00A16DDB" w:rsidP="007A627A">
            <w:pPr>
              <w:rPr>
                <w:sz w:val="20"/>
              </w:rPr>
            </w:pPr>
            <w:r w:rsidRPr="00EE733F">
              <w:rPr>
                <w:sz w:val="20"/>
              </w:rPr>
              <w:t>Podpora v rámci SOT</w:t>
            </w:r>
          </w:p>
        </w:tc>
      </w:tr>
      <w:tr w:rsidR="00A16DDB" w:rsidRPr="00EE733F" w14:paraId="17B10DC7" w14:textId="77777777" w:rsidTr="007A627A">
        <w:tc>
          <w:tcPr>
            <w:tcW w:w="1447" w:type="dxa"/>
          </w:tcPr>
          <w:p w14:paraId="5AB4085C" w14:textId="77777777" w:rsidR="00A16DDB" w:rsidRPr="00EE733F" w:rsidRDefault="00A16DDB" w:rsidP="007A627A">
            <w:pPr>
              <w:rPr>
                <w:sz w:val="20"/>
              </w:rPr>
            </w:pPr>
          </w:p>
        </w:tc>
        <w:tc>
          <w:tcPr>
            <w:tcW w:w="1421" w:type="dxa"/>
          </w:tcPr>
          <w:p w14:paraId="47B18916" w14:textId="77777777" w:rsidR="00A16DDB" w:rsidRPr="00EE733F" w:rsidRDefault="00A16DDB" w:rsidP="007A627A">
            <w:pPr>
              <w:rPr>
                <w:sz w:val="20"/>
              </w:rPr>
            </w:pPr>
            <w:r w:rsidRPr="00EE733F">
              <w:rPr>
                <w:sz w:val="20"/>
              </w:rPr>
              <w:t xml:space="preserve">Nízká péče o pastviny, nepříznivé dopady sucha na pastviny </w:t>
            </w:r>
          </w:p>
        </w:tc>
        <w:tc>
          <w:tcPr>
            <w:tcW w:w="1656" w:type="dxa"/>
          </w:tcPr>
          <w:p w14:paraId="00E4FEC4" w14:textId="77777777" w:rsidR="00A16DDB" w:rsidRPr="00EE733F" w:rsidRDefault="00A16DDB" w:rsidP="007A627A">
            <w:pPr>
              <w:rPr>
                <w:sz w:val="20"/>
              </w:rPr>
            </w:pPr>
            <w:r w:rsidRPr="00EE733F">
              <w:rPr>
                <w:sz w:val="20"/>
              </w:rPr>
              <w:t>Rozdílná úroveň péče o pastviny</w:t>
            </w:r>
          </w:p>
        </w:tc>
        <w:tc>
          <w:tcPr>
            <w:tcW w:w="1239" w:type="dxa"/>
          </w:tcPr>
          <w:p w14:paraId="6C0E5CA6" w14:textId="77777777" w:rsidR="00A16DDB" w:rsidRPr="00EE733F" w:rsidRDefault="00A16DDB" w:rsidP="007A627A">
            <w:pPr>
              <w:rPr>
                <w:sz w:val="20"/>
              </w:rPr>
            </w:pPr>
            <w:r w:rsidRPr="00EE733F">
              <w:rPr>
                <w:sz w:val="20"/>
              </w:rPr>
              <w:t>Zjednodušení podmínek péče o pastviny v případě sucha</w:t>
            </w:r>
          </w:p>
        </w:tc>
        <w:tc>
          <w:tcPr>
            <w:tcW w:w="1462" w:type="dxa"/>
          </w:tcPr>
          <w:p w14:paraId="7E053607" w14:textId="77777777" w:rsidR="00A16DDB" w:rsidRPr="00EE733F" w:rsidRDefault="00A16DDB" w:rsidP="007A627A">
            <w:pPr>
              <w:rPr>
                <w:sz w:val="20"/>
              </w:rPr>
            </w:pPr>
            <w:r w:rsidRPr="00EE733F">
              <w:rPr>
                <w:sz w:val="20"/>
              </w:rPr>
              <w:t>Větší pružnost v nastavení podmínek</w:t>
            </w:r>
          </w:p>
        </w:tc>
        <w:tc>
          <w:tcPr>
            <w:tcW w:w="1835" w:type="dxa"/>
          </w:tcPr>
          <w:p w14:paraId="28F69B50" w14:textId="77777777" w:rsidR="00A16DDB" w:rsidRPr="00EE733F" w:rsidRDefault="00A16DDB" w:rsidP="007A627A">
            <w:pPr>
              <w:rPr>
                <w:sz w:val="20"/>
              </w:rPr>
            </w:pPr>
            <w:r w:rsidRPr="00EE733F">
              <w:rPr>
                <w:sz w:val="20"/>
              </w:rPr>
              <w:t>Aktualizovat sazby v AEKO s ohledem na sucho</w:t>
            </w:r>
          </w:p>
        </w:tc>
      </w:tr>
      <w:tr w:rsidR="00A16DDB" w:rsidRPr="00EE733F" w14:paraId="0593E87D" w14:textId="77777777" w:rsidTr="007A627A">
        <w:tc>
          <w:tcPr>
            <w:tcW w:w="1447" w:type="dxa"/>
          </w:tcPr>
          <w:p w14:paraId="7E6A4A3B" w14:textId="77777777" w:rsidR="00A16DDB" w:rsidRPr="00EE733F" w:rsidRDefault="00A16DDB" w:rsidP="007A627A">
            <w:pPr>
              <w:rPr>
                <w:sz w:val="20"/>
              </w:rPr>
            </w:pPr>
          </w:p>
        </w:tc>
        <w:tc>
          <w:tcPr>
            <w:tcW w:w="1421" w:type="dxa"/>
          </w:tcPr>
          <w:p w14:paraId="4EAEA973" w14:textId="77777777" w:rsidR="00A16DDB" w:rsidRPr="00EE733F" w:rsidRDefault="00A16DDB" w:rsidP="007A627A">
            <w:pPr>
              <w:rPr>
                <w:sz w:val="20"/>
              </w:rPr>
            </w:pPr>
            <w:r w:rsidRPr="00EE733F">
              <w:rPr>
                <w:sz w:val="20"/>
              </w:rPr>
              <w:t>Nízká péče o pastevní areály, chybějící napajedla a přístřešky</w:t>
            </w:r>
          </w:p>
        </w:tc>
        <w:tc>
          <w:tcPr>
            <w:tcW w:w="1656" w:type="dxa"/>
          </w:tcPr>
          <w:p w14:paraId="1DA78FE6" w14:textId="77777777" w:rsidR="00A16DDB" w:rsidRPr="00EE733F" w:rsidRDefault="00A16DDB" w:rsidP="007A627A">
            <w:pPr>
              <w:rPr>
                <w:sz w:val="20"/>
              </w:rPr>
            </w:pPr>
            <w:r w:rsidRPr="00EE733F">
              <w:rPr>
                <w:sz w:val="20"/>
              </w:rPr>
              <w:t>Administrativní náročnost zřizování pastevních areálů</w:t>
            </w:r>
          </w:p>
        </w:tc>
        <w:tc>
          <w:tcPr>
            <w:tcW w:w="1239" w:type="dxa"/>
          </w:tcPr>
          <w:p w14:paraId="40482C58" w14:textId="77777777" w:rsidR="00A16DDB" w:rsidRPr="00EE733F" w:rsidRDefault="00A16DDB" w:rsidP="007A627A">
            <w:pPr>
              <w:rPr>
                <w:sz w:val="20"/>
              </w:rPr>
            </w:pPr>
            <w:r w:rsidRPr="00EE733F">
              <w:rPr>
                <w:sz w:val="20"/>
              </w:rPr>
              <w:t>Nutné změna legislativy, investiční podpora v rámci 2. pilíře</w:t>
            </w:r>
          </w:p>
        </w:tc>
        <w:tc>
          <w:tcPr>
            <w:tcW w:w="1462" w:type="dxa"/>
          </w:tcPr>
          <w:p w14:paraId="2BD9F1E1" w14:textId="77777777" w:rsidR="00A16DDB" w:rsidRPr="00EE733F" w:rsidRDefault="00A16DDB" w:rsidP="007A627A">
            <w:pPr>
              <w:rPr>
                <w:sz w:val="20"/>
              </w:rPr>
            </w:pPr>
            <w:r w:rsidRPr="00EE733F">
              <w:rPr>
                <w:sz w:val="20"/>
              </w:rPr>
              <w:t>Vyčlenění obálky na pastevní areály</w:t>
            </w:r>
          </w:p>
        </w:tc>
        <w:tc>
          <w:tcPr>
            <w:tcW w:w="1835" w:type="dxa"/>
          </w:tcPr>
          <w:p w14:paraId="63210A45" w14:textId="77777777" w:rsidR="00A16DDB" w:rsidRPr="00EE733F" w:rsidRDefault="00A16DDB" w:rsidP="007A627A">
            <w:pPr>
              <w:rPr>
                <w:sz w:val="20"/>
              </w:rPr>
            </w:pPr>
            <w:r w:rsidRPr="00EE733F">
              <w:rPr>
                <w:sz w:val="20"/>
              </w:rPr>
              <w:t>Obálka na pastevní areály</w:t>
            </w:r>
          </w:p>
        </w:tc>
      </w:tr>
      <w:tr w:rsidR="00A16DDB" w:rsidRPr="00EE733F" w14:paraId="7AC89C4A" w14:textId="77777777" w:rsidTr="007A627A">
        <w:tc>
          <w:tcPr>
            <w:tcW w:w="1447" w:type="dxa"/>
          </w:tcPr>
          <w:p w14:paraId="164ABAB6" w14:textId="77777777" w:rsidR="00A16DDB" w:rsidRPr="00EE733F" w:rsidRDefault="00A16DDB" w:rsidP="007A627A">
            <w:pPr>
              <w:rPr>
                <w:sz w:val="20"/>
              </w:rPr>
            </w:pPr>
            <w:r w:rsidRPr="00EE733F">
              <w:rPr>
                <w:sz w:val="20"/>
              </w:rPr>
              <w:t>Problémy s faremním zpracováním</w:t>
            </w:r>
          </w:p>
        </w:tc>
        <w:tc>
          <w:tcPr>
            <w:tcW w:w="1421" w:type="dxa"/>
          </w:tcPr>
          <w:p w14:paraId="4BE98D8A" w14:textId="77777777" w:rsidR="00A16DDB" w:rsidRPr="00EE733F" w:rsidRDefault="00A16DDB" w:rsidP="007A627A">
            <w:pPr>
              <w:rPr>
                <w:sz w:val="20"/>
              </w:rPr>
            </w:pPr>
            <w:r w:rsidRPr="00EE733F">
              <w:rPr>
                <w:sz w:val="20"/>
              </w:rPr>
              <w:t>Drahé investice a nízká návratnost, administrativní překážky</w:t>
            </w:r>
          </w:p>
        </w:tc>
        <w:tc>
          <w:tcPr>
            <w:tcW w:w="1656" w:type="dxa"/>
          </w:tcPr>
          <w:p w14:paraId="59E7D487" w14:textId="77777777" w:rsidR="00A16DDB" w:rsidRPr="00EE733F" w:rsidRDefault="00A16DDB" w:rsidP="007A627A">
            <w:pPr>
              <w:rPr>
                <w:sz w:val="20"/>
              </w:rPr>
            </w:pPr>
            <w:r w:rsidRPr="00EE733F">
              <w:rPr>
                <w:sz w:val="20"/>
              </w:rPr>
              <w:t>Administrativní náročnost mnohdy zemědělce odradí od realizace</w:t>
            </w:r>
          </w:p>
        </w:tc>
        <w:tc>
          <w:tcPr>
            <w:tcW w:w="1239" w:type="dxa"/>
          </w:tcPr>
          <w:p w14:paraId="2DD12060" w14:textId="77777777" w:rsidR="00A16DDB" w:rsidRPr="00EE733F" w:rsidRDefault="00A16DDB" w:rsidP="007A627A">
            <w:pPr>
              <w:rPr>
                <w:sz w:val="20"/>
              </w:rPr>
            </w:pPr>
            <w:r w:rsidRPr="00EE733F">
              <w:rPr>
                <w:sz w:val="20"/>
              </w:rPr>
              <w:t>Změny v právním řádu, zjednodušení podmínek – princip jedné žádosti a jednoho kontrolního orgánu</w:t>
            </w:r>
          </w:p>
        </w:tc>
        <w:tc>
          <w:tcPr>
            <w:tcW w:w="1462" w:type="dxa"/>
          </w:tcPr>
          <w:p w14:paraId="4AD3DAD7" w14:textId="77777777" w:rsidR="00A16DDB" w:rsidRPr="00EE733F" w:rsidRDefault="00A16DDB" w:rsidP="007A627A">
            <w:pPr>
              <w:rPr>
                <w:sz w:val="20"/>
              </w:rPr>
            </w:pPr>
            <w:r w:rsidRPr="00EE733F">
              <w:rPr>
                <w:sz w:val="20"/>
              </w:rPr>
              <w:t>Investiční podpora faremního zpracování</w:t>
            </w:r>
          </w:p>
        </w:tc>
        <w:tc>
          <w:tcPr>
            <w:tcW w:w="1835" w:type="dxa"/>
          </w:tcPr>
          <w:p w14:paraId="3C7F4D63" w14:textId="77777777" w:rsidR="00A16DDB" w:rsidRPr="00EE733F" w:rsidRDefault="00A16DDB" w:rsidP="007A627A">
            <w:pPr>
              <w:rPr>
                <w:sz w:val="20"/>
              </w:rPr>
            </w:pPr>
            <w:r w:rsidRPr="00EE733F">
              <w:rPr>
                <w:sz w:val="20"/>
              </w:rPr>
              <w:t>Stanovit obálku na investice</w:t>
            </w:r>
          </w:p>
        </w:tc>
      </w:tr>
      <w:tr w:rsidR="00A16DDB" w:rsidRPr="00EE733F" w14:paraId="154AE46D" w14:textId="77777777" w:rsidTr="007A627A">
        <w:tc>
          <w:tcPr>
            <w:tcW w:w="1447" w:type="dxa"/>
          </w:tcPr>
          <w:p w14:paraId="7D20AE1A" w14:textId="77777777" w:rsidR="00A16DDB" w:rsidRPr="00EE733F" w:rsidRDefault="00A16DDB" w:rsidP="007A627A">
            <w:pPr>
              <w:rPr>
                <w:sz w:val="20"/>
              </w:rPr>
            </w:pPr>
            <w:r w:rsidRPr="00EE733F">
              <w:rPr>
                <w:sz w:val="20"/>
              </w:rPr>
              <w:t>Nízká poptávka na domácím trhu</w:t>
            </w:r>
          </w:p>
        </w:tc>
        <w:tc>
          <w:tcPr>
            <w:tcW w:w="1421" w:type="dxa"/>
          </w:tcPr>
          <w:p w14:paraId="69C418F3" w14:textId="77777777" w:rsidR="00A16DDB" w:rsidRPr="00EE733F" w:rsidRDefault="00A16DDB" w:rsidP="007A627A">
            <w:pPr>
              <w:rPr>
                <w:sz w:val="20"/>
              </w:rPr>
            </w:pPr>
            <w:r w:rsidRPr="00EE733F">
              <w:rPr>
                <w:sz w:val="20"/>
              </w:rPr>
              <w:t>Nízké obecné povědomí o výhodách a zdravotních přínosech konzumace výrobků z ovčího/kozího mléka a skopového masa</w:t>
            </w:r>
          </w:p>
        </w:tc>
        <w:tc>
          <w:tcPr>
            <w:tcW w:w="1656" w:type="dxa"/>
          </w:tcPr>
          <w:p w14:paraId="22FE05B6" w14:textId="77777777" w:rsidR="00A16DDB" w:rsidRPr="00EE733F" w:rsidRDefault="00A16DDB" w:rsidP="007A627A">
            <w:pPr>
              <w:rPr>
                <w:sz w:val="20"/>
              </w:rPr>
            </w:pPr>
            <w:r w:rsidRPr="00EE733F">
              <w:rPr>
                <w:sz w:val="20"/>
              </w:rPr>
              <w:t>Administrativní náročnost mnohdy zemědělce odradí od realizace, odbyt většinou na lokální úrovni</w:t>
            </w:r>
          </w:p>
        </w:tc>
        <w:tc>
          <w:tcPr>
            <w:tcW w:w="1239" w:type="dxa"/>
          </w:tcPr>
          <w:p w14:paraId="062DCC05" w14:textId="77777777" w:rsidR="00A16DDB" w:rsidRPr="00EE733F" w:rsidRDefault="00A16DDB" w:rsidP="007A627A">
            <w:pPr>
              <w:rPr>
                <w:sz w:val="20"/>
              </w:rPr>
            </w:pPr>
            <w:r w:rsidRPr="00EE733F">
              <w:rPr>
                <w:sz w:val="20"/>
              </w:rPr>
              <w:t>Zvýšit obecné povědomí a podpora odbytu na národní úrovni (česká ovce a koza)</w:t>
            </w:r>
          </w:p>
        </w:tc>
        <w:tc>
          <w:tcPr>
            <w:tcW w:w="1462" w:type="dxa"/>
          </w:tcPr>
          <w:p w14:paraId="25F8986F" w14:textId="77777777" w:rsidR="00A16DDB" w:rsidRPr="00EE733F" w:rsidRDefault="00A16DDB" w:rsidP="007A627A">
            <w:pPr>
              <w:rPr>
                <w:sz w:val="20"/>
              </w:rPr>
            </w:pPr>
            <w:r w:rsidRPr="00EE733F">
              <w:rPr>
                <w:sz w:val="20"/>
              </w:rPr>
              <w:t>Vyčlenit zdroje na marketing a podporu odbytu a konzumace na národní úrovni</w:t>
            </w:r>
          </w:p>
        </w:tc>
        <w:tc>
          <w:tcPr>
            <w:tcW w:w="1835" w:type="dxa"/>
          </w:tcPr>
          <w:p w14:paraId="4CFCB224" w14:textId="77777777" w:rsidR="00A16DDB" w:rsidRPr="00EE733F" w:rsidRDefault="00A16DDB" w:rsidP="007A627A">
            <w:pPr>
              <w:rPr>
                <w:sz w:val="20"/>
              </w:rPr>
            </w:pPr>
            <w:r w:rsidRPr="00EE733F">
              <w:rPr>
                <w:sz w:val="20"/>
              </w:rPr>
              <w:t>Vyčlenit zdroje na marketing a podporu odbytu a konzumace na národní úrovni</w:t>
            </w:r>
          </w:p>
        </w:tc>
      </w:tr>
      <w:tr w:rsidR="00A16DDB" w:rsidRPr="00EE733F" w14:paraId="3E6A1DAB" w14:textId="77777777" w:rsidTr="007A627A">
        <w:tc>
          <w:tcPr>
            <w:tcW w:w="1447" w:type="dxa"/>
          </w:tcPr>
          <w:p w14:paraId="7529D8CD" w14:textId="77777777" w:rsidR="00A16DDB" w:rsidRPr="00EE733F" w:rsidRDefault="00A16DDB" w:rsidP="007A627A">
            <w:pPr>
              <w:rPr>
                <w:sz w:val="20"/>
              </w:rPr>
            </w:pPr>
            <w:r w:rsidRPr="00EE733F">
              <w:rPr>
                <w:sz w:val="20"/>
              </w:rPr>
              <w:t>Problém s odbytem vlny, nízká cena</w:t>
            </w:r>
          </w:p>
        </w:tc>
        <w:tc>
          <w:tcPr>
            <w:tcW w:w="1421" w:type="dxa"/>
          </w:tcPr>
          <w:p w14:paraId="616F1AF2" w14:textId="77777777" w:rsidR="00A16DDB" w:rsidRPr="00EE733F" w:rsidRDefault="00A16DDB" w:rsidP="007A627A">
            <w:pPr>
              <w:rPr>
                <w:sz w:val="20"/>
              </w:rPr>
            </w:pPr>
            <w:r w:rsidRPr="00EE733F">
              <w:rPr>
                <w:sz w:val="20"/>
              </w:rPr>
              <w:t>Není vhodné zařízení pro praní a následné zpracování vlny</w:t>
            </w:r>
          </w:p>
        </w:tc>
        <w:tc>
          <w:tcPr>
            <w:tcW w:w="1656" w:type="dxa"/>
          </w:tcPr>
          <w:p w14:paraId="7E699418" w14:textId="77777777" w:rsidR="00A16DDB" w:rsidRPr="00EE733F" w:rsidRDefault="00A16DDB" w:rsidP="007A627A">
            <w:pPr>
              <w:rPr>
                <w:sz w:val="20"/>
              </w:rPr>
            </w:pPr>
            <w:r w:rsidRPr="00EE733F">
              <w:rPr>
                <w:sz w:val="20"/>
              </w:rPr>
              <w:t>Náklady na stříhání ovcí jsou vyšší nežli prodejní cena vlny</w:t>
            </w:r>
          </w:p>
        </w:tc>
        <w:tc>
          <w:tcPr>
            <w:tcW w:w="1239" w:type="dxa"/>
          </w:tcPr>
          <w:p w14:paraId="33636949" w14:textId="77777777" w:rsidR="00A16DDB" w:rsidRPr="00EE733F" w:rsidRDefault="00A16DDB" w:rsidP="007A627A">
            <w:pPr>
              <w:rPr>
                <w:sz w:val="20"/>
              </w:rPr>
            </w:pPr>
            <w:r w:rsidRPr="00EE733F">
              <w:rPr>
                <w:sz w:val="20"/>
              </w:rPr>
              <w:t>Řešení odbytu a následného zpracování vlny</w:t>
            </w:r>
          </w:p>
        </w:tc>
        <w:tc>
          <w:tcPr>
            <w:tcW w:w="1462" w:type="dxa"/>
          </w:tcPr>
          <w:p w14:paraId="07CAE612" w14:textId="77777777" w:rsidR="00A16DDB" w:rsidRPr="00EE733F" w:rsidRDefault="00A16DDB" w:rsidP="007A627A">
            <w:pPr>
              <w:rPr>
                <w:sz w:val="20"/>
              </w:rPr>
            </w:pPr>
            <w:r w:rsidRPr="00EE733F">
              <w:rPr>
                <w:sz w:val="20"/>
              </w:rPr>
              <w:t>Zřízení potřebných kapacit v rámci odbytové organizace Oveko</w:t>
            </w:r>
          </w:p>
        </w:tc>
        <w:tc>
          <w:tcPr>
            <w:tcW w:w="1835" w:type="dxa"/>
          </w:tcPr>
          <w:p w14:paraId="0DE8FE22" w14:textId="77777777" w:rsidR="00A16DDB" w:rsidRPr="00EE733F" w:rsidRDefault="00A16DDB" w:rsidP="007A627A">
            <w:pPr>
              <w:rPr>
                <w:sz w:val="20"/>
              </w:rPr>
            </w:pPr>
            <w:r w:rsidRPr="00EE733F">
              <w:rPr>
                <w:sz w:val="20"/>
              </w:rPr>
              <w:t xml:space="preserve">Vyhlásit možnost podpory investice </w:t>
            </w:r>
          </w:p>
        </w:tc>
      </w:tr>
    </w:tbl>
    <w:p w14:paraId="0800EF42" w14:textId="77777777" w:rsidR="00A16DDB" w:rsidRPr="00D95127" w:rsidRDefault="00A16DDB" w:rsidP="00A16DDB">
      <w:pPr>
        <w:rPr>
          <w:rFonts w:cs="Times New Roman"/>
          <w:szCs w:val="24"/>
          <w:lang w:val="cs-CZ"/>
        </w:rPr>
      </w:pPr>
    </w:p>
    <w:p w14:paraId="509D5ABF" w14:textId="77777777" w:rsidR="00B35613" w:rsidRDefault="00B35613">
      <w:pPr>
        <w:spacing w:after="160" w:line="259" w:lineRule="auto"/>
        <w:jc w:val="left"/>
        <w:rPr>
          <w:rFonts w:eastAsiaTheme="majorEastAsia" w:cs="Times New Roman"/>
          <w:b/>
          <w:bCs/>
          <w:sz w:val="28"/>
          <w:szCs w:val="32"/>
          <w:lang w:val="cs-CZ"/>
        </w:rPr>
      </w:pPr>
      <w:bookmarkStart w:id="1231" w:name="_Toc15304130"/>
      <w:bookmarkStart w:id="1232" w:name="_Toc23509958"/>
      <w:bookmarkStart w:id="1233" w:name="_Toc76137481"/>
      <w:bookmarkStart w:id="1234" w:name="_Toc76637680"/>
      <w:bookmarkStart w:id="1235" w:name="_Toc80953369"/>
      <w:r>
        <w:br w:type="page"/>
      </w:r>
    </w:p>
    <w:p w14:paraId="0004D4D8" w14:textId="5367CFD7" w:rsidR="00A16DDB" w:rsidRPr="00D95127" w:rsidRDefault="00A16DDB" w:rsidP="00B35613">
      <w:pPr>
        <w:pStyle w:val="Nadpis1"/>
      </w:pPr>
      <w:bookmarkStart w:id="1236" w:name="_Toc81739321"/>
      <w:r w:rsidRPr="00D95127">
        <w:t>SWOT analýza</w:t>
      </w:r>
      <w:bookmarkEnd w:id="1231"/>
      <w:bookmarkEnd w:id="1232"/>
      <w:bookmarkEnd w:id="1233"/>
      <w:bookmarkEnd w:id="1234"/>
      <w:bookmarkEnd w:id="1235"/>
      <w:bookmarkEnd w:id="1236"/>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3"/>
        <w:gridCol w:w="4536"/>
      </w:tblGrid>
      <w:tr w:rsidR="00A16DDB" w:rsidRPr="00D95127" w14:paraId="62A2C0ED" w14:textId="77777777" w:rsidTr="007A627A">
        <w:tc>
          <w:tcPr>
            <w:tcW w:w="4673" w:type="dxa"/>
            <w:shd w:val="clear" w:color="auto" w:fill="auto"/>
          </w:tcPr>
          <w:p w14:paraId="54660FA6" w14:textId="77777777" w:rsidR="00A16DDB" w:rsidRPr="00D95127" w:rsidRDefault="00A16DDB" w:rsidP="007A627A">
            <w:pPr>
              <w:jc w:val="center"/>
              <w:rPr>
                <w:rFonts w:cs="Times New Roman"/>
                <w:b/>
                <w:szCs w:val="24"/>
                <w:lang w:val="cs-CZ"/>
              </w:rPr>
            </w:pPr>
            <w:r w:rsidRPr="00D95127">
              <w:rPr>
                <w:rFonts w:cs="Times New Roman"/>
                <w:b/>
                <w:szCs w:val="24"/>
                <w:lang w:val="cs-CZ"/>
              </w:rPr>
              <w:t>Silné stránky</w:t>
            </w:r>
          </w:p>
        </w:tc>
        <w:tc>
          <w:tcPr>
            <w:tcW w:w="4536" w:type="dxa"/>
            <w:shd w:val="clear" w:color="auto" w:fill="auto"/>
          </w:tcPr>
          <w:p w14:paraId="6A734173" w14:textId="77777777" w:rsidR="00A16DDB" w:rsidRPr="00D95127" w:rsidRDefault="00A16DDB" w:rsidP="007A627A">
            <w:pPr>
              <w:jc w:val="center"/>
              <w:rPr>
                <w:rFonts w:cs="Times New Roman"/>
                <w:b/>
                <w:szCs w:val="24"/>
                <w:lang w:val="cs-CZ"/>
              </w:rPr>
            </w:pPr>
            <w:r w:rsidRPr="00D95127">
              <w:rPr>
                <w:rFonts w:cs="Times New Roman"/>
                <w:b/>
                <w:szCs w:val="24"/>
                <w:lang w:val="cs-CZ"/>
              </w:rPr>
              <w:t>Slabé stránky</w:t>
            </w:r>
          </w:p>
        </w:tc>
      </w:tr>
      <w:tr w:rsidR="00A16DDB" w:rsidRPr="00D95127" w14:paraId="731BCED7" w14:textId="77777777" w:rsidTr="007A627A">
        <w:tc>
          <w:tcPr>
            <w:tcW w:w="4673" w:type="dxa"/>
            <w:shd w:val="clear" w:color="auto" w:fill="auto"/>
          </w:tcPr>
          <w:p w14:paraId="18D0305F" w14:textId="6583D0D3" w:rsidR="00A16DDB" w:rsidRPr="00D95127" w:rsidRDefault="00B35613" w:rsidP="00B35613">
            <w:pPr>
              <w:pStyle w:val="UZEIOdrky"/>
              <w:ind w:left="460" w:hanging="425"/>
            </w:pPr>
            <w:r>
              <w:t xml:space="preserve">S1: </w:t>
            </w:r>
            <w:r w:rsidR="00A16DDB" w:rsidRPr="00D95127">
              <w:t>Existence několika málo velkých stád a chovů s kvalitním managementem a s využitím výhod z velikosti u řady podniků.</w:t>
            </w:r>
          </w:p>
          <w:p w14:paraId="05DC720D" w14:textId="32A474E2" w:rsidR="00A16DDB" w:rsidRPr="00D95127" w:rsidRDefault="00B35613" w:rsidP="00B35613">
            <w:pPr>
              <w:pStyle w:val="UZEIOdrky"/>
              <w:ind w:left="460" w:hanging="425"/>
            </w:pPr>
            <w:r>
              <w:t xml:space="preserve">S2: </w:t>
            </w:r>
            <w:r w:rsidR="00A16DDB" w:rsidRPr="00D95127">
              <w:t>Provázanost chovu ovcí a koz s opatřeními ke zlepšování vztahu zemědělství k ŽP.</w:t>
            </w:r>
          </w:p>
          <w:p w14:paraId="750FFF69" w14:textId="1B3F4140" w:rsidR="00A16DDB" w:rsidRPr="00D95127" w:rsidRDefault="007B3F55" w:rsidP="00B35613">
            <w:pPr>
              <w:pStyle w:val="UZEIOdrky"/>
              <w:ind w:left="460" w:hanging="425"/>
            </w:pPr>
            <w:r>
              <w:t xml:space="preserve">S3: </w:t>
            </w:r>
            <w:r w:rsidR="00A16DDB" w:rsidRPr="00D95127">
              <w:t>Vysoký stupeň zatravnění zejména v horských a příhraničních oblastech s dobrou krmivovou základnou pro chov ovcí a koz</w:t>
            </w:r>
          </w:p>
          <w:p w14:paraId="01C6632C" w14:textId="28613DFF" w:rsidR="00A16DDB" w:rsidRPr="00D95127" w:rsidRDefault="007B3F55" w:rsidP="00B35613">
            <w:pPr>
              <w:pStyle w:val="UZEIOdrky"/>
              <w:ind w:left="460" w:hanging="425"/>
            </w:pPr>
            <w:r>
              <w:t xml:space="preserve">S4: </w:t>
            </w:r>
            <w:r w:rsidR="00A16DDB" w:rsidRPr="00D95127">
              <w:t xml:space="preserve">Vynikající klimatické a geografické podmínky ČR pro pastevní chov ovcí a koz </w:t>
            </w:r>
          </w:p>
          <w:p w14:paraId="32D7448F" w14:textId="3D99639C" w:rsidR="00A16DDB" w:rsidRPr="00D95127" w:rsidRDefault="007B3F55" w:rsidP="00B35613">
            <w:pPr>
              <w:pStyle w:val="UZEIOdrky"/>
              <w:ind w:left="460" w:hanging="425"/>
            </w:pPr>
            <w:r>
              <w:t xml:space="preserve">S5: </w:t>
            </w:r>
            <w:r w:rsidR="00A16DDB" w:rsidRPr="00D95127">
              <w:t>Kvalitní systém plemenářské práce ve velkých chovech, podpora využívání registrovaných plemeníků v chovu.</w:t>
            </w:r>
          </w:p>
          <w:p w14:paraId="076DF6ED" w14:textId="0E47C57C" w:rsidR="00A16DDB" w:rsidRPr="00D95127" w:rsidRDefault="007B3F55" w:rsidP="00B35613">
            <w:pPr>
              <w:pStyle w:val="UZEIOdrky"/>
              <w:ind w:left="460" w:hanging="425"/>
            </w:pPr>
            <w:r>
              <w:t xml:space="preserve">S6: </w:t>
            </w:r>
            <w:r w:rsidR="00A16DDB" w:rsidRPr="00D95127">
              <w:t>Vysoká odbornost managementu u velkých chovů.</w:t>
            </w:r>
          </w:p>
          <w:p w14:paraId="20A68577" w14:textId="5CC5800C" w:rsidR="00A16DDB" w:rsidRPr="00D95127" w:rsidRDefault="007B3F55" w:rsidP="00B35613">
            <w:pPr>
              <w:pStyle w:val="UZEIOdrky"/>
              <w:ind w:left="460" w:hanging="425"/>
            </w:pPr>
            <w:r>
              <w:t xml:space="preserve">S7: </w:t>
            </w:r>
            <w:r w:rsidR="00A16DDB" w:rsidRPr="00D95127">
              <w:t>Faremní zpracování mléka</w:t>
            </w:r>
          </w:p>
          <w:p w14:paraId="2F5AF5E1" w14:textId="1000C59F" w:rsidR="00A16DDB" w:rsidRPr="00D95127" w:rsidRDefault="007B3F55" w:rsidP="00B35613">
            <w:pPr>
              <w:pStyle w:val="UZEIOdrky"/>
              <w:ind w:left="460" w:hanging="425"/>
            </w:pPr>
            <w:r>
              <w:t xml:space="preserve">S8: </w:t>
            </w:r>
            <w:r w:rsidR="00A16DDB" w:rsidRPr="00D95127">
              <w:t>Agroturistika – provázání zemědělství s turistickým ruchem a výrobou lokálních produktů.</w:t>
            </w:r>
          </w:p>
          <w:p w14:paraId="4F9795CC" w14:textId="1437D184" w:rsidR="00A16DDB" w:rsidRPr="00D95127" w:rsidRDefault="007B3F55" w:rsidP="00B35613">
            <w:pPr>
              <w:pStyle w:val="UZEIOdrky"/>
              <w:ind w:left="460" w:hanging="425"/>
            </w:pPr>
            <w:r>
              <w:t xml:space="preserve">S9: </w:t>
            </w:r>
            <w:r w:rsidR="00A16DDB" w:rsidRPr="00D95127">
              <w:t>Podpora nákupu plemeníků</w:t>
            </w:r>
          </w:p>
        </w:tc>
        <w:tc>
          <w:tcPr>
            <w:tcW w:w="4536" w:type="dxa"/>
            <w:shd w:val="clear" w:color="auto" w:fill="auto"/>
          </w:tcPr>
          <w:p w14:paraId="055AA3E1" w14:textId="2CCA9D6B" w:rsidR="00A16DDB" w:rsidRPr="00D95127" w:rsidRDefault="007B3F55" w:rsidP="00B35613">
            <w:pPr>
              <w:pStyle w:val="UZEIOdrky"/>
              <w:ind w:left="460" w:hanging="425"/>
            </w:pPr>
            <w:r>
              <w:t xml:space="preserve">W1: </w:t>
            </w:r>
            <w:r w:rsidR="00A16DDB" w:rsidRPr="00D95127">
              <w:t>Většina ovcí a koz je v malých stádech.</w:t>
            </w:r>
          </w:p>
          <w:p w14:paraId="014DB061" w14:textId="2A5669BF" w:rsidR="00A16DDB" w:rsidRPr="00D95127" w:rsidRDefault="007B3F55" w:rsidP="00B35613">
            <w:pPr>
              <w:pStyle w:val="UZEIOdrky"/>
              <w:ind w:left="460" w:hanging="425"/>
            </w:pPr>
            <w:r>
              <w:t xml:space="preserve">W2: </w:t>
            </w:r>
            <w:r w:rsidR="00A16DDB" w:rsidRPr="00D95127">
              <w:t>Ztrátovost chovu v důsledku nízké intenzity výroby a nižších CZV</w:t>
            </w:r>
          </w:p>
          <w:p w14:paraId="1C743136" w14:textId="27DC10E4" w:rsidR="00A16DDB" w:rsidRPr="00D95127" w:rsidRDefault="007B3F55" w:rsidP="00B35613">
            <w:pPr>
              <w:pStyle w:val="UZEIOdrky"/>
              <w:ind w:left="460" w:hanging="425"/>
            </w:pPr>
            <w:r>
              <w:t xml:space="preserve">W3: </w:t>
            </w:r>
            <w:r w:rsidR="00A16DDB" w:rsidRPr="00D95127">
              <w:t>Vysoká závislost ekonomiky odchovu na podporách, při existenci vysoce rentabilních podniků s extenzivními chovy.</w:t>
            </w:r>
          </w:p>
          <w:p w14:paraId="3090B265" w14:textId="63940099" w:rsidR="00A16DDB" w:rsidRPr="00D95127" w:rsidRDefault="007B3F55" w:rsidP="00B35613">
            <w:pPr>
              <w:pStyle w:val="UZEIOdrky"/>
              <w:ind w:left="460" w:hanging="425"/>
            </w:pPr>
            <w:r>
              <w:t xml:space="preserve">W4: </w:t>
            </w:r>
            <w:r w:rsidR="00A16DDB" w:rsidRPr="00D95127">
              <w:t>Menší význam chovu ovcí a koz pro zaměstnanost venkova.</w:t>
            </w:r>
          </w:p>
          <w:p w14:paraId="3A18A080" w14:textId="2A82F15B" w:rsidR="00A16DDB" w:rsidRPr="00D95127" w:rsidRDefault="007B3F55" w:rsidP="00B35613">
            <w:pPr>
              <w:pStyle w:val="UZEIOdrky"/>
              <w:ind w:left="460" w:hanging="425"/>
            </w:pPr>
            <w:r>
              <w:t xml:space="preserve">W5: </w:t>
            </w:r>
            <w:r w:rsidR="00A16DDB" w:rsidRPr="00D95127">
              <w:t xml:space="preserve">Velmi malý podíl obchodované produkce prostřednictvím odbytové organizace OVEKO a její minimální činnost </w:t>
            </w:r>
          </w:p>
          <w:p w14:paraId="5DD21B7D" w14:textId="555C7DC1" w:rsidR="00A16DDB" w:rsidRPr="00D95127" w:rsidRDefault="007B3F55" w:rsidP="00B35613">
            <w:pPr>
              <w:pStyle w:val="UZEIOdrky"/>
              <w:ind w:left="460" w:hanging="425"/>
            </w:pPr>
            <w:r>
              <w:t xml:space="preserve">W6: </w:t>
            </w:r>
            <w:r w:rsidR="00A16DDB" w:rsidRPr="00D95127">
              <w:t>Nízké investice do technologií a ustájení v předchozích letech a do pastevních areálů</w:t>
            </w:r>
          </w:p>
          <w:p w14:paraId="6075696B" w14:textId="542790F2" w:rsidR="00A16DDB" w:rsidRPr="00D95127" w:rsidRDefault="007B3F55" w:rsidP="00B35613">
            <w:pPr>
              <w:pStyle w:val="UZEIOdrky"/>
              <w:ind w:left="460" w:hanging="425"/>
            </w:pPr>
            <w:r>
              <w:t xml:space="preserve">W7: </w:t>
            </w:r>
            <w:r w:rsidR="00A16DDB" w:rsidRPr="00D95127">
              <w:t>Nedostatečné využití TTP, špatné vybavení pastevních areálů</w:t>
            </w:r>
          </w:p>
          <w:p w14:paraId="135A1400" w14:textId="7D2619D6" w:rsidR="00A16DDB" w:rsidRPr="00D95127" w:rsidRDefault="007B3F55" w:rsidP="00B35613">
            <w:pPr>
              <w:pStyle w:val="UZEIOdrky"/>
              <w:ind w:left="460" w:hanging="425"/>
            </w:pPr>
            <w:r>
              <w:t xml:space="preserve">W8: </w:t>
            </w:r>
            <w:r w:rsidR="00A16DDB" w:rsidRPr="00D95127">
              <w:t>Závažné nedostatky ve veterinární péči a animal welfare zejména u malých chovů (problematika popsána dále)</w:t>
            </w:r>
          </w:p>
          <w:p w14:paraId="01BE0D95" w14:textId="714CC122" w:rsidR="00A16DDB" w:rsidRPr="00D95127" w:rsidRDefault="007B3F55" w:rsidP="00B35613">
            <w:pPr>
              <w:pStyle w:val="UZEIOdrky"/>
              <w:ind w:left="460" w:hanging="425"/>
            </w:pPr>
            <w:r>
              <w:t xml:space="preserve">W9: </w:t>
            </w:r>
            <w:r w:rsidR="00A16DDB" w:rsidRPr="00D95127">
              <w:t>Chybí kapacity pro zpracování vlny, za současného stavu se prodej vlny nevyplatí, náklady na stříhání jsou vyšší nežli cena za vlnu</w:t>
            </w:r>
          </w:p>
        </w:tc>
      </w:tr>
      <w:tr w:rsidR="00A16DDB" w:rsidRPr="00D95127" w14:paraId="3E0AF552" w14:textId="77777777" w:rsidTr="007A627A">
        <w:tc>
          <w:tcPr>
            <w:tcW w:w="4673" w:type="dxa"/>
            <w:shd w:val="clear" w:color="auto" w:fill="auto"/>
          </w:tcPr>
          <w:p w14:paraId="0CDAF36A" w14:textId="77777777" w:rsidR="00A16DDB" w:rsidRPr="00D95127" w:rsidRDefault="00A16DDB" w:rsidP="007A627A">
            <w:pPr>
              <w:jc w:val="center"/>
              <w:rPr>
                <w:rFonts w:cs="Times New Roman"/>
                <w:b/>
                <w:szCs w:val="24"/>
                <w:lang w:val="cs-CZ"/>
              </w:rPr>
            </w:pPr>
            <w:r w:rsidRPr="00D95127">
              <w:rPr>
                <w:rFonts w:cs="Times New Roman"/>
                <w:b/>
                <w:szCs w:val="24"/>
                <w:lang w:val="cs-CZ"/>
              </w:rPr>
              <w:t>Příležitosti</w:t>
            </w:r>
          </w:p>
        </w:tc>
        <w:tc>
          <w:tcPr>
            <w:tcW w:w="4536" w:type="dxa"/>
            <w:shd w:val="clear" w:color="auto" w:fill="auto"/>
          </w:tcPr>
          <w:p w14:paraId="46B8E3E0" w14:textId="77777777" w:rsidR="00A16DDB" w:rsidRPr="00D95127" w:rsidRDefault="00A16DDB" w:rsidP="007A627A">
            <w:pPr>
              <w:jc w:val="center"/>
              <w:rPr>
                <w:rFonts w:cs="Times New Roman"/>
                <w:b/>
                <w:szCs w:val="24"/>
                <w:lang w:val="cs-CZ"/>
              </w:rPr>
            </w:pPr>
            <w:r w:rsidRPr="00D95127">
              <w:rPr>
                <w:rFonts w:cs="Times New Roman"/>
                <w:b/>
                <w:szCs w:val="24"/>
                <w:lang w:val="cs-CZ"/>
              </w:rPr>
              <w:t>Ohrožení</w:t>
            </w:r>
          </w:p>
        </w:tc>
      </w:tr>
      <w:tr w:rsidR="00A16DDB" w:rsidRPr="00D95127" w14:paraId="13743590" w14:textId="77777777" w:rsidTr="007A627A">
        <w:trPr>
          <w:trHeight w:val="708"/>
        </w:trPr>
        <w:tc>
          <w:tcPr>
            <w:tcW w:w="4673" w:type="dxa"/>
            <w:shd w:val="clear" w:color="auto" w:fill="auto"/>
          </w:tcPr>
          <w:p w14:paraId="457228AD" w14:textId="1A506EF2" w:rsidR="00A16DDB" w:rsidRPr="00B35613" w:rsidRDefault="007B3F55" w:rsidP="00B35613">
            <w:pPr>
              <w:pStyle w:val="UZEIOdrky"/>
              <w:ind w:left="460" w:hanging="425"/>
            </w:pPr>
            <w:r>
              <w:t xml:space="preserve">O1: </w:t>
            </w:r>
            <w:r w:rsidR="00A16DDB" w:rsidRPr="00B35613">
              <w:t>Využití vázané podpory přežvýkavců.</w:t>
            </w:r>
          </w:p>
          <w:p w14:paraId="478F3F2D" w14:textId="3A55E56E" w:rsidR="00A16DDB" w:rsidRPr="00B35613" w:rsidRDefault="007B3F55" w:rsidP="00B35613">
            <w:pPr>
              <w:pStyle w:val="UZEIOdrky"/>
              <w:ind w:left="460" w:hanging="425"/>
            </w:pPr>
            <w:r>
              <w:t xml:space="preserve">O2: </w:t>
            </w:r>
            <w:r w:rsidR="00A16DDB" w:rsidRPr="00B35613">
              <w:t xml:space="preserve">Zvýšení podílu obchodované produkce prostřednictvím organizace OVEKO, zlepšení marketingu a diverzifikace trhu (faremní zpracování a prodej, bio-produkce). </w:t>
            </w:r>
          </w:p>
          <w:p w14:paraId="5D778261" w14:textId="603C6D45" w:rsidR="00A16DDB" w:rsidRPr="00B35613" w:rsidRDefault="007B3F55" w:rsidP="00B35613">
            <w:pPr>
              <w:pStyle w:val="UZEIOdrky"/>
              <w:ind w:left="460" w:hanging="425"/>
            </w:pPr>
            <w:r>
              <w:t xml:space="preserve">O3: </w:t>
            </w:r>
            <w:r w:rsidR="00A16DDB" w:rsidRPr="00B35613">
              <w:t>Zatraktivnění agroturistiky ve spojení s chovem ovcí a koz.</w:t>
            </w:r>
          </w:p>
          <w:p w14:paraId="4CD1A5B2" w14:textId="73367072" w:rsidR="00A16DDB" w:rsidRPr="00B35613" w:rsidRDefault="007B3F55" w:rsidP="00B35613">
            <w:pPr>
              <w:pStyle w:val="UZEIOdrky"/>
              <w:ind w:left="460" w:hanging="425"/>
            </w:pPr>
            <w:r>
              <w:t xml:space="preserve">O4: </w:t>
            </w:r>
            <w:r w:rsidR="00A16DDB" w:rsidRPr="00B35613">
              <w:t>Výraznější prostor pro zvyšování efektivnosti produkce u většiny podniků s chovem ovcí a koz, včetně zlepšení managementu.</w:t>
            </w:r>
          </w:p>
          <w:p w14:paraId="21CE6B11" w14:textId="048201CD" w:rsidR="00A16DDB" w:rsidRPr="00B35613" w:rsidRDefault="007B3F55" w:rsidP="00B35613">
            <w:pPr>
              <w:pStyle w:val="UZEIOdrky"/>
              <w:ind w:left="460" w:hanging="425"/>
            </w:pPr>
            <w:r>
              <w:t xml:space="preserve">O5: </w:t>
            </w:r>
            <w:r w:rsidR="00A16DDB" w:rsidRPr="00B35613">
              <w:t>Pokračující specifické podpory producentům.</w:t>
            </w:r>
          </w:p>
          <w:p w14:paraId="06EE3702" w14:textId="1A9C06BC" w:rsidR="00A16DDB" w:rsidRPr="00B35613" w:rsidRDefault="007B3F55" w:rsidP="00B35613">
            <w:pPr>
              <w:pStyle w:val="UZEIOdrky"/>
              <w:ind w:left="460" w:hanging="425"/>
            </w:pPr>
            <w:r>
              <w:t xml:space="preserve">O6: </w:t>
            </w:r>
            <w:r w:rsidR="00A16DDB" w:rsidRPr="00B35613">
              <w:t>Prostor k efektivnějšímu využití TTP k chovu.</w:t>
            </w:r>
          </w:p>
          <w:p w14:paraId="7BC0F44E" w14:textId="50BA0176" w:rsidR="00A16DDB" w:rsidRPr="00B35613" w:rsidRDefault="007B3F55" w:rsidP="00B35613">
            <w:pPr>
              <w:pStyle w:val="UZEIOdrky"/>
              <w:ind w:left="460" w:hanging="425"/>
            </w:pPr>
            <w:r>
              <w:t xml:space="preserve">O7: </w:t>
            </w:r>
            <w:r w:rsidR="00A16DDB" w:rsidRPr="00B35613">
              <w:t>Prostor ke zvýšení domácí spotřeby skopového masa a mléčných výrobků z kozího a ovčího mléka Tyto body jsou typické interní problémy, které by patřily do slabých stránek</w:t>
            </w:r>
          </w:p>
          <w:p w14:paraId="34695776" w14:textId="0F006C6B" w:rsidR="00A16DDB" w:rsidRPr="00B35613" w:rsidRDefault="007B3F55" w:rsidP="00B35613">
            <w:pPr>
              <w:pStyle w:val="UZEIOdrky"/>
              <w:ind w:left="460" w:hanging="425"/>
            </w:pPr>
            <w:r>
              <w:t xml:space="preserve">O8: </w:t>
            </w:r>
            <w:r w:rsidR="00A16DDB" w:rsidRPr="00B35613">
              <w:t>EU jako celek dováží značné množství skopového, je zde prostor pro vývozy v rámci EU.</w:t>
            </w:r>
          </w:p>
        </w:tc>
        <w:tc>
          <w:tcPr>
            <w:tcW w:w="4536" w:type="dxa"/>
            <w:shd w:val="clear" w:color="auto" w:fill="auto"/>
          </w:tcPr>
          <w:p w14:paraId="484D1EE9" w14:textId="3CCAEF5F" w:rsidR="00A16DDB" w:rsidRPr="00B35613" w:rsidRDefault="007B3F55" w:rsidP="00B35613">
            <w:pPr>
              <w:pStyle w:val="UZEIOdrky"/>
              <w:ind w:left="460" w:hanging="425"/>
            </w:pPr>
            <w:r>
              <w:t xml:space="preserve">T1: </w:t>
            </w:r>
            <w:r w:rsidR="00A16DDB" w:rsidRPr="00B35613">
              <w:t>Změna politiky - snížení přímých i nepřímých podpor chovu</w:t>
            </w:r>
          </w:p>
          <w:p w14:paraId="51A7B0B4" w14:textId="346B9104" w:rsidR="00A16DDB" w:rsidRPr="00B35613" w:rsidRDefault="007B3F55" w:rsidP="00B35613">
            <w:pPr>
              <w:pStyle w:val="UZEIOdrky"/>
              <w:ind w:left="460" w:hanging="425"/>
            </w:pPr>
            <w:r>
              <w:t xml:space="preserve">T2: </w:t>
            </w:r>
            <w:r w:rsidR="00A16DDB" w:rsidRPr="00B35613">
              <w:t xml:space="preserve">Zpřísnění podmínek na převozy (vývozy) živých zvířat (růst transportních nákladů, nákladů na pohodu zvířat). </w:t>
            </w:r>
          </w:p>
          <w:p w14:paraId="2932BDFD" w14:textId="166ED56B" w:rsidR="00A16DDB" w:rsidRPr="00B35613" w:rsidRDefault="007B3F55" w:rsidP="00B35613">
            <w:pPr>
              <w:pStyle w:val="UZEIOdrky"/>
              <w:ind w:left="460" w:hanging="425"/>
            </w:pPr>
            <w:r>
              <w:t xml:space="preserve">T3: </w:t>
            </w:r>
            <w:r w:rsidR="00A16DDB" w:rsidRPr="00B35613">
              <w:t xml:space="preserve">Výrazná konkurence dovozů skopového  masa z třetích zemí (zejména  z Austrálie a Nového Zélandu) </w:t>
            </w:r>
          </w:p>
          <w:p w14:paraId="1AAF4929" w14:textId="1CB93BA2" w:rsidR="00A16DDB" w:rsidRPr="00B35613" w:rsidRDefault="007B3F55" w:rsidP="00B35613">
            <w:pPr>
              <w:pStyle w:val="UZEIOdrky"/>
              <w:ind w:left="460" w:hanging="425"/>
            </w:pPr>
            <w:r>
              <w:t xml:space="preserve">T4: </w:t>
            </w:r>
            <w:r w:rsidR="00A16DDB" w:rsidRPr="00B35613">
              <w:t>Zvýšení nákladů na práci, půdu a také krmiva (konkurence bio-energetiky).</w:t>
            </w:r>
          </w:p>
          <w:p w14:paraId="519670DA" w14:textId="54C4F9A2" w:rsidR="00A16DDB" w:rsidRPr="00B35613" w:rsidRDefault="007B3F55" w:rsidP="00B35613">
            <w:pPr>
              <w:pStyle w:val="UZEIOdrky"/>
              <w:ind w:left="460" w:hanging="425"/>
            </w:pPr>
            <w:r>
              <w:t xml:space="preserve">T5: </w:t>
            </w:r>
            <w:r w:rsidR="00A16DDB" w:rsidRPr="00B35613">
              <w:t>Zdravotní stav stád v EU, resp. případný výskyt nebezpečných nákaz.</w:t>
            </w:r>
          </w:p>
        </w:tc>
      </w:tr>
    </w:tbl>
    <w:p w14:paraId="6C378B09" w14:textId="77777777" w:rsidR="00A16DDB" w:rsidRPr="00D95127" w:rsidRDefault="00A16DDB" w:rsidP="007B3F55">
      <w:pPr>
        <w:pStyle w:val="UZEINadpis1stbezsla"/>
      </w:pPr>
      <w:r w:rsidRPr="00D95127">
        <w:br w:type="page"/>
      </w:r>
      <w:bookmarkStart w:id="1237" w:name="_Toc15304132"/>
      <w:bookmarkStart w:id="1238" w:name="_Toc23509960"/>
      <w:bookmarkStart w:id="1239" w:name="_Toc76137482"/>
      <w:bookmarkStart w:id="1240" w:name="_Toc76637681"/>
      <w:bookmarkStart w:id="1241" w:name="_Toc80953370"/>
      <w:bookmarkStart w:id="1242" w:name="_Toc81739322"/>
      <w:r w:rsidRPr="00D95127">
        <w:t>VČELY</w:t>
      </w:r>
      <w:bookmarkEnd w:id="1237"/>
      <w:bookmarkEnd w:id="1238"/>
      <w:bookmarkEnd w:id="1239"/>
      <w:bookmarkEnd w:id="1240"/>
      <w:bookmarkEnd w:id="1241"/>
      <w:bookmarkEnd w:id="1242"/>
    </w:p>
    <w:p w14:paraId="29DDBB2D" w14:textId="77777777" w:rsidR="00A16DDB" w:rsidRPr="00D95127" w:rsidRDefault="00A16DDB" w:rsidP="00DE7D57">
      <w:pPr>
        <w:pStyle w:val="Nadpis1"/>
        <w:numPr>
          <w:ilvl w:val="0"/>
          <w:numId w:val="32"/>
        </w:numPr>
      </w:pPr>
      <w:bookmarkStart w:id="1243" w:name="_Toc15304133"/>
      <w:bookmarkStart w:id="1244" w:name="_Toc23509961"/>
      <w:bookmarkStart w:id="1245" w:name="_Toc76137483"/>
      <w:bookmarkStart w:id="1246" w:name="_Toc76637682"/>
      <w:bookmarkStart w:id="1247" w:name="_Toc80953371"/>
      <w:bookmarkStart w:id="1248" w:name="_Toc81739323"/>
      <w:r w:rsidRPr="00D95127">
        <w:t>Analýza stávajících/navrhovaných právních předpisů EK/ČR a pravděpodobné nastavení směrů a cílů SZP</w:t>
      </w:r>
      <w:bookmarkEnd w:id="1243"/>
      <w:bookmarkEnd w:id="1244"/>
      <w:bookmarkEnd w:id="1245"/>
      <w:bookmarkEnd w:id="1246"/>
      <w:bookmarkEnd w:id="1247"/>
      <w:bookmarkEnd w:id="1248"/>
    </w:p>
    <w:p w14:paraId="3A627E32" w14:textId="77777777" w:rsidR="00A16DDB" w:rsidRPr="007B3F55" w:rsidRDefault="00A16DDB" w:rsidP="007B3F55">
      <w:pPr>
        <w:pStyle w:val="UZEINormaln"/>
        <w:rPr>
          <w:b/>
          <w:bCs/>
          <w:u w:val="single"/>
        </w:rPr>
      </w:pPr>
      <w:r w:rsidRPr="007B3F55">
        <w:rPr>
          <w:b/>
          <w:bCs/>
          <w:u w:val="single"/>
        </w:rPr>
        <w:t>Právní rámec v oblasti včelařství:</w:t>
      </w:r>
    </w:p>
    <w:p w14:paraId="6F901DA0" w14:textId="77777777" w:rsidR="00A16DDB" w:rsidRPr="00D95127" w:rsidRDefault="00A16DDB" w:rsidP="007B3F55">
      <w:pPr>
        <w:pStyle w:val="UZEINormaln"/>
      </w:pPr>
      <w:r w:rsidRPr="00D95127">
        <w:t>Níže citované legislativní předpisy (národních i evropské) svým obsahem jsou zaměřené především na ochranu chovu včel, ochranu včel z hlediska zdravotního stavu, škody způsobené na chovech včel, podporu produkce a kvalitu medu, včelí produkty, garanci chovu plemene včely kraňské. Současně na podporu chovu včel a včelařů, a to prostřednictvím podpor národních, tak i evropských dotací.</w:t>
      </w:r>
    </w:p>
    <w:p w14:paraId="06CD7EB0" w14:textId="77777777" w:rsidR="00A16DDB" w:rsidRPr="00D95127" w:rsidRDefault="00A16DDB" w:rsidP="007B3F55">
      <w:pPr>
        <w:pStyle w:val="UZEIOdrky"/>
      </w:pPr>
      <w:r w:rsidRPr="00D95127">
        <w:t>Zákon č. 326/2004 Sb</w:t>
      </w:r>
      <w:r w:rsidRPr="00D95127">
        <w:rPr>
          <w:i/>
        </w:rPr>
        <w:t>.,</w:t>
      </w:r>
      <w:r w:rsidRPr="00D95127">
        <w:t xml:space="preserve"> o rostlinolékařské péči a o změně některých souvisejících zákonů (rostlinolékařský zákon), ve znění pozdějších předpisů.</w:t>
      </w:r>
    </w:p>
    <w:p w14:paraId="1481C749" w14:textId="77777777" w:rsidR="00A16DDB" w:rsidRPr="00D95127" w:rsidRDefault="00A16DDB" w:rsidP="007B3F55">
      <w:pPr>
        <w:pStyle w:val="UZEIOdrky"/>
      </w:pPr>
      <w:r w:rsidRPr="00D95127">
        <w:t>Zákon č. 110/1997 Sb., o potravinách a tabákových výrobcích a o změně a doplnění některých souvisejících zákonů, ve znění pozdějších předpisů.</w:t>
      </w:r>
    </w:p>
    <w:p w14:paraId="51C6E87A" w14:textId="77777777" w:rsidR="00A16DDB" w:rsidRPr="00D95127" w:rsidRDefault="00A16DDB" w:rsidP="007B3F55">
      <w:pPr>
        <w:pStyle w:val="UZEIOdrky"/>
      </w:pPr>
      <w:r w:rsidRPr="00D95127">
        <w:t>Zákon č. 166/1999 Sb</w:t>
      </w:r>
      <w:r w:rsidRPr="00D95127">
        <w:rPr>
          <w:i/>
        </w:rPr>
        <w:t xml:space="preserve">., </w:t>
      </w:r>
      <w:r w:rsidRPr="00D95127">
        <w:t>o veterinární péči a o změně některých souvisejících zákonů (veterinární zákon), ve znění pozdějších předpisů.</w:t>
      </w:r>
    </w:p>
    <w:p w14:paraId="56D1698F" w14:textId="77777777" w:rsidR="00A16DDB" w:rsidRPr="00D95127" w:rsidRDefault="00A16DDB" w:rsidP="007B3F55">
      <w:pPr>
        <w:pStyle w:val="UZEIOdrky"/>
      </w:pPr>
      <w:r w:rsidRPr="00D95127">
        <w:t>Zákon 115/2000 Sb., o poskytování náhrad škod způsobených vybranými zvláště chráněnými živočichy ve znění pozdějších předpisů.</w:t>
      </w:r>
    </w:p>
    <w:p w14:paraId="3ACB799A" w14:textId="77777777" w:rsidR="00A16DDB" w:rsidRPr="00D95127" w:rsidRDefault="00A16DDB" w:rsidP="007B3F55">
      <w:pPr>
        <w:pStyle w:val="UZEIOdrky"/>
      </w:pPr>
      <w:r w:rsidRPr="00D95127">
        <w:t>Zákon č. 154/2000 Sb., o šlechtění, plemenitbě a evidenci hospodářských zvířat a o změně některých souvisejících zákonů (plemenářský zákon), ve znění pozdějších předpisů.</w:t>
      </w:r>
    </w:p>
    <w:p w14:paraId="2B04DCF1" w14:textId="77777777" w:rsidR="00A16DDB" w:rsidRPr="00D95127" w:rsidRDefault="00A16DDB" w:rsidP="007B3F55">
      <w:pPr>
        <w:pStyle w:val="UZEIOdrky"/>
      </w:pPr>
      <w:r w:rsidRPr="00D95127">
        <w:t xml:space="preserve">Zákon č. 252/1997 Sb., o zemědělství, ve znění pozdějších předpisů </w:t>
      </w:r>
    </w:p>
    <w:p w14:paraId="749CD4C7" w14:textId="77777777" w:rsidR="00A16DDB" w:rsidRPr="00D95127" w:rsidRDefault="00A16DDB" w:rsidP="007B3F55">
      <w:pPr>
        <w:pStyle w:val="UZEIOdrky"/>
      </w:pPr>
      <w:r w:rsidRPr="00D95127">
        <w:t>Zákon č. 242/2000 Sb., o ekologickém zemědělství a o změně zákona č. 368/1992 Sb. o správních poplatcích, ve znění pozdějších předpisů.</w:t>
      </w:r>
    </w:p>
    <w:p w14:paraId="3F9BBE38" w14:textId="77777777" w:rsidR="00A16DDB" w:rsidRPr="00D95127" w:rsidRDefault="00A16DDB" w:rsidP="007B3F55">
      <w:pPr>
        <w:pStyle w:val="UZEIOdrky"/>
      </w:pPr>
      <w:r w:rsidRPr="00D95127">
        <w:t>Zákon č.89/2012 Sb., občanský zákoník, ve znění pozdějších předpisů.</w:t>
      </w:r>
    </w:p>
    <w:p w14:paraId="54DD41C9" w14:textId="77777777" w:rsidR="00A16DDB" w:rsidRPr="00D95127" w:rsidRDefault="00A16DDB" w:rsidP="007B3F55">
      <w:pPr>
        <w:pStyle w:val="UZEIOdrky"/>
      </w:pPr>
      <w:r w:rsidRPr="00D95127">
        <w:t>Vyhláška č. 76/2003 Sb., kterou se stanoví požadavky pro přírodní sladidla, med, cukrovinky, kakaový prášek a směsi kakaa s cukrem, čokoládu a čokoládové bonbony, ve znění pozdějších předpisů.</w:t>
      </w:r>
    </w:p>
    <w:p w14:paraId="473194E2" w14:textId="77777777" w:rsidR="00A16DDB" w:rsidRPr="00D95127" w:rsidRDefault="00A16DDB" w:rsidP="007B3F55">
      <w:pPr>
        <w:pStyle w:val="UZEIOdrky"/>
      </w:pPr>
      <w:r w:rsidRPr="00D95127">
        <w:t>Vyhláška č. 448/2006 Sb., o provedení některých ustanovení plemenářského zákona, ve znění pozdějších předpisů.</w:t>
      </w:r>
    </w:p>
    <w:p w14:paraId="54298C46" w14:textId="77777777" w:rsidR="00A16DDB" w:rsidRPr="00D95127" w:rsidRDefault="00A16DDB" w:rsidP="007B3F55">
      <w:pPr>
        <w:pStyle w:val="UZEIOdrky"/>
      </w:pPr>
      <w:r w:rsidRPr="00D95127">
        <w:t>Vyhláška č. 38/2001 Sb., o hygienických požadavcích na výrobky určené pro styk s potravinami a pokrmy, ve znění pozdějších předpisů.</w:t>
      </w:r>
    </w:p>
    <w:p w14:paraId="58F74207" w14:textId="77777777" w:rsidR="00A16DDB" w:rsidRPr="00D95127" w:rsidRDefault="00A16DDB" w:rsidP="007B3F55">
      <w:pPr>
        <w:pStyle w:val="UZEIOdrky"/>
      </w:pPr>
      <w:r w:rsidRPr="00D95127">
        <w:t>Vyhláška č. 16/2006 Sb., kterou se provádějí některá ustanovení zákona o ekologickém zemědělství, ve znění pozdějších předpisů.</w:t>
      </w:r>
    </w:p>
    <w:p w14:paraId="20ACF643" w14:textId="77777777" w:rsidR="00A16DDB" w:rsidRPr="00D95127" w:rsidRDefault="00A16DDB" w:rsidP="007B3F55">
      <w:pPr>
        <w:pStyle w:val="UZEIOdrky"/>
      </w:pPr>
      <w:r w:rsidRPr="00D95127">
        <w:t>Vyhláška č. 136/2004 Sb., kterou se stanoví podrobnosti označování zvířat a jejich evidence a evidence hospodářství a osob stanovených plemenářským zákonem, ve znění pozdějších předpisů.</w:t>
      </w:r>
    </w:p>
    <w:p w14:paraId="26703B83" w14:textId="77777777" w:rsidR="00A16DDB" w:rsidRPr="00D95127" w:rsidRDefault="00A16DDB" w:rsidP="007B3F55">
      <w:pPr>
        <w:pStyle w:val="UZEIOdrky"/>
      </w:pPr>
      <w:r w:rsidRPr="00D95127">
        <w:t xml:space="preserve">Vyhláška č. 327/2012 Sb., o ochraně včel, zvěře, vodních organismů a dalších necílových organismů při použití přípravků na ochranu rostlin, ve znění pozdějších předpisů. </w:t>
      </w:r>
    </w:p>
    <w:p w14:paraId="3AA7DBE5" w14:textId="77777777" w:rsidR="00A16DDB" w:rsidRPr="00D95127" w:rsidRDefault="00A16DDB" w:rsidP="007B3F55">
      <w:pPr>
        <w:pStyle w:val="UZEIOdrky"/>
      </w:pPr>
      <w:r w:rsidRPr="00D95127">
        <w:t>Vyhláška č. 299/2003 Sb., o opatřeních pro předcházení a zdolávání nákaz a nemocí přenosných ze zvířat na člověka, ve znění pozdějších předpisů.</w:t>
      </w:r>
    </w:p>
    <w:p w14:paraId="54ABA8B9" w14:textId="77777777" w:rsidR="00A16DDB" w:rsidRPr="00D95127" w:rsidRDefault="00A16DDB" w:rsidP="007B3F55">
      <w:pPr>
        <w:pStyle w:val="UZEIOdrky"/>
      </w:pPr>
      <w:r w:rsidRPr="00D95127">
        <w:t xml:space="preserve">zákonem č. 256/2000 Sb., o Státním zemědělském intervenčním fondu a o změně některých dalších zákonů, ve znění pozdějších předpisů, </w:t>
      </w:r>
    </w:p>
    <w:p w14:paraId="58749474" w14:textId="77777777" w:rsidR="00A16DDB" w:rsidRPr="00D95127" w:rsidRDefault="00A16DDB" w:rsidP="007B3F55">
      <w:pPr>
        <w:pStyle w:val="UZEIOdrky"/>
      </w:pPr>
      <w:r w:rsidRPr="00D95127">
        <w:t xml:space="preserve">nařízením Evropského parlamentu a Rady (EU) č. 1308/2013 ze dne 17. prosince 2013, kterým se stanoví společná organizace trhů se zemědělskými produkty a zrušují nařízení Rady (EHS) č. 922/72, (EHS) č. 234/79, (ES) č. 1037/2001 a (ES) č. 1234/2007, v platném znění, </w:t>
      </w:r>
    </w:p>
    <w:p w14:paraId="0B6FF86A" w14:textId="77777777" w:rsidR="00A16DDB" w:rsidRPr="00D95127" w:rsidRDefault="00A16DDB" w:rsidP="007B3F55">
      <w:pPr>
        <w:pStyle w:val="UZEIOdrky"/>
      </w:pPr>
      <w:r w:rsidRPr="00D95127">
        <w:t>nařízením Komise v přenesené pravomoci (EU) č. 2015/1366 ze dne 11. května 2015, kterým se doplňuje nařízení Evropského parlamentu a Rady (EU) č. 1308/2013, pokud jde o podporu včelařství,</w:t>
      </w:r>
    </w:p>
    <w:p w14:paraId="6199BEEA" w14:textId="77777777" w:rsidR="00A16DDB" w:rsidRPr="00D95127" w:rsidRDefault="00A16DDB" w:rsidP="007B3F55">
      <w:pPr>
        <w:pStyle w:val="UZEIOdrky"/>
      </w:pPr>
      <w:r w:rsidRPr="00D95127">
        <w:t xml:space="preserve">prováděcím nařízením Komise (EU) č. 2015/1368 ze dne 6. srpna 2015, kterým se stanoví prováděcí pravidla k nařízení Evropského parlamentu a Rady (EU) č. 1308/2013, pokud jde o podporu v odvětví včelařství, </w:t>
      </w:r>
    </w:p>
    <w:p w14:paraId="623E10FD" w14:textId="77777777" w:rsidR="00A16DDB" w:rsidRPr="00D95127" w:rsidRDefault="00A16DDB" w:rsidP="007B3F55">
      <w:pPr>
        <w:pStyle w:val="UZEIOdrky"/>
      </w:pPr>
      <w:r w:rsidRPr="00D95127">
        <w:t>nařízením vlády č. 197/2005 Sb., o stanovení podmínek poskytnutí dotace na provádění opatření ke zlepšení obecných podmínek pro produkci včelařských produktů a jejich uvádění na trh, ve znění pozdějších předpisů</w:t>
      </w:r>
    </w:p>
    <w:p w14:paraId="021EAF07" w14:textId="77777777" w:rsidR="00A16DDB" w:rsidRPr="00D95127" w:rsidRDefault="00A16DDB" w:rsidP="007B3F55">
      <w:pPr>
        <w:pStyle w:val="UZEIOdrky"/>
      </w:pPr>
      <w:r w:rsidRPr="00D95127">
        <w:t>Prováděcí rozhodnutí Komise (EU) 2019/974 ze dne 12. června 2019, kterým se schvalují vnitrostátní programy na zlepšení produkce včelařských produktů a jejich uvádění na trh předložené členskými státy podle nařízení Evropského parlamentu a Rady (EU) č. 1308/2013</w:t>
      </w:r>
    </w:p>
    <w:p w14:paraId="6E2D4F58" w14:textId="77777777" w:rsidR="00A16DDB" w:rsidRPr="00D95127" w:rsidRDefault="00A16DDB" w:rsidP="00A16DDB">
      <w:pPr>
        <w:suppressAutoHyphens/>
        <w:autoSpaceDE w:val="0"/>
        <w:ind w:left="426" w:firstLine="709"/>
        <w:rPr>
          <w:rFonts w:cs="Times New Roman"/>
          <w:szCs w:val="24"/>
          <w:lang w:val="cs-CZ"/>
        </w:rPr>
      </w:pPr>
    </w:p>
    <w:p w14:paraId="5B49DED4" w14:textId="77777777" w:rsidR="00A16DDB" w:rsidRPr="00D95127" w:rsidRDefault="00A16DDB" w:rsidP="00A16DDB">
      <w:pPr>
        <w:suppressAutoHyphens/>
        <w:autoSpaceDE w:val="0"/>
        <w:ind w:left="426" w:firstLine="709"/>
        <w:rPr>
          <w:rFonts w:cs="Times New Roman"/>
          <w:szCs w:val="24"/>
          <w:lang w:val="cs-CZ"/>
        </w:rPr>
      </w:pPr>
    </w:p>
    <w:p w14:paraId="6260ED10" w14:textId="77777777" w:rsidR="007B3F55" w:rsidRDefault="007B3F55">
      <w:pPr>
        <w:spacing w:after="160" w:line="259" w:lineRule="auto"/>
        <w:jc w:val="left"/>
        <w:rPr>
          <w:rFonts w:eastAsiaTheme="majorEastAsia" w:cs="Times New Roman"/>
          <w:b/>
          <w:bCs/>
          <w:sz w:val="28"/>
          <w:szCs w:val="32"/>
          <w:lang w:val="cs-CZ"/>
        </w:rPr>
      </w:pPr>
      <w:bookmarkStart w:id="1249" w:name="_Toc80953372"/>
      <w:r>
        <w:br w:type="page"/>
      </w:r>
    </w:p>
    <w:p w14:paraId="3BF63F29" w14:textId="1E4BF0C8" w:rsidR="00A16DDB" w:rsidRPr="00D95127" w:rsidRDefault="00A16DDB" w:rsidP="007B3F55">
      <w:pPr>
        <w:pStyle w:val="Nadpis1"/>
      </w:pPr>
      <w:bookmarkStart w:id="1250" w:name="_Toc81739324"/>
      <w:r w:rsidRPr="00D95127">
        <w:t>Co je skutečným problémem, na který má politika reagovat?</w:t>
      </w:r>
      <w:bookmarkEnd w:id="1249"/>
      <w:bookmarkEnd w:id="1250"/>
      <w:r w:rsidRPr="00D95127">
        <w:t xml:space="preserve"> </w:t>
      </w:r>
    </w:p>
    <w:p w14:paraId="70E1E10E" w14:textId="77777777" w:rsidR="00A16DDB" w:rsidRPr="00D95127" w:rsidRDefault="00A16DDB" w:rsidP="007B3F55">
      <w:pPr>
        <w:pStyle w:val="UZEINormaln"/>
      </w:pPr>
      <w:r w:rsidRPr="00D95127">
        <w:rPr>
          <w:lang w:eastAsia="x-none"/>
        </w:rPr>
        <w:t>Strategickým cílem Ministerstva zemědělství je s</w:t>
      </w:r>
      <w:r w:rsidRPr="00D95127">
        <w:t>tabilizovat počet včelstev na území ČR a podporovat rovnoměrné rozmístění včelstev v krajině k zajištění biologické rovnováhy v opylení kulturních a planě rostoucích rostlin a podporovat přísuny včelstev k zemědělským plochám.</w:t>
      </w:r>
    </w:p>
    <w:p w14:paraId="2483DC22" w14:textId="77777777" w:rsidR="00A16DDB" w:rsidRPr="007B3F55" w:rsidRDefault="00A16DDB" w:rsidP="007B3F55">
      <w:pPr>
        <w:pStyle w:val="UZEINormaln"/>
        <w:rPr>
          <w:b/>
          <w:bCs/>
          <w:u w:val="single"/>
        </w:rPr>
      </w:pPr>
      <w:r w:rsidRPr="007B3F55">
        <w:rPr>
          <w:b/>
          <w:bCs/>
          <w:u w:val="single"/>
        </w:rPr>
        <w:t xml:space="preserve">Hlavní problémy včelařství spočívají: </w:t>
      </w:r>
    </w:p>
    <w:p w14:paraId="71A0DC8A" w14:textId="77777777" w:rsidR="00A16DDB" w:rsidRPr="00D95127" w:rsidRDefault="00A16DDB" w:rsidP="007B3F55">
      <w:pPr>
        <w:pStyle w:val="UZEIOdrky"/>
      </w:pPr>
      <w:r w:rsidRPr="00D95127">
        <w:t>v nedostatečném technickém včelařském zázemí pro chovatele včel, potřebě obnovy a modernizace technického vybavení a modernizace včelařského provozu,</w:t>
      </w:r>
    </w:p>
    <w:p w14:paraId="43399251" w14:textId="77777777" w:rsidR="00A16DDB" w:rsidRPr="00D95127" w:rsidRDefault="00A16DDB" w:rsidP="007B3F55">
      <w:pPr>
        <w:pStyle w:val="UZEIOdrky"/>
      </w:pPr>
      <w:r w:rsidRPr="00D95127">
        <w:t>v potřebě zdokonalovat současný systém vzdělávání za účelem zvyšování odborné úrovně chovatelů včel,</w:t>
      </w:r>
    </w:p>
    <w:p w14:paraId="12AF14C1" w14:textId="77777777" w:rsidR="00A16DDB" w:rsidRPr="00D95127" w:rsidRDefault="00A16DDB" w:rsidP="007B3F55">
      <w:pPr>
        <w:pStyle w:val="UZEIOdrky"/>
      </w:pPr>
      <w:r w:rsidRPr="00D95127">
        <w:t xml:space="preserve">v nízké podpoře regionálních vzdělávacích aktivit pro nevčelařskou a začínající včelařskou veřejnost, </w:t>
      </w:r>
    </w:p>
    <w:p w14:paraId="61BBF618" w14:textId="77777777" w:rsidR="00A16DDB" w:rsidRPr="00D95127" w:rsidRDefault="00A16DDB" w:rsidP="007B3F55">
      <w:pPr>
        <w:pStyle w:val="UZEIOdrky"/>
      </w:pPr>
      <w:r w:rsidRPr="00D95127">
        <w:t>ve vytváření podmínek pro udržitelný chov včel, podporu zdravotního stavu včelstev, a tím i rentabilitu chovu včel,</w:t>
      </w:r>
    </w:p>
    <w:p w14:paraId="02DCE996" w14:textId="77777777" w:rsidR="00A16DDB" w:rsidRPr="00D95127" w:rsidRDefault="00A16DDB" w:rsidP="007B3F55">
      <w:pPr>
        <w:pStyle w:val="UZEIOdrky"/>
      </w:pPr>
      <w:r w:rsidRPr="00D95127">
        <w:t xml:space="preserve">v nedostatečné podpoře spotřeby českého medu a prodeje tuzemských včelích produktů, </w:t>
      </w:r>
    </w:p>
    <w:p w14:paraId="6FF9E46C" w14:textId="77777777" w:rsidR="00A16DDB" w:rsidRPr="00D95127" w:rsidRDefault="00A16DDB" w:rsidP="007B3F55">
      <w:pPr>
        <w:pStyle w:val="UZEIOdrky"/>
      </w:pPr>
      <w:r w:rsidRPr="00D95127">
        <w:t>v nízké podpoře šlechtitelské práce v chovu včelích matek,</w:t>
      </w:r>
    </w:p>
    <w:p w14:paraId="60BD07A2" w14:textId="77777777" w:rsidR="00A16DDB" w:rsidRPr="00D95127" w:rsidRDefault="00A16DDB" w:rsidP="007B3F55">
      <w:pPr>
        <w:pStyle w:val="UZEIOdrky"/>
      </w:pPr>
      <w:r w:rsidRPr="00D95127">
        <w:t>v nedostatečné podpoře výzkumných úkolů ve včelařství zaměřené na zdravotní stav včelstev v ČR</w:t>
      </w:r>
    </w:p>
    <w:p w14:paraId="4EDAC11F" w14:textId="77777777" w:rsidR="00A16DDB" w:rsidRPr="00D95127" w:rsidRDefault="00A16DDB" w:rsidP="007B3F55">
      <w:pPr>
        <w:pStyle w:val="UZEIOdrky"/>
      </w:pPr>
      <w:r w:rsidRPr="00D95127">
        <w:t xml:space="preserve">v nedostatečné podpoře rozšiřování a zkvalitňování včelí pastvy v oblasti zemědělství a lesnictví (několik let již přetrvávající kalamita způsobená dřevokaznými škůdci a suchem, odumírání smrků a borovic v celé ČR) </w:t>
      </w:r>
    </w:p>
    <w:p w14:paraId="392F91FC" w14:textId="77777777" w:rsidR="00A16DDB" w:rsidRPr="00D95127" w:rsidRDefault="00A16DDB" w:rsidP="007B3F55">
      <w:pPr>
        <w:pStyle w:val="UZEIOdrky"/>
        <w:numPr>
          <w:ilvl w:val="0"/>
          <w:numId w:val="0"/>
        </w:numPr>
        <w:ind w:left="720"/>
      </w:pPr>
    </w:p>
    <w:p w14:paraId="71005493" w14:textId="77777777" w:rsidR="00A16DDB" w:rsidRPr="00D95127" w:rsidRDefault="00A16DDB" w:rsidP="00A16DDB">
      <w:pPr>
        <w:pStyle w:val="Odstavecseseznamem"/>
        <w:suppressAutoHyphens/>
        <w:ind w:firstLine="709"/>
        <w:contextualSpacing w:val="0"/>
      </w:pPr>
    </w:p>
    <w:p w14:paraId="3E9B3499" w14:textId="77777777" w:rsidR="007B3F55" w:rsidRDefault="007B3F55">
      <w:pPr>
        <w:spacing w:after="160" w:line="259" w:lineRule="auto"/>
        <w:jc w:val="left"/>
        <w:rPr>
          <w:rFonts w:eastAsiaTheme="majorEastAsia" w:cs="Times New Roman"/>
          <w:b/>
          <w:bCs/>
          <w:sz w:val="28"/>
          <w:szCs w:val="32"/>
          <w:lang w:val="cs-CZ"/>
        </w:rPr>
      </w:pPr>
      <w:bookmarkStart w:id="1251" w:name="_Toc80953373"/>
      <w:r>
        <w:br w:type="page"/>
      </w:r>
    </w:p>
    <w:p w14:paraId="34B9780D" w14:textId="714D53F8" w:rsidR="00A16DDB" w:rsidRPr="00D95127" w:rsidRDefault="00A16DDB" w:rsidP="007B3F55">
      <w:pPr>
        <w:pStyle w:val="Nadpis1"/>
      </w:pPr>
      <w:bookmarkStart w:id="1252" w:name="_Toc81739325"/>
      <w:r w:rsidRPr="00D95127">
        <w:t>Jaký je mechanizmus a příčiny tohoto problému?</w:t>
      </w:r>
      <w:bookmarkEnd w:id="1251"/>
      <w:bookmarkEnd w:id="1252"/>
      <w:r w:rsidRPr="00D95127">
        <w:t xml:space="preserve"> </w:t>
      </w:r>
    </w:p>
    <w:p w14:paraId="4A3F4CE2" w14:textId="77777777" w:rsidR="00A16DDB" w:rsidRPr="00D95127" w:rsidRDefault="00A16DDB" w:rsidP="007B3F55">
      <w:pPr>
        <w:pStyle w:val="UZEINormaln"/>
      </w:pPr>
      <w:r w:rsidRPr="00D95127">
        <w:t>Včelařství patří k jednomu ze základních odvětví v oblasti zemědělství. Včela medonosná, jako univerzální opylovatel, zajišťuje opylení nejen entomofilních (hmyzosnubných) rostlin, ale velmi významně se podílí na zachování biodiverzity krajiny v přírodních ekosystémech. Chov včel je tedy významným přínosem pro celou společnost. V oblasti opylování hmyzosnubných rostlin, ale i zachování biodiverzity krajiny, je přínos tohoto odvětví mnohdy srovnáván s výnosem z prodeje medu. Tyto hodnoty jsou však nepoměřitelné a neslučitelné, a to především z hlediska celospolečenského významu pro lidstvo. Produkce medu je jen malou součástí významu chovu včel jako takového. V rámci Evropské unie je přínos z chovu včel pro společnost vyčíslen částkou 22 miliard EUR ročně. Zároveň je podstatná skutečnost, že 84 % druhů rostlin a 76 % potravinové výroby je závislá na opylování včelami. Chov včel zásadním způsobem přispívá k zachování ekonomického přínosu pro společnost, zachování ekologické rovnováhy v krajině a ochraně biologické rozmanitosti.</w:t>
      </w:r>
    </w:p>
    <w:p w14:paraId="797562D9" w14:textId="77777777" w:rsidR="00A16DDB" w:rsidRPr="00D95127" w:rsidRDefault="00A16DDB" w:rsidP="007B3F55">
      <w:pPr>
        <w:pStyle w:val="UZEINormaln"/>
        <w:rPr>
          <w:lang w:eastAsia="x-none"/>
        </w:rPr>
      </w:pPr>
      <w:r w:rsidRPr="00D95127">
        <w:rPr>
          <w:lang w:eastAsia="x-none"/>
        </w:rPr>
        <w:t xml:space="preserve">Chov včel v současné době vyžaduje významný stupeň profesionality od chovatelů včel a současně i uvědomění, že včelstvo jako živý organismus potřebuje pro svůj rozvoj minimálně 30 – 40 kg pylu/rok (energetická složka výživy včel), 100 kg/rok medu a minimálně 150 litrů vody/rok. V současné době vlivem klimatické změny dochází k významnému úbytku včelí pastvy, jako důsledku odumírání stromů pod vlivem dřevokazného hmyzu a sucha (smrkové porosty a borovice lesní) v ČR. Tato zásadní přírodní změna má vliv na strukturu a stabilitu hospodářských lesů a přírodních ekosystémů. Nedostatek kvalitní včelí pastvy bude mít významný vliv na snížení imunity včel, zvýšení náchylnosti k nemocem a ohrožení chovů včel. </w:t>
      </w:r>
    </w:p>
    <w:p w14:paraId="275E1C7D" w14:textId="77777777" w:rsidR="00A16DDB" w:rsidRPr="00D95127" w:rsidRDefault="00A16DDB" w:rsidP="007B3F55">
      <w:pPr>
        <w:pStyle w:val="UZEINormaln"/>
      </w:pPr>
      <w:r w:rsidRPr="00D95127">
        <w:rPr>
          <w:lang w:eastAsia="x-none"/>
        </w:rPr>
        <w:t xml:space="preserve">Významný zásadní problém v chovech včel způsobuje také roztoč včelí (varroáza). Toto parazitární onemocnění </w:t>
      </w:r>
      <w:r w:rsidRPr="00D95127">
        <w:t xml:space="preserve">spolu s asociovanými virózami je obecně uznáváno za hlavní příčinu úhynů včelstev. Jedná se o celosvětový problém, ztráty včelstev komplexně nazývané CCD (colony collapse disorder) postihují v některých letech i Evropu a Českou republiku. </w:t>
      </w:r>
    </w:p>
    <w:p w14:paraId="6077B269" w14:textId="77777777" w:rsidR="00A16DDB" w:rsidRPr="00D95127" w:rsidRDefault="00A16DDB" w:rsidP="007B3F55">
      <w:pPr>
        <w:pStyle w:val="UZEINormaln"/>
      </w:pPr>
      <w:r w:rsidRPr="00D95127">
        <w:rPr>
          <w:lang w:eastAsia="x-none"/>
        </w:rPr>
        <w:t>Zároveň b</w:t>
      </w:r>
      <w:r w:rsidRPr="00D95127">
        <w:t xml:space="preserve">akteriální choroby včelího plodu jsou stále aktuálním problémem v chovech včely medonosné v ČR. Mor včelího plodu a hniloba včelího plodu spadají podle veterinárního zákona mezi nebezpečné nákazy včel. Ohniska bakteriálních nákaz včel jsou proto cíleně vyhledávána a nemocná včelstva eradikována. Finanční ztráty vzniklé z důvodu utracení včelstev a likvidací včelařského vybavení jsou chovatelům včel v ČR kompenzovány ze státních prostředků. Včasné řešení situace zabrání šíření chorob po okolí a pomáhá tak snižovat náklady spojené s jejich tlumením. </w:t>
      </w:r>
    </w:p>
    <w:p w14:paraId="6B045F87" w14:textId="77777777" w:rsidR="00A16DDB" w:rsidRPr="00D95127" w:rsidRDefault="00A16DDB" w:rsidP="00A16DDB">
      <w:pPr>
        <w:ind w:firstLine="709"/>
        <w:rPr>
          <w:rFonts w:cs="Times New Roman"/>
          <w:szCs w:val="24"/>
          <w:lang w:val="cs-CZ" w:eastAsia="x-none"/>
        </w:rPr>
      </w:pPr>
    </w:p>
    <w:p w14:paraId="5128116C" w14:textId="77777777" w:rsidR="007B3F55" w:rsidRDefault="007B3F55">
      <w:pPr>
        <w:spacing w:after="160" w:line="259" w:lineRule="auto"/>
        <w:jc w:val="left"/>
        <w:rPr>
          <w:rFonts w:eastAsiaTheme="majorEastAsia" w:cs="Times New Roman"/>
          <w:b/>
          <w:bCs/>
          <w:sz w:val="28"/>
          <w:szCs w:val="32"/>
          <w:lang w:val="cs-CZ"/>
        </w:rPr>
      </w:pPr>
      <w:bookmarkStart w:id="1253" w:name="_Toc80953374"/>
      <w:r>
        <w:br w:type="page"/>
      </w:r>
    </w:p>
    <w:p w14:paraId="21D1A1C6" w14:textId="633DB3D0" w:rsidR="00A16DDB" w:rsidRPr="00D95127" w:rsidRDefault="00A16DDB" w:rsidP="007B3F55">
      <w:pPr>
        <w:pStyle w:val="Nadpis1"/>
      </w:pPr>
      <w:bookmarkStart w:id="1254" w:name="_Toc81739326"/>
      <w:r w:rsidRPr="00D95127">
        <w:t>Jak závažný je tento problém?</w:t>
      </w:r>
      <w:bookmarkEnd w:id="1253"/>
      <w:bookmarkEnd w:id="1254"/>
      <w:r w:rsidRPr="00D95127">
        <w:t xml:space="preserve"> </w:t>
      </w:r>
    </w:p>
    <w:p w14:paraId="26D387AD" w14:textId="3E9196EE" w:rsidR="00A16DDB" w:rsidRPr="007B3F55" w:rsidRDefault="00A16DDB" w:rsidP="007B3F55">
      <w:pPr>
        <w:pStyle w:val="UZEINormaln"/>
      </w:pPr>
      <w:r w:rsidRPr="00D95127">
        <w:t xml:space="preserve">V roce 2018 se chovalo v ČR 673 041včelstev, v roce 2019 to bylo celkem 684 965 včelstev a v roce 2020 počet včelstev byl 694 086. Z tohoto trendu je patrné, že se jedná o významný nárůst počtu včelstev s porovnáním např. roku 2015, přestože ročně dochází k významnému úhynu včelstev na varroázu a bakteriózy. Chovatelé včel v případě úhynu včel na varroázu se snaží tyto ztráty obnovovat a to např. tvorbou oddělků, či pořízením nových včelstev, pokud je to však možné. </w:t>
      </w:r>
    </w:p>
    <w:p w14:paraId="1C08B01F" w14:textId="2A07BB5E" w:rsidR="00A16DDB" w:rsidRPr="007B3F55" w:rsidRDefault="00A16DDB" w:rsidP="007B3F55">
      <w:pPr>
        <w:pStyle w:val="UZEITaB"/>
      </w:pPr>
      <w:bookmarkStart w:id="1255" w:name="_Toc81738560"/>
      <w:r w:rsidRPr="007B3F55">
        <w:t>Stavy včelstev a počty včelařů v České republice od roku 2011</w:t>
      </w:r>
      <w:bookmarkEnd w:id="1255"/>
    </w:p>
    <w:tbl>
      <w:tblPr>
        <w:tblW w:w="948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70" w:type="dxa"/>
          <w:right w:w="70" w:type="dxa"/>
        </w:tblCellMar>
        <w:tblLook w:val="04A0" w:firstRow="1" w:lastRow="0" w:firstColumn="1" w:lastColumn="0" w:noHBand="0" w:noVBand="1"/>
      </w:tblPr>
      <w:tblGrid>
        <w:gridCol w:w="1404"/>
        <w:gridCol w:w="955"/>
        <w:gridCol w:w="954"/>
        <w:gridCol w:w="955"/>
        <w:gridCol w:w="954"/>
        <w:gridCol w:w="955"/>
        <w:gridCol w:w="954"/>
        <w:gridCol w:w="955"/>
        <w:gridCol w:w="1394"/>
      </w:tblGrid>
      <w:tr w:rsidR="00A16DDB" w:rsidRPr="00D95127" w14:paraId="71EF9945" w14:textId="77777777" w:rsidTr="007B3F55">
        <w:trPr>
          <w:trHeight w:val="76"/>
        </w:trPr>
        <w:tc>
          <w:tcPr>
            <w:tcW w:w="1404" w:type="dxa"/>
            <w:tcBorders>
              <w:bottom w:val="single" w:sz="12" w:space="0" w:color="000000"/>
            </w:tcBorders>
            <w:shd w:val="clear" w:color="auto" w:fill="auto"/>
            <w:vAlign w:val="center"/>
          </w:tcPr>
          <w:p w14:paraId="1459588D" w14:textId="77777777" w:rsidR="00A16DDB" w:rsidRPr="00D95127" w:rsidRDefault="00A16DDB" w:rsidP="007B3F55">
            <w:pPr>
              <w:suppressAutoHyphens/>
              <w:snapToGrid w:val="0"/>
              <w:ind w:left="-496"/>
              <w:jc w:val="center"/>
              <w:rPr>
                <w:rFonts w:cs="Times New Roman"/>
                <w:sz w:val="20"/>
                <w:szCs w:val="20"/>
                <w:lang w:val="cs-CZ" w:eastAsia="ar-SA"/>
              </w:rPr>
            </w:pPr>
          </w:p>
        </w:tc>
        <w:tc>
          <w:tcPr>
            <w:tcW w:w="955" w:type="dxa"/>
            <w:shd w:val="clear" w:color="auto" w:fill="auto"/>
            <w:vAlign w:val="center"/>
            <w:hideMark/>
          </w:tcPr>
          <w:p w14:paraId="42A6D10B" w14:textId="77777777" w:rsidR="00A16DDB" w:rsidRPr="00D95127" w:rsidRDefault="00A16DDB" w:rsidP="007B3F55">
            <w:pPr>
              <w:suppressAutoHyphens/>
              <w:snapToGrid w:val="0"/>
              <w:jc w:val="center"/>
              <w:rPr>
                <w:rFonts w:cs="Times New Roman"/>
                <w:b/>
                <w:sz w:val="20"/>
                <w:szCs w:val="20"/>
                <w:lang w:val="cs-CZ" w:eastAsia="ar-SA"/>
              </w:rPr>
            </w:pPr>
            <w:r w:rsidRPr="00D95127">
              <w:rPr>
                <w:rFonts w:cs="Times New Roman"/>
                <w:b/>
                <w:sz w:val="20"/>
                <w:szCs w:val="20"/>
                <w:lang w:val="cs-CZ" w:eastAsia="ar-SA"/>
              </w:rPr>
              <w:t>2011</w:t>
            </w:r>
          </w:p>
        </w:tc>
        <w:tc>
          <w:tcPr>
            <w:tcW w:w="954" w:type="dxa"/>
            <w:shd w:val="clear" w:color="auto" w:fill="auto"/>
            <w:vAlign w:val="center"/>
            <w:hideMark/>
          </w:tcPr>
          <w:p w14:paraId="14AE7934" w14:textId="77777777" w:rsidR="00A16DDB" w:rsidRPr="00D95127" w:rsidRDefault="00A16DDB" w:rsidP="007B3F55">
            <w:pPr>
              <w:suppressAutoHyphens/>
              <w:snapToGrid w:val="0"/>
              <w:jc w:val="center"/>
              <w:rPr>
                <w:rFonts w:cs="Times New Roman"/>
                <w:b/>
                <w:sz w:val="20"/>
                <w:szCs w:val="20"/>
                <w:lang w:val="cs-CZ" w:eastAsia="ar-SA"/>
              </w:rPr>
            </w:pPr>
            <w:r w:rsidRPr="00D95127">
              <w:rPr>
                <w:rFonts w:cs="Times New Roman"/>
                <w:b/>
                <w:sz w:val="20"/>
                <w:szCs w:val="20"/>
                <w:lang w:val="cs-CZ" w:eastAsia="ar-SA"/>
              </w:rPr>
              <w:t>2012</w:t>
            </w:r>
          </w:p>
        </w:tc>
        <w:tc>
          <w:tcPr>
            <w:tcW w:w="955" w:type="dxa"/>
            <w:shd w:val="clear" w:color="auto" w:fill="auto"/>
            <w:vAlign w:val="center"/>
          </w:tcPr>
          <w:p w14:paraId="046C6A14" w14:textId="77777777" w:rsidR="00A16DDB" w:rsidRPr="00D95127" w:rsidRDefault="00A16DDB" w:rsidP="007B3F55">
            <w:pPr>
              <w:suppressAutoHyphens/>
              <w:snapToGrid w:val="0"/>
              <w:jc w:val="center"/>
              <w:rPr>
                <w:rFonts w:cs="Times New Roman"/>
                <w:b/>
                <w:sz w:val="20"/>
                <w:szCs w:val="20"/>
                <w:lang w:val="cs-CZ" w:eastAsia="ar-SA"/>
              </w:rPr>
            </w:pPr>
            <w:r w:rsidRPr="00D95127">
              <w:rPr>
                <w:rFonts w:cs="Times New Roman"/>
                <w:b/>
                <w:sz w:val="20"/>
                <w:szCs w:val="20"/>
                <w:lang w:val="cs-CZ" w:eastAsia="ar-SA"/>
              </w:rPr>
              <w:t>2013</w:t>
            </w:r>
          </w:p>
        </w:tc>
        <w:tc>
          <w:tcPr>
            <w:tcW w:w="954" w:type="dxa"/>
            <w:shd w:val="clear" w:color="auto" w:fill="auto"/>
            <w:vAlign w:val="center"/>
          </w:tcPr>
          <w:p w14:paraId="4E2E3EDB" w14:textId="77777777" w:rsidR="00A16DDB" w:rsidRPr="00D95127" w:rsidRDefault="00A16DDB" w:rsidP="007B3F55">
            <w:pPr>
              <w:suppressAutoHyphens/>
              <w:snapToGrid w:val="0"/>
              <w:jc w:val="center"/>
              <w:rPr>
                <w:rFonts w:cs="Times New Roman"/>
                <w:b/>
                <w:sz w:val="20"/>
                <w:szCs w:val="20"/>
                <w:lang w:val="cs-CZ" w:eastAsia="ar-SA"/>
              </w:rPr>
            </w:pPr>
            <w:r w:rsidRPr="00D95127">
              <w:rPr>
                <w:rFonts w:cs="Times New Roman"/>
                <w:b/>
                <w:sz w:val="20"/>
                <w:szCs w:val="20"/>
                <w:lang w:val="cs-CZ" w:eastAsia="ar-SA"/>
              </w:rPr>
              <w:t>2014</w:t>
            </w:r>
          </w:p>
        </w:tc>
        <w:tc>
          <w:tcPr>
            <w:tcW w:w="955" w:type="dxa"/>
            <w:shd w:val="clear" w:color="auto" w:fill="auto"/>
            <w:vAlign w:val="center"/>
          </w:tcPr>
          <w:p w14:paraId="5F2E3D3C" w14:textId="77777777" w:rsidR="00A16DDB" w:rsidRPr="00D95127" w:rsidRDefault="00A16DDB" w:rsidP="007B3F55">
            <w:pPr>
              <w:suppressAutoHyphens/>
              <w:snapToGrid w:val="0"/>
              <w:jc w:val="center"/>
              <w:rPr>
                <w:rFonts w:cs="Times New Roman"/>
                <w:b/>
                <w:sz w:val="20"/>
                <w:szCs w:val="20"/>
                <w:lang w:val="cs-CZ" w:eastAsia="ar-SA"/>
              </w:rPr>
            </w:pPr>
            <w:r w:rsidRPr="00D95127">
              <w:rPr>
                <w:rFonts w:cs="Times New Roman"/>
                <w:b/>
                <w:sz w:val="20"/>
                <w:szCs w:val="20"/>
                <w:lang w:val="cs-CZ" w:eastAsia="ar-SA"/>
              </w:rPr>
              <w:t>2015</w:t>
            </w:r>
          </w:p>
        </w:tc>
        <w:tc>
          <w:tcPr>
            <w:tcW w:w="954" w:type="dxa"/>
            <w:shd w:val="clear" w:color="auto" w:fill="auto"/>
            <w:vAlign w:val="center"/>
          </w:tcPr>
          <w:p w14:paraId="0BF0134C" w14:textId="77777777" w:rsidR="00A16DDB" w:rsidRPr="00D95127" w:rsidRDefault="00A16DDB" w:rsidP="007B3F55">
            <w:pPr>
              <w:suppressAutoHyphens/>
              <w:snapToGrid w:val="0"/>
              <w:jc w:val="center"/>
              <w:rPr>
                <w:rFonts w:cs="Times New Roman"/>
                <w:b/>
                <w:sz w:val="20"/>
                <w:szCs w:val="20"/>
                <w:lang w:val="cs-CZ" w:eastAsia="ar-SA"/>
              </w:rPr>
            </w:pPr>
            <w:r w:rsidRPr="00D95127">
              <w:rPr>
                <w:rFonts w:cs="Times New Roman"/>
                <w:b/>
                <w:sz w:val="20"/>
                <w:szCs w:val="20"/>
                <w:lang w:val="cs-CZ" w:eastAsia="ar-SA"/>
              </w:rPr>
              <w:t>2016</w:t>
            </w:r>
          </w:p>
        </w:tc>
        <w:tc>
          <w:tcPr>
            <w:tcW w:w="955" w:type="dxa"/>
            <w:shd w:val="clear" w:color="auto" w:fill="auto"/>
            <w:vAlign w:val="center"/>
          </w:tcPr>
          <w:p w14:paraId="1420FEB0" w14:textId="77777777" w:rsidR="00A16DDB" w:rsidRPr="00D95127" w:rsidRDefault="00A16DDB" w:rsidP="007B3F55">
            <w:pPr>
              <w:suppressAutoHyphens/>
              <w:snapToGrid w:val="0"/>
              <w:jc w:val="center"/>
              <w:rPr>
                <w:rFonts w:cs="Times New Roman"/>
                <w:b/>
                <w:sz w:val="20"/>
                <w:szCs w:val="20"/>
                <w:lang w:val="cs-CZ" w:eastAsia="ar-SA"/>
              </w:rPr>
            </w:pPr>
            <w:r w:rsidRPr="00D95127">
              <w:rPr>
                <w:rFonts w:cs="Times New Roman"/>
                <w:b/>
                <w:sz w:val="20"/>
                <w:szCs w:val="20"/>
                <w:lang w:val="cs-CZ" w:eastAsia="ar-SA"/>
              </w:rPr>
              <w:t>2017</w:t>
            </w:r>
          </w:p>
        </w:tc>
        <w:tc>
          <w:tcPr>
            <w:tcW w:w="1394" w:type="dxa"/>
            <w:vAlign w:val="center"/>
          </w:tcPr>
          <w:p w14:paraId="50D762A1" w14:textId="77777777" w:rsidR="00A16DDB" w:rsidRPr="00D95127" w:rsidRDefault="00A16DDB" w:rsidP="007B3F55">
            <w:pPr>
              <w:suppressAutoHyphens/>
              <w:snapToGrid w:val="0"/>
              <w:jc w:val="center"/>
              <w:rPr>
                <w:rFonts w:cs="Times New Roman"/>
                <w:b/>
                <w:sz w:val="20"/>
                <w:szCs w:val="20"/>
                <w:lang w:val="cs-CZ" w:eastAsia="ar-SA"/>
              </w:rPr>
            </w:pPr>
            <w:r w:rsidRPr="00D95127">
              <w:rPr>
                <w:rFonts w:cs="Times New Roman"/>
                <w:b/>
                <w:sz w:val="20"/>
                <w:szCs w:val="20"/>
                <w:lang w:val="cs-CZ" w:eastAsia="ar-SA"/>
              </w:rPr>
              <w:t>2018</w:t>
            </w:r>
          </w:p>
        </w:tc>
      </w:tr>
      <w:tr w:rsidR="00A16DDB" w:rsidRPr="00D95127" w14:paraId="3ACFCFB2" w14:textId="77777777" w:rsidTr="007B3F55">
        <w:trPr>
          <w:trHeight w:val="917"/>
        </w:trPr>
        <w:tc>
          <w:tcPr>
            <w:tcW w:w="1404" w:type="dxa"/>
            <w:shd w:val="clear" w:color="auto" w:fill="auto"/>
            <w:vAlign w:val="center"/>
            <w:hideMark/>
          </w:tcPr>
          <w:p w14:paraId="0FD7E3A8" w14:textId="77777777" w:rsidR="00A16DDB" w:rsidRPr="00D95127" w:rsidRDefault="00A16DDB" w:rsidP="007B3F55">
            <w:pPr>
              <w:suppressAutoHyphens/>
              <w:snapToGrid w:val="0"/>
              <w:jc w:val="center"/>
              <w:rPr>
                <w:rFonts w:cs="Times New Roman"/>
                <w:b/>
                <w:sz w:val="20"/>
                <w:szCs w:val="20"/>
                <w:lang w:val="cs-CZ" w:eastAsia="ar-SA"/>
              </w:rPr>
            </w:pPr>
            <w:r w:rsidRPr="00D95127">
              <w:rPr>
                <w:rFonts w:cs="Times New Roman"/>
                <w:b/>
                <w:sz w:val="20"/>
                <w:szCs w:val="20"/>
                <w:lang w:val="cs-CZ" w:eastAsia="ar-SA"/>
              </w:rPr>
              <w:t>Počet včelstev celkem</w:t>
            </w:r>
          </w:p>
        </w:tc>
        <w:tc>
          <w:tcPr>
            <w:tcW w:w="955" w:type="dxa"/>
            <w:shd w:val="clear" w:color="auto" w:fill="auto"/>
            <w:vAlign w:val="center"/>
            <w:hideMark/>
          </w:tcPr>
          <w:p w14:paraId="6845539C" w14:textId="21A3AAEC" w:rsidR="00A16DDB" w:rsidRPr="00D95127" w:rsidRDefault="00A16DDB" w:rsidP="007B3F55">
            <w:pPr>
              <w:suppressAutoHyphens/>
              <w:snapToGrid w:val="0"/>
              <w:ind w:left="8640" w:hanging="8640"/>
              <w:jc w:val="center"/>
              <w:rPr>
                <w:rFonts w:cs="Times New Roman"/>
                <w:sz w:val="20"/>
                <w:szCs w:val="20"/>
                <w:lang w:val="cs-CZ" w:eastAsia="ar-SA"/>
              </w:rPr>
            </w:pPr>
            <w:r w:rsidRPr="00D95127">
              <w:rPr>
                <w:rFonts w:cs="Times New Roman"/>
                <w:sz w:val="20"/>
                <w:szCs w:val="20"/>
                <w:lang w:val="cs-CZ" w:eastAsia="ar-SA"/>
              </w:rPr>
              <w:t>565 419</w:t>
            </w:r>
          </w:p>
        </w:tc>
        <w:tc>
          <w:tcPr>
            <w:tcW w:w="954" w:type="dxa"/>
            <w:shd w:val="clear" w:color="auto" w:fill="auto"/>
            <w:vAlign w:val="center"/>
            <w:hideMark/>
          </w:tcPr>
          <w:p w14:paraId="46A56EA0" w14:textId="77777777" w:rsidR="00A16DDB" w:rsidRPr="00D95127" w:rsidRDefault="00A16DDB" w:rsidP="007B3F55">
            <w:pPr>
              <w:suppressAutoHyphens/>
              <w:snapToGrid w:val="0"/>
              <w:ind w:left="8640" w:hanging="8640"/>
              <w:jc w:val="center"/>
              <w:rPr>
                <w:rFonts w:cs="Times New Roman"/>
                <w:sz w:val="20"/>
                <w:szCs w:val="20"/>
                <w:lang w:val="cs-CZ" w:eastAsia="ar-SA"/>
              </w:rPr>
            </w:pPr>
            <w:r w:rsidRPr="00D95127">
              <w:rPr>
                <w:rFonts w:cs="Times New Roman"/>
                <w:sz w:val="20"/>
                <w:szCs w:val="20"/>
                <w:lang w:val="cs-CZ" w:eastAsia="ar-SA"/>
              </w:rPr>
              <w:t>540 705</w:t>
            </w:r>
          </w:p>
        </w:tc>
        <w:tc>
          <w:tcPr>
            <w:tcW w:w="955" w:type="dxa"/>
            <w:shd w:val="clear" w:color="auto" w:fill="auto"/>
            <w:vAlign w:val="center"/>
          </w:tcPr>
          <w:p w14:paraId="5391B9A1" w14:textId="1EE0E7F8"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553 040</w:t>
            </w:r>
          </w:p>
        </w:tc>
        <w:tc>
          <w:tcPr>
            <w:tcW w:w="954" w:type="dxa"/>
            <w:shd w:val="clear" w:color="auto" w:fill="auto"/>
            <w:vAlign w:val="center"/>
          </w:tcPr>
          <w:p w14:paraId="188B3699" w14:textId="352FCC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603 392</w:t>
            </w:r>
          </w:p>
        </w:tc>
        <w:tc>
          <w:tcPr>
            <w:tcW w:w="955" w:type="dxa"/>
            <w:shd w:val="clear" w:color="auto" w:fill="auto"/>
            <w:vAlign w:val="center"/>
          </w:tcPr>
          <w:p w14:paraId="2FBA4EA5" w14:textId="05C3D3FD"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596 313</w:t>
            </w:r>
          </w:p>
        </w:tc>
        <w:tc>
          <w:tcPr>
            <w:tcW w:w="954" w:type="dxa"/>
            <w:shd w:val="clear" w:color="auto" w:fill="auto"/>
            <w:vAlign w:val="center"/>
          </w:tcPr>
          <w:p w14:paraId="1967D939" w14:textId="44A853D2" w:rsidR="00A16DDB" w:rsidRPr="00D95127" w:rsidRDefault="00A16DDB" w:rsidP="007B3F55">
            <w:pPr>
              <w:suppressAutoHyphens/>
              <w:snapToGrid w:val="0"/>
              <w:ind w:left="8640" w:hanging="8640"/>
              <w:jc w:val="center"/>
              <w:rPr>
                <w:rFonts w:cs="Times New Roman"/>
                <w:sz w:val="20"/>
                <w:szCs w:val="20"/>
                <w:lang w:val="cs-CZ" w:eastAsia="ar-SA"/>
              </w:rPr>
            </w:pPr>
            <w:r w:rsidRPr="00D95127">
              <w:rPr>
                <w:rFonts w:cs="Times New Roman"/>
                <w:sz w:val="20"/>
                <w:szCs w:val="20"/>
                <w:lang w:val="cs-CZ" w:eastAsia="ar-SA"/>
              </w:rPr>
              <w:t>662 253</w:t>
            </w:r>
          </w:p>
        </w:tc>
        <w:tc>
          <w:tcPr>
            <w:tcW w:w="955" w:type="dxa"/>
            <w:shd w:val="clear" w:color="auto" w:fill="auto"/>
            <w:vAlign w:val="center"/>
          </w:tcPr>
          <w:p w14:paraId="40052BE9" w14:textId="08A48100" w:rsidR="00A16DDB" w:rsidRPr="00D95127" w:rsidRDefault="00A16DDB" w:rsidP="007B3F55">
            <w:pPr>
              <w:suppressAutoHyphens/>
              <w:snapToGrid w:val="0"/>
              <w:ind w:left="8640" w:hanging="8640"/>
              <w:jc w:val="center"/>
              <w:rPr>
                <w:rFonts w:cs="Times New Roman"/>
                <w:sz w:val="20"/>
                <w:szCs w:val="20"/>
                <w:lang w:val="cs-CZ" w:eastAsia="ar-SA"/>
              </w:rPr>
            </w:pPr>
            <w:r w:rsidRPr="00D95127">
              <w:rPr>
                <w:rFonts w:cs="Times New Roman"/>
                <w:sz w:val="20"/>
                <w:szCs w:val="20"/>
                <w:lang w:val="cs-CZ" w:eastAsia="ar-SA"/>
              </w:rPr>
              <w:t>649 530</w:t>
            </w:r>
          </w:p>
        </w:tc>
        <w:tc>
          <w:tcPr>
            <w:tcW w:w="1394" w:type="dxa"/>
            <w:vAlign w:val="center"/>
          </w:tcPr>
          <w:p w14:paraId="21725912" w14:textId="77777777" w:rsidR="00A16DDB" w:rsidRPr="00D95127" w:rsidRDefault="00A16DDB" w:rsidP="007B3F55">
            <w:pPr>
              <w:suppressAutoHyphens/>
              <w:snapToGrid w:val="0"/>
              <w:ind w:left="8640" w:hanging="8640"/>
              <w:jc w:val="center"/>
              <w:rPr>
                <w:rFonts w:cs="Times New Roman"/>
                <w:sz w:val="20"/>
                <w:szCs w:val="20"/>
                <w:lang w:val="cs-CZ" w:eastAsia="ar-SA"/>
              </w:rPr>
            </w:pPr>
            <w:r w:rsidRPr="00D95127">
              <w:rPr>
                <w:rFonts w:cs="Times New Roman"/>
                <w:sz w:val="20"/>
                <w:szCs w:val="20"/>
                <w:lang w:val="cs-CZ" w:eastAsia="ar-SA"/>
              </w:rPr>
              <w:t>650 622</w:t>
            </w:r>
          </w:p>
        </w:tc>
      </w:tr>
      <w:tr w:rsidR="00A16DDB" w:rsidRPr="00D95127" w14:paraId="2E60523D" w14:textId="77777777" w:rsidTr="007B3F55">
        <w:trPr>
          <w:trHeight w:val="636"/>
        </w:trPr>
        <w:tc>
          <w:tcPr>
            <w:tcW w:w="1404" w:type="dxa"/>
            <w:shd w:val="clear" w:color="auto" w:fill="auto"/>
            <w:vAlign w:val="center"/>
            <w:hideMark/>
          </w:tcPr>
          <w:p w14:paraId="515FB66E" w14:textId="7258036C" w:rsidR="00A16DDB" w:rsidRPr="00D95127" w:rsidRDefault="00A16DDB" w:rsidP="007B3F55">
            <w:pPr>
              <w:suppressAutoHyphens/>
              <w:snapToGrid w:val="0"/>
              <w:jc w:val="center"/>
              <w:rPr>
                <w:rFonts w:cs="Times New Roman"/>
                <w:b/>
                <w:sz w:val="20"/>
                <w:szCs w:val="20"/>
                <w:lang w:val="cs-CZ" w:eastAsia="ar-SA"/>
              </w:rPr>
            </w:pPr>
            <w:r w:rsidRPr="00D95127">
              <w:rPr>
                <w:rFonts w:cs="Times New Roman"/>
                <w:b/>
                <w:sz w:val="20"/>
                <w:szCs w:val="20"/>
                <w:lang w:val="cs-CZ" w:eastAsia="ar-SA"/>
              </w:rPr>
              <w:t>Včelařů</w:t>
            </w:r>
          </w:p>
          <w:p w14:paraId="5FE680D6" w14:textId="77777777" w:rsidR="00A16DDB" w:rsidRPr="00D95127" w:rsidRDefault="00A16DDB" w:rsidP="007B3F55">
            <w:pPr>
              <w:suppressAutoHyphens/>
              <w:snapToGrid w:val="0"/>
              <w:jc w:val="center"/>
              <w:rPr>
                <w:rFonts w:cs="Times New Roman"/>
                <w:b/>
                <w:sz w:val="20"/>
                <w:szCs w:val="20"/>
                <w:lang w:val="cs-CZ" w:eastAsia="ar-SA"/>
              </w:rPr>
            </w:pPr>
            <w:r w:rsidRPr="00D95127">
              <w:rPr>
                <w:rFonts w:cs="Times New Roman"/>
                <w:b/>
                <w:sz w:val="20"/>
                <w:szCs w:val="20"/>
                <w:lang w:val="cs-CZ" w:eastAsia="ar-SA"/>
              </w:rPr>
              <w:t>do 15 včelstev</w:t>
            </w:r>
          </w:p>
        </w:tc>
        <w:tc>
          <w:tcPr>
            <w:tcW w:w="955" w:type="dxa"/>
            <w:shd w:val="clear" w:color="auto" w:fill="auto"/>
            <w:vAlign w:val="center"/>
            <w:hideMark/>
          </w:tcPr>
          <w:p w14:paraId="28E97AA5"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37 130</w:t>
            </w:r>
          </w:p>
        </w:tc>
        <w:tc>
          <w:tcPr>
            <w:tcW w:w="954" w:type="dxa"/>
            <w:shd w:val="clear" w:color="auto" w:fill="auto"/>
            <w:vAlign w:val="center"/>
            <w:hideMark/>
          </w:tcPr>
          <w:p w14:paraId="2012CACF"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37 990</w:t>
            </w:r>
          </w:p>
        </w:tc>
        <w:tc>
          <w:tcPr>
            <w:tcW w:w="955" w:type="dxa"/>
            <w:shd w:val="clear" w:color="auto" w:fill="auto"/>
            <w:vAlign w:val="center"/>
          </w:tcPr>
          <w:p w14:paraId="0BFB29E4"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38 389</w:t>
            </w:r>
          </w:p>
        </w:tc>
        <w:tc>
          <w:tcPr>
            <w:tcW w:w="954" w:type="dxa"/>
            <w:shd w:val="clear" w:color="auto" w:fill="auto"/>
            <w:vAlign w:val="center"/>
          </w:tcPr>
          <w:p w14:paraId="3D82B644"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39 124</w:t>
            </w:r>
          </w:p>
        </w:tc>
        <w:tc>
          <w:tcPr>
            <w:tcW w:w="955" w:type="dxa"/>
            <w:shd w:val="clear" w:color="auto" w:fill="auto"/>
            <w:vAlign w:val="center"/>
          </w:tcPr>
          <w:p w14:paraId="5A972F82" w14:textId="29F58B15"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39 652</w:t>
            </w:r>
          </w:p>
        </w:tc>
        <w:tc>
          <w:tcPr>
            <w:tcW w:w="954" w:type="dxa"/>
            <w:shd w:val="clear" w:color="auto" w:fill="auto"/>
            <w:vAlign w:val="center"/>
          </w:tcPr>
          <w:p w14:paraId="75068223"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40 369</w:t>
            </w:r>
          </w:p>
        </w:tc>
        <w:tc>
          <w:tcPr>
            <w:tcW w:w="955" w:type="dxa"/>
            <w:shd w:val="clear" w:color="auto" w:fill="auto"/>
            <w:vAlign w:val="center"/>
          </w:tcPr>
          <w:p w14:paraId="15BB78D8" w14:textId="4BE5734E"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40 831</w:t>
            </w:r>
          </w:p>
        </w:tc>
        <w:tc>
          <w:tcPr>
            <w:tcW w:w="1394" w:type="dxa"/>
            <w:vAlign w:val="center"/>
          </w:tcPr>
          <w:p w14:paraId="5417C152"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40 726</w:t>
            </w:r>
          </w:p>
        </w:tc>
      </w:tr>
      <w:tr w:rsidR="00A16DDB" w:rsidRPr="00D95127" w14:paraId="32315451" w14:textId="77777777" w:rsidTr="007B3F55">
        <w:trPr>
          <w:trHeight w:val="637"/>
        </w:trPr>
        <w:tc>
          <w:tcPr>
            <w:tcW w:w="1404" w:type="dxa"/>
            <w:shd w:val="clear" w:color="auto" w:fill="auto"/>
            <w:vAlign w:val="center"/>
            <w:hideMark/>
          </w:tcPr>
          <w:p w14:paraId="403FB3C5" w14:textId="77777777" w:rsidR="00A16DDB" w:rsidRPr="00D95127" w:rsidRDefault="00A16DDB" w:rsidP="007B3F55">
            <w:pPr>
              <w:suppressAutoHyphens/>
              <w:snapToGrid w:val="0"/>
              <w:jc w:val="center"/>
              <w:rPr>
                <w:rFonts w:cs="Times New Roman"/>
                <w:b/>
                <w:sz w:val="20"/>
                <w:szCs w:val="20"/>
                <w:lang w:val="cs-CZ" w:eastAsia="ar-SA"/>
              </w:rPr>
            </w:pPr>
            <w:r w:rsidRPr="00D95127">
              <w:rPr>
                <w:rFonts w:cs="Times New Roman"/>
                <w:b/>
                <w:sz w:val="20"/>
                <w:szCs w:val="20"/>
                <w:lang w:val="cs-CZ" w:eastAsia="ar-SA"/>
              </w:rPr>
              <w:t>Včelařů s 16 – 30 včelstvy</w:t>
            </w:r>
          </w:p>
        </w:tc>
        <w:tc>
          <w:tcPr>
            <w:tcW w:w="955" w:type="dxa"/>
            <w:shd w:val="clear" w:color="auto" w:fill="auto"/>
            <w:vAlign w:val="center"/>
            <w:hideMark/>
          </w:tcPr>
          <w:p w14:paraId="66E05C96"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6 468</w:t>
            </w:r>
          </w:p>
        </w:tc>
        <w:tc>
          <w:tcPr>
            <w:tcW w:w="954" w:type="dxa"/>
            <w:shd w:val="clear" w:color="auto" w:fill="auto"/>
            <w:vAlign w:val="center"/>
            <w:hideMark/>
          </w:tcPr>
          <w:p w14:paraId="484CE665"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6 030</w:t>
            </w:r>
          </w:p>
        </w:tc>
        <w:tc>
          <w:tcPr>
            <w:tcW w:w="955" w:type="dxa"/>
            <w:shd w:val="clear" w:color="auto" w:fill="auto"/>
            <w:vAlign w:val="center"/>
          </w:tcPr>
          <w:p w14:paraId="492F8CDA"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6 185</w:t>
            </w:r>
          </w:p>
        </w:tc>
        <w:tc>
          <w:tcPr>
            <w:tcW w:w="954" w:type="dxa"/>
            <w:shd w:val="clear" w:color="auto" w:fill="auto"/>
            <w:vAlign w:val="center"/>
          </w:tcPr>
          <w:p w14:paraId="403B7112"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6 648</w:t>
            </w:r>
          </w:p>
        </w:tc>
        <w:tc>
          <w:tcPr>
            <w:tcW w:w="955" w:type="dxa"/>
            <w:shd w:val="clear" w:color="auto" w:fill="auto"/>
            <w:vAlign w:val="center"/>
          </w:tcPr>
          <w:p w14:paraId="436D8C44" w14:textId="3C854689"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6 570</w:t>
            </w:r>
          </w:p>
        </w:tc>
        <w:tc>
          <w:tcPr>
            <w:tcW w:w="954" w:type="dxa"/>
            <w:shd w:val="clear" w:color="auto" w:fill="auto"/>
            <w:vAlign w:val="center"/>
          </w:tcPr>
          <w:p w14:paraId="5CAAE68A"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7 366</w:t>
            </w:r>
          </w:p>
        </w:tc>
        <w:tc>
          <w:tcPr>
            <w:tcW w:w="955" w:type="dxa"/>
            <w:shd w:val="clear" w:color="auto" w:fill="auto"/>
            <w:vAlign w:val="center"/>
          </w:tcPr>
          <w:p w14:paraId="235B342C" w14:textId="5FEFCF62"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6 800</w:t>
            </w:r>
          </w:p>
        </w:tc>
        <w:tc>
          <w:tcPr>
            <w:tcW w:w="1394" w:type="dxa"/>
            <w:vAlign w:val="center"/>
          </w:tcPr>
          <w:p w14:paraId="7CED2F02"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6 711</w:t>
            </w:r>
          </w:p>
        </w:tc>
      </w:tr>
      <w:tr w:rsidR="00A16DDB" w:rsidRPr="00D95127" w14:paraId="2C2BA981" w14:textId="77777777" w:rsidTr="007B3F55">
        <w:trPr>
          <w:trHeight w:val="636"/>
        </w:trPr>
        <w:tc>
          <w:tcPr>
            <w:tcW w:w="1404" w:type="dxa"/>
            <w:shd w:val="clear" w:color="auto" w:fill="auto"/>
            <w:vAlign w:val="center"/>
            <w:hideMark/>
          </w:tcPr>
          <w:p w14:paraId="297C732E" w14:textId="77777777" w:rsidR="00A16DDB" w:rsidRPr="00D95127" w:rsidRDefault="00A16DDB" w:rsidP="007B3F55">
            <w:pPr>
              <w:suppressAutoHyphens/>
              <w:snapToGrid w:val="0"/>
              <w:jc w:val="center"/>
              <w:rPr>
                <w:rFonts w:cs="Times New Roman"/>
                <w:b/>
                <w:sz w:val="20"/>
                <w:szCs w:val="20"/>
                <w:lang w:val="cs-CZ" w:eastAsia="ar-SA"/>
              </w:rPr>
            </w:pPr>
            <w:r w:rsidRPr="00D95127">
              <w:rPr>
                <w:rFonts w:cs="Times New Roman"/>
                <w:b/>
                <w:sz w:val="20"/>
                <w:szCs w:val="20"/>
                <w:lang w:val="cs-CZ" w:eastAsia="ar-SA"/>
              </w:rPr>
              <w:t>Včelařů s 31 – 150 včelstvy</w:t>
            </w:r>
          </w:p>
        </w:tc>
        <w:tc>
          <w:tcPr>
            <w:tcW w:w="955" w:type="dxa"/>
            <w:shd w:val="clear" w:color="auto" w:fill="auto"/>
            <w:vAlign w:val="center"/>
            <w:hideMark/>
          </w:tcPr>
          <w:p w14:paraId="265B77B1"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3 005</w:t>
            </w:r>
          </w:p>
        </w:tc>
        <w:tc>
          <w:tcPr>
            <w:tcW w:w="954" w:type="dxa"/>
            <w:shd w:val="clear" w:color="auto" w:fill="auto"/>
            <w:vAlign w:val="center"/>
            <w:hideMark/>
          </w:tcPr>
          <w:p w14:paraId="1E0B7BD2"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2 747</w:t>
            </w:r>
          </w:p>
        </w:tc>
        <w:tc>
          <w:tcPr>
            <w:tcW w:w="955" w:type="dxa"/>
            <w:shd w:val="clear" w:color="auto" w:fill="auto"/>
            <w:vAlign w:val="center"/>
          </w:tcPr>
          <w:p w14:paraId="3999FBCF" w14:textId="0DF3C5BC"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2 825</w:t>
            </w:r>
          </w:p>
        </w:tc>
        <w:tc>
          <w:tcPr>
            <w:tcW w:w="954" w:type="dxa"/>
            <w:shd w:val="clear" w:color="auto" w:fill="auto"/>
            <w:vAlign w:val="center"/>
          </w:tcPr>
          <w:p w14:paraId="635E09D7"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3 155</w:t>
            </w:r>
          </w:p>
        </w:tc>
        <w:tc>
          <w:tcPr>
            <w:tcW w:w="955" w:type="dxa"/>
            <w:shd w:val="clear" w:color="auto" w:fill="auto"/>
            <w:vAlign w:val="center"/>
          </w:tcPr>
          <w:p w14:paraId="29AC6E8C" w14:textId="5BF57CAF"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3 214</w:t>
            </w:r>
          </w:p>
        </w:tc>
        <w:tc>
          <w:tcPr>
            <w:tcW w:w="954" w:type="dxa"/>
            <w:shd w:val="clear" w:color="auto" w:fill="auto"/>
            <w:vAlign w:val="center"/>
          </w:tcPr>
          <w:p w14:paraId="5719CAD9"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3 692</w:t>
            </w:r>
          </w:p>
        </w:tc>
        <w:tc>
          <w:tcPr>
            <w:tcW w:w="955" w:type="dxa"/>
            <w:shd w:val="clear" w:color="auto" w:fill="auto"/>
            <w:vAlign w:val="center"/>
          </w:tcPr>
          <w:p w14:paraId="1387C672" w14:textId="73BD3909"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3 381</w:t>
            </w:r>
          </w:p>
        </w:tc>
        <w:tc>
          <w:tcPr>
            <w:tcW w:w="1394" w:type="dxa"/>
            <w:vAlign w:val="center"/>
          </w:tcPr>
          <w:p w14:paraId="5AD4AE32"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3 338</w:t>
            </w:r>
          </w:p>
        </w:tc>
      </w:tr>
      <w:tr w:rsidR="00A16DDB" w:rsidRPr="00D95127" w14:paraId="0C801581" w14:textId="77777777" w:rsidTr="007B3F55">
        <w:trPr>
          <w:trHeight w:val="637"/>
        </w:trPr>
        <w:tc>
          <w:tcPr>
            <w:tcW w:w="1404" w:type="dxa"/>
            <w:shd w:val="clear" w:color="auto" w:fill="auto"/>
            <w:vAlign w:val="center"/>
            <w:hideMark/>
          </w:tcPr>
          <w:p w14:paraId="22127E93" w14:textId="77777777" w:rsidR="00A16DDB" w:rsidRPr="00D95127" w:rsidRDefault="00A16DDB" w:rsidP="007B3F55">
            <w:pPr>
              <w:suppressAutoHyphens/>
              <w:snapToGrid w:val="0"/>
              <w:jc w:val="center"/>
              <w:rPr>
                <w:rFonts w:cs="Times New Roman"/>
                <w:b/>
                <w:sz w:val="20"/>
                <w:szCs w:val="20"/>
                <w:lang w:val="cs-CZ" w:eastAsia="ar-SA"/>
              </w:rPr>
            </w:pPr>
            <w:r w:rsidRPr="00D95127">
              <w:rPr>
                <w:rFonts w:cs="Times New Roman"/>
                <w:b/>
                <w:sz w:val="20"/>
                <w:szCs w:val="20"/>
                <w:lang w:val="cs-CZ" w:eastAsia="ar-SA"/>
              </w:rPr>
              <w:t>Včelařů nad 150 včelstev</w:t>
            </w:r>
          </w:p>
        </w:tc>
        <w:tc>
          <w:tcPr>
            <w:tcW w:w="955" w:type="dxa"/>
            <w:shd w:val="clear" w:color="auto" w:fill="auto"/>
            <w:vAlign w:val="center"/>
            <w:hideMark/>
          </w:tcPr>
          <w:p w14:paraId="3A8E9688"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120</w:t>
            </w:r>
          </w:p>
        </w:tc>
        <w:tc>
          <w:tcPr>
            <w:tcW w:w="954" w:type="dxa"/>
            <w:shd w:val="clear" w:color="auto" w:fill="auto"/>
            <w:vAlign w:val="center"/>
            <w:hideMark/>
          </w:tcPr>
          <w:p w14:paraId="0B31C40A"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110</w:t>
            </w:r>
          </w:p>
        </w:tc>
        <w:tc>
          <w:tcPr>
            <w:tcW w:w="955" w:type="dxa"/>
            <w:shd w:val="clear" w:color="auto" w:fill="auto"/>
            <w:vAlign w:val="center"/>
          </w:tcPr>
          <w:p w14:paraId="0F3A64F0"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106</w:t>
            </w:r>
          </w:p>
        </w:tc>
        <w:tc>
          <w:tcPr>
            <w:tcW w:w="954" w:type="dxa"/>
            <w:shd w:val="clear" w:color="auto" w:fill="auto"/>
            <w:vAlign w:val="center"/>
          </w:tcPr>
          <w:p w14:paraId="4E3F1298"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118</w:t>
            </w:r>
          </w:p>
        </w:tc>
        <w:tc>
          <w:tcPr>
            <w:tcW w:w="955" w:type="dxa"/>
            <w:shd w:val="clear" w:color="auto" w:fill="auto"/>
            <w:vAlign w:val="center"/>
          </w:tcPr>
          <w:p w14:paraId="64B92F07"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107</w:t>
            </w:r>
          </w:p>
        </w:tc>
        <w:tc>
          <w:tcPr>
            <w:tcW w:w="954" w:type="dxa"/>
            <w:shd w:val="clear" w:color="auto" w:fill="auto"/>
            <w:vAlign w:val="center"/>
          </w:tcPr>
          <w:p w14:paraId="2F4E0945"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109</w:t>
            </w:r>
          </w:p>
        </w:tc>
        <w:tc>
          <w:tcPr>
            <w:tcW w:w="955" w:type="dxa"/>
            <w:shd w:val="clear" w:color="auto" w:fill="auto"/>
            <w:vAlign w:val="center"/>
          </w:tcPr>
          <w:p w14:paraId="5FC65ADB" w14:textId="3D420AF3"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102</w:t>
            </w:r>
          </w:p>
        </w:tc>
        <w:tc>
          <w:tcPr>
            <w:tcW w:w="1394" w:type="dxa"/>
            <w:vAlign w:val="center"/>
          </w:tcPr>
          <w:p w14:paraId="579865A3"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106</w:t>
            </w:r>
          </w:p>
        </w:tc>
      </w:tr>
      <w:tr w:rsidR="00A16DDB" w:rsidRPr="00D95127" w14:paraId="6DB8F5FD" w14:textId="77777777" w:rsidTr="007B3F55">
        <w:trPr>
          <w:trHeight w:val="637"/>
        </w:trPr>
        <w:tc>
          <w:tcPr>
            <w:tcW w:w="1404" w:type="dxa"/>
            <w:shd w:val="clear" w:color="auto" w:fill="auto"/>
            <w:vAlign w:val="center"/>
          </w:tcPr>
          <w:p w14:paraId="28C5AFEF" w14:textId="77777777" w:rsidR="00A16DDB" w:rsidRPr="00D95127" w:rsidRDefault="00A16DDB" w:rsidP="007B3F55">
            <w:pPr>
              <w:suppressAutoHyphens/>
              <w:snapToGrid w:val="0"/>
              <w:jc w:val="center"/>
              <w:rPr>
                <w:rFonts w:cs="Times New Roman"/>
                <w:b/>
                <w:sz w:val="20"/>
                <w:szCs w:val="20"/>
                <w:lang w:val="cs-CZ" w:eastAsia="ar-SA"/>
              </w:rPr>
            </w:pPr>
            <w:r w:rsidRPr="00D95127">
              <w:rPr>
                <w:rFonts w:cs="Times New Roman"/>
                <w:b/>
                <w:sz w:val="20"/>
                <w:szCs w:val="20"/>
                <w:lang w:val="cs-CZ" w:eastAsia="ar-SA"/>
              </w:rPr>
              <w:t>Včelařů   mimo ČSV, z.s. (*)</w:t>
            </w:r>
          </w:p>
        </w:tc>
        <w:tc>
          <w:tcPr>
            <w:tcW w:w="955" w:type="dxa"/>
            <w:shd w:val="clear" w:color="auto" w:fill="auto"/>
            <w:vAlign w:val="center"/>
          </w:tcPr>
          <w:p w14:paraId="42FB34E6"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1 331</w:t>
            </w:r>
          </w:p>
        </w:tc>
        <w:tc>
          <w:tcPr>
            <w:tcW w:w="954" w:type="dxa"/>
            <w:shd w:val="clear" w:color="auto" w:fill="auto"/>
            <w:vAlign w:val="center"/>
          </w:tcPr>
          <w:p w14:paraId="3A292390"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1 255</w:t>
            </w:r>
          </w:p>
        </w:tc>
        <w:tc>
          <w:tcPr>
            <w:tcW w:w="955" w:type="dxa"/>
            <w:shd w:val="clear" w:color="auto" w:fill="auto"/>
            <w:vAlign w:val="center"/>
          </w:tcPr>
          <w:p w14:paraId="57461424"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1 365</w:t>
            </w:r>
          </w:p>
        </w:tc>
        <w:tc>
          <w:tcPr>
            <w:tcW w:w="954" w:type="dxa"/>
            <w:shd w:val="clear" w:color="auto" w:fill="auto"/>
            <w:vAlign w:val="center"/>
          </w:tcPr>
          <w:p w14:paraId="367F9833"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1 460</w:t>
            </w:r>
          </w:p>
        </w:tc>
        <w:tc>
          <w:tcPr>
            <w:tcW w:w="955" w:type="dxa"/>
            <w:shd w:val="clear" w:color="auto" w:fill="auto"/>
            <w:vAlign w:val="center"/>
          </w:tcPr>
          <w:p w14:paraId="57FE9E50" w14:textId="29AAEFB5"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1 611</w:t>
            </w:r>
          </w:p>
        </w:tc>
        <w:tc>
          <w:tcPr>
            <w:tcW w:w="954" w:type="dxa"/>
            <w:shd w:val="clear" w:color="auto" w:fill="auto"/>
            <w:vAlign w:val="center"/>
          </w:tcPr>
          <w:p w14:paraId="5E0C4F55"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2 268</w:t>
            </w:r>
          </w:p>
        </w:tc>
        <w:tc>
          <w:tcPr>
            <w:tcW w:w="955" w:type="dxa"/>
            <w:shd w:val="clear" w:color="auto" w:fill="auto"/>
            <w:vAlign w:val="center"/>
          </w:tcPr>
          <w:p w14:paraId="194C5BC7" w14:textId="1DBACE05"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2 726</w:t>
            </w:r>
          </w:p>
        </w:tc>
        <w:tc>
          <w:tcPr>
            <w:tcW w:w="1394" w:type="dxa"/>
            <w:vAlign w:val="center"/>
          </w:tcPr>
          <w:p w14:paraId="2169AA5A"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2979</w:t>
            </w:r>
          </w:p>
        </w:tc>
      </w:tr>
      <w:tr w:rsidR="00A16DDB" w:rsidRPr="00D95127" w14:paraId="5C25B0EB" w14:textId="77777777" w:rsidTr="007B3F55">
        <w:trPr>
          <w:trHeight w:val="636"/>
        </w:trPr>
        <w:tc>
          <w:tcPr>
            <w:tcW w:w="1404" w:type="dxa"/>
            <w:shd w:val="clear" w:color="auto" w:fill="auto"/>
            <w:vAlign w:val="center"/>
            <w:hideMark/>
          </w:tcPr>
          <w:p w14:paraId="6BC1ED0F" w14:textId="77777777" w:rsidR="00A16DDB" w:rsidRPr="00D95127" w:rsidRDefault="00A16DDB" w:rsidP="007B3F55">
            <w:pPr>
              <w:suppressAutoHyphens/>
              <w:snapToGrid w:val="0"/>
              <w:jc w:val="center"/>
              <w:rPr>
                <w:rFonts w:cs="Times New Roman"/>
                <w:b/>
                <w:sz w:val="20"/>
                <w:szCs w:val="20"/>
                <w:lang w:val="cs-CZ" w:eastAsia="ar-SA"/>
              </w:rPr>
            </w:pPr>
            <w:r w:rsidRPr="00D95127">
              <w:rPr>
                <w:rFonts w:cs="Times New Roman"/>
                <w:b/>
                <w:sz w:val="20"/>
                <w:szCs w:val="20"/>
                <w:lang w:val="cs-CZ" w:eastAsia="ar-SA"/>
              </w:rPr>
              <w:t>Včelařů celkem</w:t>
            </w:r>
          </w:p>
        </w:tc>
        <w:tc>
          <w:tcPr>
            <w:tcW w:w="955" w:type="dxa"/>
            <w:shd w:val="clear" w:color="auto" w:fill="auto"/>
            <w:vAlign w:val="center"/>
            <w:hideMark/>
          </w:tcPr>
          <w:p w14:paraId="09B045EC"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48 057</w:t>
            </w:r>
          </w:p>
        </w:tc>
        <w:tc>
          <w:tcPr>
            <w:tcW w:w="954" w:type="dxa"/>
            <w:shd w:val="clear" w:color="auto" w:fill="auto"/>
            <w:vAlign w:val="center"/>
            <w:hideMark/>
          </w:tcPr>
          <w:p w14:paraId="4A7730BF"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48 132</w:t>
            </w:r>
          </w:p>
        </w:tc>
        <w:tc>
          <w:tcPr>
            <w:tcW w:w="955" w:type="dxa"/>
            <w:shd w:val="clear" w:color="auto" w:fill="auto"/>
            <w:vAlign w:val="center"/>
          </w:tcPr>
          <w:p w14:paraId="5995EA33" w14:textId="227E526F"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50 471</w:t>
            </w:r>
          </w:p>
        </w:tc>
        <w:tc>
          <w:tcPr>
            <w:tcW w:w="954" w:type="dxa"/>
            <w:shd w:val="clear" w:color="auto" w:fill="auto"/>
            <w:vAlign w:val="center"/>
          </w:tcPr>
          <w:p w14:paraId="6746860F" w14:textId="632D4423"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53 447</w:t>
            </w:r>
          </w:p>
        </w:tc>
        <w:tc>
          <w:tcPr>
            <w:tcW w:w="955" w:type="dxa"/>
            <w:shd w:val="clear" w:color="auto" w:fill="auto"/>
            <w:vAlign w:val="center"/>
          </w:tcPr>
          <w:p w14:paraId="1791DDFF" w14:textId="5A9BEE6C"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54 416</w:t>
            </w:r>
          </w:p>
        </w:tc>
        <w:tc>
          <w:tcPr>
            <w:tcW w:w="954" w:type="dxa"/>
            <w:shd w:val="clear" w:color="auto" w:fill="auto"/>
            <w:vAlign w:val="center"/>
          </w:tcPr>
          <w:p w14:paraId="51FE2C5E" w14:textId="2B167ACE"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56 921</w:t>
            </w:r>
          </w:p>
        </w:tc>
        <w:tc>
          <w:tcPr>
            <w:tcW w:w="955" w:type="dxa"/>
            <w:shd w:val="clear" w:color="auto" w:fill="auto"/>
            <w:vAlign w:val="center"/>
          </w:tcPr>
          <w:p w14:paraId="1EF8FCD9" w14:textId="1871F4F3"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57 380</w:t>
            </w:r>
          </w:p>
        </w:tc>
        <w:tc>
          <w:tcPr>
            <w:tcW w:w="1394" w:type="dxa"/>
            <w:vAlign w:val="center"/>
          </w:tcPr>
          <w:p w14:paraId="5108DD7C"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58 009</w:t>
            </w:r>
          </w:p>
        </w:tc>
      </w:tr>
      <w:tr w:rsidR="00A16DDB" w:rsidRPr="00D95127" w14:paraId="2BC8DA5F" w14:textId="77777777" w:rsidTr="007B3F55">
        <w:trPr>
          <w:trHeight w:val="637"/>
        </w:trPr>
        <w:tc>
          <w:tcPr>
            <w:tcW w:w="1404" w:type="dxa"/>
            <w:shd w:val="clear" w:color="auto" w:fill="auto"/>
            <w:vAlign w:val="center"/>
            <w:hideMark/>
          </w:tcPr>
          <w:p w14:paraId="2D00FD2A" w14:textId="77777777" w:rsidR="00A16DDB" w:rsidRPr="00D95127" w:rsidRDefault="00A16DDB" w:rsidP="007B3F55">
            <w:pPr>
              <w:suppressAutoHyphens/>
              <w:snapToGrid w:val="0"/>
              <w:jc w:val="center"/>
              <w:rPr>
                <w:rFonts w:cs="Times New Roman"/>
                <w:b/>
                <w:sz w:val="20"/>
                <w:szCs w:val="20"/>
                <w:lang w:val="cs-CZ" w:eastAsia="ar-SA"/>
              </w:rPr>
            </w:pPr>
            <w:r w:rsidRPr="00D95127">
              <w:rPr>
                <w:rFonts w:cs="Times New Roman"/>
                <w:b/>
                <w:sz w:val="20"/>
                <w:szCs w:val="20"/>
                <w:lang w:val="cs-CZ" w:eastAsia="ar-SA"/>
              </w:rPr>
              <w:t>Průměrný počet včelstev na včelaře</w:t>
            </w:r>
          </w:p>
        </w:tc>
        <w:tc>
          <w:tcPr>
            <w:tcW w:w="955" w:type="dxa"/>
            <w:shd w:val="clear" w:color="auto" w:fill="auto"/>
            <w:vAlign w:val="center"/>
            <w:hideMark/>
          </w:tcPr>
          <w:p w14:paraId="19FD0D46"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11,77</w:t>
            </w:r>
          </w:p>
        </w:tc>
        <w:tc>
          <w:tcPr>
            <w:tcW w:w="954" w:type="dxa"/>
            <w:shd w:val="clear" w:color="auto" w:fill="auto"/>
            <w:vAlign w:val="center"/>
            <w:hideMark/>
          </w:tcPr>
          <w:p w14:paraId="1BF3082E"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11,23</w:t>
            </w:r>
          </w:p>
        </w:tc>
        <w:tc>
          <w:tcPr>
            <w:tcW w:w="955" w:type="dxa"/>
            <w:shd w:val="clear" w:color="auto" w:fill="auto"/>
            <w:vAlign w:val="center"/>
          </w:tcPr>
          <w:p w14:paraId="558D86B4" w14:textId="66CEC606"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10,96</w:t>
            </w:r>
          </w:p>
        </w:tc>
        <w:tc>
          <w:tcPr>
            <w:tcW w:w="954" w:type="dxa"/>
            <w:shd w:val="clear" w:color="auto" w:fill="auto"/>
            <w:vAlign w:val="center"/>
          </w:tcPr>
          <w:p w14:paraId="317597DC" w14:textId="258FB36A"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11,29</w:t>
            </w:r>
          </w:p>
        </w:tc>
        <w:tc>
          <w:tcPr>
            <w:tcW w:w="955" w:type="dxa"/>
            <w:shd w:val="clear" w:color="auto" w:fill="auto"/>
            <w:vAlign w:val="center"/>
          </w:tcPr>
          <w:p w14:paraId="074F9F0E" w14:textId="14E2BE2E"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10,96</w:t>
            </w:r>
          </w:p>
        </w:tc>
        <w:tc>
          <w:tcPr>
            <w:tcW w:w="954" w:type="dxa"/>
            <w:shd w:val="clear" w:color="auto" w:fill="auto"/>
            <w:vAlign w:val="center"/>
          </w:tcPr>
          <w:p w14:paraId="14957E2E" w14:textId="59A6A7ED"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11,63</w:t>
            </w:r>
          </w:p>
        </w:tc>
        <w:tc>
          <w:tcPr>
            <w:tcW w:w="955" w:type="dxa"/>
            <w:shd w:val="clear" w:color="auto" w:fill="auto"/>
            <w:vAlign w:val="center"/>
          </w:tcPr>
          <w:p w14:paraId="461676FD"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11,32</w:t>
            </w:r>
          </w:p>
        </w:tc>
        <w:tc>
          <w:tcPr>
            <w:tcW w:w="1394" w:type="dxa"/>
            <w:vAlign w:val="center"/>
          </w:tcPr>
          <w:p w14:paraId="66DF9E4D" w14:textId="77777777" w:rsidR="00A16DDB" w:rsidRPr="00D95127" w:rsidRDefault="00A16DDB" w:rsidP="007B3F55">
            <w:pPr>
              <w:suppressAutoHyphens/>
              <w:snapToGrid w:val="0"/>
              <w:jc w:val="center"/>
              <w:rPr>
                <w:rFonts w:cs="Times New Roman"/>
                <w:sz w:val="20"/>
                <w:szCs w:val="20"/>
                <w:lang w:val="cs-CZ" w:eastAsia="ar-SA"/>
              </w:rPr>
            </w:pPr>
            <w:r w:rsidRPr="00D95127">
              <w:rPr>
                <w:rFonts w:cs="Times New Roman"/>
                <w:sz w:val="20"/>
                <w:szCs w:val="20"/>
                <w:lang w:val="cs-CZ" w:eastAsia="ar-SA"/>
              </w:rPr>
              <w:t>11,22</w:t>
            </w:r>
          </w:p>
        </w:tc>
      </w:tr>
    </w:tbl>
    <w:p w14:paraId="536E45A7" w14:textId="77777777" w:rsidR="00A16DDB" w:rsidRPr="00D95127" w:rsidRDefault="00A16DDB" w:rsidP="007B3F55">
      <w:pPr>
        <w:pStyle w:val="UZEIZdroj"/>
      </w:pPr>
      <w:r w:rsidRPr="00D95127">
        <w:t>Zdroj: Český svaz včelařů, z. s., do roku 2016 (řádek 1 – do roku 2015) – nedisponoval kompletními údaji o včelařích – nečlenech. Ústřední evidence včel (MZe) od roku 2017 (řádek 1 – od roku 2016) – v souladu s právními předpisy musí být evidováni všichni včelaři v ČR(*) údaj nebude pro další roky uváděn</w:t>
      </w:r>
    </w:p>
    <w:p w14:paraId="4872FB06" w14:textId="77777777" w:rsidR="00A16DDB" w:rsidRPr="00D95127" w:rsidRDefault="00A16DDB" w:rsidP="007B3F55">
      <w:pPr>
        <w:pStyle w:val="UZEINormaln"/>
      </w:pPr>
      <w:r w:rsidRPr="00D95127">
        <w:t>Jedním z významných faktorů, který působí na snížení imunity včel je nedostatečná výživa včel. Proto i z důvodu vytvoření stability chovu včel a zajištění výživy zimní generace včel včelaři v ČR využívají zdroje včelí pastvy, které jsou mnohdy vzdálené několik desítek km od jejich stanovišť. Proto je důležité se zaměřit na podporu kočování se včelstvy a využívání včelí pastvy ve svém okolí, což vede ke stabilitě a dobrému zdravotnímu stavu chovaných včelstev. Kočování se včelstvy a přísun včel k plodinám má významný přínos pro zemědělství, ovocnářství a zachování biodiverzity krajiny.</w:t>
      </w:r>
    </w:p>
    <w:p w14:paraId="7E14E978" w14:textId="5F98A1BB" w:rsidR="00A16DDB" w:rsidRDefault="00A16DDB" w:rsidP="009D5BBC">
      <w:pPr>
        <w:pStyle w:val="UZEITaB"/>
      </w:pPr>
      <w:bookmarkStart w:id="1256" w:name="_Toc81738561"/>
      <w:r w:rsidRPr="00D95127">
        <w:t>Přísuny včelstev v České republice od roku 2011</w:t>
      </w:r>
      <w:bookmarkEnd w:id="1256"/>
    </w:p>
    <w:tbl>
      <w:tblPr>
        <w:tblW w:w="10341" w:type="dxa"/>
        <w:tblInd w:w="-2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1770"/>
        <w:gridCol w:w="1071"/>
        <w:gridCol w:w="1072"/>
        <w:gridCol w:w="1080"/>
        <w:gridCol w:w="1063"/>
        <w:gridCol w:w="1071"/>
        <w:gridCol w:w="1072"/>
        <w:gridCol w:w="1071"/>
        <w:gridCol w:w="1071"/>
      </w:tblGrid>
      <w:tr w:rsidR="009D5BBC" w:rsidRPr="009D5BBC" w14:paraId="150EF5A3" w14:textId="77777777" w:rsidTr="00333CC9">
        <w:tc>
          <w:tcPr>
            <w:tcW w:w="1770" w:type="dxa"/>
            <w:shd w:val="clear" w:color="auto" w:fill="auto"/>
          </w:tcPr>
          <w:p w14:paraId="0A16FB60" w14:textId="77777777" w:rsidR="009D5BBC" w:rsidRPr="009D5BBC" w:rsidRDefault="009D5BBC" w:rsidP="009D5BBC">
            <w:pPr>
              <w:pStyle w:val="UZEINormaln"/>
              <w:spacing w:before="0" w:after="0"/>
              <w:rPr>
                <w:sz w:val="20"/>
                <w:szCs w:val="20"/>
              </w:rPr>
            </w:pPr>
          </w:p>
        </w:tc>
        <w:tc>
          <w:tcPr>
            <w:tcW w:w="1071" w:type="dxa"/>
            <w:shd w:val="clear" w:color="auto" w:fill="auto"/>
            <w:hideMark/>
          </w:tcPr>
          <w:p w14:paraId="2EB64B59" w14:textId="77777777" w:rsidR="009D5BBC" w:rsidRPr="009D5BBC" w:rsidRDefault="009D5BBC" w:rsidP="009D5BBC">
            <w:pPr>
              <w:pStyle w:val="UZEINormaln"/>
              <w:spacing w:before="0" w:after="0"/>
              <w:rPr>
                <w:b/>
                <w:sz w:val="20"/>
                <w:szCs w:val="20"/>
              </w:rPr>
            </w:pPr>
            <w:r w:rsidRPr="009D5BBC">
              <w:rPr>
                <w:b/>
                <w:sz w:val="20"/>
                <w:szCs w:val="20"/>
              </w:rPr>
              <w:t>2011</w:t>
            </w:r>
          </w:p>
        </w:tc>
        <w:tc>
          <w:tcPr>
            <w:tcW w:w="1072" w:type="dxa"/>
            <w:shd w:val="clear" w:color="auto" w:fill="auto"/>
            <w:hideMark/>
          </w:tcPr>
          <w:p w14:paraId="22755506" w14:textId="77777777" w:rsidR="009D5BBC" w:rsidRPr="009D5BBC" w:rsidRDefault="009D5BBC" w:rsidP="009D5BBC">
            <w:pPr>
              <w:pStyle w:val="UZEINormaln"/>
              <w:spacing w:before="0" w:after="0"/>
              <w:rPr>
                <w:b/>
                <w:sz w:val="20"/>
                <w:szCs w:val="20"/>
              </w:rPr>
            </w:pPr>
            <w:r w:rsidRPr="009D5BBC">
              <w:rPr>
                <w:b/>
                <w:sz w:val="20"/>
                <w:szCs w:val="20"/>
              </w:rPr>
              <w:t>2012</w:t>
            </w:r>
          </w:p>
        </w:tc>
        <w:tc>
          <w:tcPr>
            <w:tcW w:w="1080" w:type="dxa"/>
            <w:shd w:val="clear" w:color="auto" w:fill="auto"/>
          </w:tcPr>
          <w:p w14:paraId="0A4B89CB" w14:textId="77777777" w:rsidR="009D5BBC" w:rsidRPr="009D5BBC" w:rsidRDefault="009D5BBC" w:rsidP="009D5BBC">
            <w:pPr>
              <w:pStyle w:val="UZEINormaln"/>
              <w:spacing w:before="0" w:after="0"/>
              <w:rPr>
                <w:b/>
                <w:sz w:val="20"/>
                <w:szCs w:val="20"/>
              </w:rPr>
            </w:pPr>
            <w:r w:rsidRPr="009D5BBC">
              <w:rPr>
                <w:b/>
                <w:sz w:val="20"/>
                <w:szCs w:val="20"/>
              </w:rPr>
              <w:t>2013</w:t>
            </w:r>
          </w:p>
        </w:tc>
        <w:tc>
          <w:tcPr>
            <w:tcW w:w="1063" w:type="dxa"/>
            <w:shd w:val="clear" w:color="auto" w:fill="auto"/>
          </w:tcPr>
          <w:p w14:paraId="0EF1F695" w14:textId="77777777" w:rsidR="009D5BBC" w:rsidRPr="009D5BBC" w:rsidRDefault="009D5BBC" w:rsidP="009D5BBC">
            <w:pPr>
              <w:pStyle w:val="UZEINormaln"/>
              <w:spacing w:before="0" w:after="0"/>
              <w:rPr>
                <w:b/>
                <w:sz w:val="20"/>
                <w:szCs w:val="20"/>
              </w:rPr>
            </w:pPr>
            <w:r w:rsidRPr="009D5BBC">
              <w:rPr>
                <w:b/>
                <w:sz w:val="20"/>
                <w:szCs w:val="20"/>
              </w:rPr>
              <w:t>2014</w:t>
            </w:r>
          </w:p>
        </w:tc>
        <w:tc>
          <w:tcPr>
            <w:tcW w:w="1071" w:type="dxa"/>
            <w:shd w:val="clear" w:color="auto" w:fill="auto"/>
          </w:tcPr>
          <w:p w14:paraId="738D70B1" w14:textId="77777777" w:rsidR="009D5BBC" w:rsidRPr="009D5BBC" w:rsidRDefault="009D5BBC" w:rsidP="009D5BBC">
            <w:pPr>
              <w:pStyle w:val="UZEINormaln"/>
              <w:spacing w:before="0" w:after="0"/>
              <w:rPr>
                <w:b/>
                <w:sz w:val="20"/>
                <w:szCs w:val="20"/>
              </w:rPr>
            </w:pPr>
            <w:r w:rsidRPr="009D5BBC">
              <w:rPr>
                <w:b/>
                <w:sz w:val="20"/>
                <w:szCs w:val="20"/>
              </w:rPr>
              <w:t>2015</w:t>
            </w:r>
          </w:p>
        </w:tc>
        <w:tc>
          <w:tcPr>
            <w:tcW w:w="1072" w:type="dxa"/>
            <w:shd w:val="clear" w:color="auto" w:fill="auto"/>
          </w:tcPr>
          <w:p w14:paraId="142929D8" w14:textId="77777777" w:rsidR="009D5BBC" w:rsidRPr="009D5BBC" w:rsidRDefault="009D5BBC" w:rsidP="009D5BBC">
            <w:pPr>
              <w:pStyle w:val="UZEINormaln"/>
              <w:spacing w:before="0" w:after="0"/>
              <w:rPr>
                <w:b/>
                <w:sz w:val="20"/>
                <w:szCs w:val="20"/>
              </w:rPr>
            </w:pPr>
            <w:r w:rsidRPr="009D5BBC">
              <w:rPr>
                <w:b/>
                <w:sz w:val="20"/>
                <w:szCs w:val="20"/>
              </w:rPr>
              <w:t>2016</w:t>
            </w:r>
          </w:p>
        </w:tc>
        <w:tc>
          <w:tcPr>
            <w:tcW w:w="1071" w:type="dxa"/>
            <w:shd w:val="clear" w:color="auto" w:fill="auto"/>
          </w:tcPr>
          <w:p w14:paraId="0A36FA8B" w14:textId="77777777" w:rsidR="009D5BBC" w:rsidRPr="009D5BBC" w:rsidRDefault="009D5BBC" w:rsidP="009D5BBC">
            <w:pPr>
              <w:pStyle w:val="UZEINormaln"/>
              <w:spacing w:before="0" w:after="0"/>
              <w:rPr>
                <w:b/>
                <w:sz w:val="20"/>
                <w:szCs w:val="20"/>
              </w:rPr>
            </w:pPr>
            <w:r w:rsidRPr="009D5BBC">
              <w:rPr>
                <w:b/>
                <w:sz w:val="20"/>
                <w:szCs w:val="20"/>
              </w:rPr>
              <w:t>2017</w:t>
            </w:r>
          </w:p>
        </w:tc>
        <w:tc>
          <w:tcPr>
            <w:tcW w:w="1071" w:type="dxa"/>
          </w:tcPr>
          <w:p w14:paraId="7A366D60" w14:textId="77777777" w:rsidR="009D5BBC" w:rsidRPr="009D5BBC" w:rsidRDefault="009D5BBC" w:rsidP="009D5BBC">
            <w:pPr>
              <w:pStyle w:val="UZEINormaln"/>
              <w:spacing w:before="0" w:after="0"/>
              <w:rPr>
                <w:b/>
                <w:sz w:val="20"/>
                <w:szCs w:val="20"/>
              </w:rPr>
            </w:pPr>
            <w:r w:rsidRPr="009D5BBC">
              <w:rPr>
                <w:b/>
                <w:sz w:val="20"/>
                <w:szCs w:val="20"/>
              </w:rPr>
              <w:t>2018</w:t>
            </w:r>
          </w:p>
        </w:tc>
      </w:tr>
      <w:tr w:rsidR="009D5BBC" w:rsidRPr="009D5BBC" w14:paraId="40F0B735" w14:textId="77777777" w:rsidTr="00333CC9">
        <w:tc>
          <w:tcPr>
            <w:tcW w:w="1770" w:type="dxa"/>
            <w:shd w:val="clear" w:color="auto" w:fill="auto"/>
            <w:hideMark/>
          </w:tcPr>
          <w:p w14:paraId="79F22822" w14:textId="77777777" w:rsidR="009D5BBC" w:rsidRPr="009D5BBC" w:rsidRDefault="009D5BBC" w:rsidP="009D5BBC">
            <w:pPr>
              <w:pStyle w:val="UZEINormaln"/>
              <w:spacing w:before="0" w:after="0"/>
              <w:rPr>
                <w:b/>
                <w:sz w:val="20"/>
                <w:szCs w:val="20"/>
              </w:rPr>
            </w:pPr>
            <w:r w:rsidRPr="009D5BBC">
              <w:rPr>
                <w:b/>
                <w:sz w:val="20"/>
                <w:szCs w:val="20"/>
              </w:rPr>
              <w:t>Přísuny k plodinám</w:t>
            </w:r>
          </w:p>
        </w:tc>
        <w:tc>
          <w:tcPr>
            <w:tcW w:w="1071" w:type="dxa"/>
            <w:shd w:val="clear" w:color="auto" w:fill="auto"/>
            <w:vAlign w:val="center"/>
            <w:hideMark/>
          </w:tcPr>
          <w:p w14:paraId="59FA89D9" w14:textId="77777777" w:rsidR="009D5BBC" w:rsidRPr="009D5BBC" w:rsidRDefault="009D5BBC" w:rsidP="009D5BBC">
            <w:pPr>
              <w:pStyle w:val="UZEINormaln"/>
              <w:spacing w:before="0" w:after="0"/>
              <w:rPr>
                <w:b/>
                <w:sz w:val="20"/>
                <w:szCs w:val="20"/>
              </w:rPr>
            </w:pPr>
            <w:r w:rsidRPr="009D5BBC">
              <w:rPr>
                <w:sz w:val="20"/>
                <w:szCs w:val="20"/>
              </w:rPr>
              <w:t>48 521</w:t>
            </w:r>
          </w:p>
        </w:tc>
        <w:tc>
          <w:tcPr>
            <w:tcW w:w="1072" w:type="dxa"/>
            <w:shd w:val="clear" w:color="auto" w:fill="auto"/>
            <w:vAlign w:val="center"/>
            <w:hideMark/>
          </w:tcPr>
          <w:p w14:paraId="7B874071" w14:textId="77777777" w:rsidR="009D5BBC" w:rsidRPr="009D5BBC" w:rsidRDefault="009D5BBC" w:rsidP="009D5BBC">
            <w:pPr>
              <w:pStyle w:val="UZEINormaln"/>
              <w:spacing w:before="0" w:after="0"/>
              <w:rPr>
                <w:b/>
                <w:sz w:val="20"/>
                <w:szCs w:val="20"/>
              </w:rPr>
            </w:pPr>
            <w:r w:rsidRPr="009D5BBC">
              <w:rPr>
                <w:sz w:val="20"/>
                <w:szCs w:val="20"/>
              </w:rPr>
              <w:t>48 762</w:t>
            </w:r>
          </w:p>
        </w:tc>
        <w:tc>
          <w:tcPr>
            <w:tcW w:w="1080" w:type="dxa"/>
            <w:shd w:val="clear" w:color="auto" w:fill="auto"/>
            <w:vAlign w:val="center"/>
          </w:tcPr>
          <w:p w14:paraId="0EC01D80" w14:textId="77777777" w:rsidR="009D5BBC" w:rsidRPr="009D5BBC" w:rsidRDefault="009D5BBC" w:rsidP="009D5BBC">
            <w:pPr>
              <w:pStyle w:val="UZEINormaln"/>
              <w:spacing w:before="0" w:after="0"/>
              <w:rPr>
                <w:b/>
                <w:sz w:val="20"/>
                <w:szCs w:val="20"/>
              </w:rPr>
            </w:pPr>
            <w:r w:rsidRPr="009D5BBC">
              <w:rPr>
                <w:sz w:val="20"/>
                <w:szCs w:val="20"/>
              </w:rPr>
              <w:t>4 531</w:t>
            </w:r>
          </w:p>
        </w:tc>
        <w:tc>
          <w:tcPr>
            <w:tcW w:w="1063" w:type="dxa"/>
            <w:shd w:val="clear" w:color="auto" w:fill="auto"/>
            <w:vAlign w:val="center"/>
          </w:tcPr>
          <w:p w14:paraId="7B386115" w14:textId="77777777" w:rsidR="009D5BBC" w:rsidRPr="009D5BBC" w:rsidRDefault="009D5BBC" w:rsidP="009D5BBC">
            <w:pPr>
              <w:pStyle w:val="UZEINormaln"/>
              <w:spacing w:before="0" w:after="0"/>
              <w:rPr>
                <w:sz w:val="20"/>
                <w:szCs w:val="20"/>
              </w:rPr>
            </w:pPr>
            <w:r w:rsidRPr="009D5BBC">
              <w:rPr>
                <w:sz w:val="20"/>
                <w:szCs w:val="20"/>
              </w:rPr>
              <w:t>22 001</w:t>
            </w:r>
          </w:p>
        </w:tc>
        <w:tc>
          <w:tcPr>
            <w:tcW w:w="1071" w:type="dxa"/>
            <w:shd w:val="clear" w:color="auto" w:fill="auto"/>
            <w:vAlign w:val="center"/>
          </w:tcPr>
          <w:p w14:paraId="3CF15B90" w14:textId="77777777" w:rsidR="009D5BBC" w:rsidRPr="009D5BBC" w:rsidRDefault="009D5BBC" w:rsidP="009D5BBC">
            <w:pPr>
              <w:pStyle w:val="UZEINormaln"/>
              <w:spacing w:before="0" w:after="0"/>
              <w:rPr>
                <w:b/>
                <w:sz w:val="20"/>
                <w:szCs w:val="20"/>
              </w:rPr>
            </w:pPr>
            <w:r w:rsidRPr="009D5BBC">
              <w:rPr>
                <w:sz w:val="20"/>
                <w:szCs w:val="20"/>
              </w:rPr>
              <w:t>19 435</w:t>
            </w:r>
          </w:p>
        </w:tc>
        <w:tc>
          <w:tcPr>
            <w:tcW w:w="1072" w:type="dxa"/>
            <w:shd w:val="clear" w:color="auto" w:fill="auto"/>
            <w:vAlign w:val="center"/>
          </w:tcPr>
          <w:p w14:paraId="125283C0" w14:textId="77777777" w:rsidR="009D5BBC" w:rsidRPr="009D5BBC" w:rsidRDefault="009D5BBC" w:rsidP="009D5BBC">
            <w:pPr>
              <w:pStyle w:val="UZEINormaln"/>
              <w:spacing w:before="0" w:after="0"/>
              <w:rPr>
                <w:b/>
                <w:sz w:val="20"/>
                <w:szCs w:val="20"/>
              </w:rPr>
            </w:pPr>
            <w:r w:rsidRPr="009D5BBC">
              <w:rPr>
                <w:sz w:val="20"/>
                <w:szCs w:val="20"/>
              </w:rPr>
              <w:t>22 188</w:t>
            </w:r>
          </w:p>
        </w:tc>
        <w:tc>
          <w:tcPr>
            <w:tcW w:w="1071" w:type="dxa"/>
            <w:shd w:val="clear" w:color="auto" w:fill="auto"/>
            <w:vAlign w:val="center"/>
          </w:tcPr>
          <w:p w14:paraId="02950777" w14:textId="77777777" w:rsidR="009D5BBC" w:rsidRPr="009D5BBC" w:rsidRDefault="009D5BBC" w:rsidP="009D5BBC">
            <w:pPr>
              <w:pStyle w:val="UZEINormaln"/>
              <w:spacing w:before="0" w:after="0"/>
              <w:rPr>
                <w:b/>
                <w:sz w:val="20"/>
                <w:szCs w:val="20"/>
              </w:rPr>
            </w:pPr>
            <w:r w:rsidRPr="009D5BBC">
              <w:rPr>
                <w:sz w:val="20"/>
                <w:szCs w:val="20"/>
              </w:rPr>
              <w:t>17 275</w:t>
            </w:r>
          </w:p>
        </w:tc>
        <w:tc>
          <w:tcPr>
            <w:tcW w:w="1071" w:type="dxa"/>
          </w:tcPr>
          <w:p w14:paraId="2A4C01E0" w14:textId="77777777" w:rsidR="009D5BBC" w:rsidRPr="009D5BBC" w:rsidRDefault="009D5BBC" w:rsidP="009D5BBC">
            <w:pPr>
              <w:pStyle w:val="UZEINormaln"/>
              <w:spacing w:before="0" w:after="0"/>
              <w:rPr>
                <w:sz w:val="20"/>
                <w:szCs w:val="20"/>
              </w:rPr>
            </w:pPr>
            <w:r w:rsidRPr="009D5BBC">
              <w:rPr>
                <w:sz w:val="20"/>
                <w:szCs w:val="20"/>
              </w:rPr>
              <w:t>14 268</w:t>
            </w:r>
          </w:p>
        </w:tc>
      </w:tr>
      <w:tr w:rsidR="009D5BBC" w:rsidRPr="009D5BBC" w14:paraId="483794E0" w14:textId="77777777" w:rsidTr="00333CC9">
        <w:tc>
          <w:tcPr>
            <w:tcW w:w="1770" w:type="dxa"/>
            <w:shd w:val="clear" w:color="auto" w:fill="auto"/>
          </w:tcPr>
          <w:p w14:paraId="6DB14C03" w14:textId="77777777" w:rsidR="009D5BBC" w:rsidRPr="009D5BBC" w:rsidRDefault="009D5BBC" w:rsidP="009D5BBC">
            <w:pPr>
              <w:pStyle w:val="UZEINormaln"/>
              <w:spacing w:before="0" w:after="0"/>
              <w:rPr>
                <w:b/>
                <w:sz w:val="20"/>
                <w:szCs w:val="20"/>
              </w:rPr>
            </w:pPr>
            <w:r w:rsidRPr="009D5BBC">
              <w:rPr>
                <w:b/>
                <w:sz w:val="20"/>
                <w:szCs w:val="20"/>
              </w:rPr>
              <w:t>Přísuny do lesů</w:t>
            </w:r>
          </w:p>
        </w:tc>
        <w:tc>
          <w:tcPr>
            <w:tcW w:w="1071" w:type="dxa"/>
            <w:shd w:val="clear" w:color="auto" w:fill="auto"/>
            <w:vAlign w:val="center"/>
          </w:tcPr>
          <w:p w14:paraId="45BDEE2D" w14:textId="77777777" w:rsidR="009D5BBC" w:rsidRPr="009D5BBC" w:rsidRDefault="009D5BBC" w:rsidP="009D5BBC">
            <w:pPr>
              <w:pStyle w:val="UZEINormaln"/>
              <w:spacing w:before="0" w:after="0"/>
              <w:rPr>
                <w:b/>
                <w:sz w:val="20"/>
                <w:szCs w:val="20"/>
              </w:rPr>
            </w:pPr>
            <w:r w:rsidRPr="009D5BBC">
              <w:rPr>
                <w:sz w:val="20"/>
                <w:szCs w:val="20"/>
              </w:rPr>
              <w:t>13 505</w:t>
            </w:r>
          </w:p>
        </w:tc>
        <w:tc>
          <w:tcPr>
            <w:tcW w:w="1072" w:type="dxa"/>
            <w:shd w:val="clear" w:color="auto" w:fill="auto"/>
            <w:vAlign w:val="center"/>
          </w:tcPr>
          <w:p w14:paraId="2266FB28" w14:textId="77777777" w:rsidR="009D5BBC" w:rsidRPr="009D5BBC" w:rsidRDefault="009D5BBC" w:rsidP="009D5BBC">
            <w:pPr>
              <w:pStyle w:val="UZEINormaln"/>
              <w:spacing w:before="0" w:after="0"/>
              <w:rPr>
                <w:b/>
                <w:sz w:val="20"/>
                <w:szCs w:val="20"/>
              </w:rPr>
            </w:pPr>
            <w:r w:rsidRPr="009D5BBC">
              <w:rPr>
                <w:sz w:val="20"/>
                <w:szCs w:val="20"/>
              </w:rPr>
              <w:t>11 363</w:t>
            </w:r>
          </w:p>
        </w:tc>
        <w:tc>
          <w:tcPr>
            <w:tcW w:w="1080" w:type="dxa"/>
            <w:shd w:val="clear" w:color="auto" w:fill="auto"/>
            <w:vAlign w:val="center"/>
          </w:tcPr>
          <w:p w14:paraId="63BDF9F5" w14:textId="77777777" w:rsidR="009D5BBC" w:rsidRPr="009D5BBC" w:rsidRDefault="009D5BBC" w:rsidP="009D5BBC">
            <w:pPr>
              <w:pStyle w:val="UZEINormaln"/>
              <w:spacing w:before="0" w:after="0"/>
              <w:rPr>
                <w:b/>
                <w:sz w:val="20"/>
                <w:szCs w:val="20"/>
              </w:rPr>
            </w:pPr>
            <w:r w:rsidRPr="009D5BBC">
              <w:rPr>
                <w:sz w:val="20"/>
                <w:szCs w:val="20"/>
              </w:rPr>
              <w:t>3 083</w:t>
            </w:r>
          </w:p>
        </w:tc>
        <w:tc>
          <w:tcPr>
            <w:tcW w:w="1063" w:type="dxa"/>
            <w:shd w:val="clear" w:color="auto" w:fill="auto"/>
            <w:vAlign w:val="center"/>
          </w:tcPr>
          <w:p w14:paraId="0A2B1056" w14:textId="77777777" w:rsidR="009D5BBC" w:rsidRPr="009D5BBC" w:rsidRDefault="009D5BBC" w:rsidP="009D5BBC">
            <w:pPr>
              <w:pStyle w:val="UZEINormaln"/>
              <w:spacing w:before="0" w:after="0"/>
              <w:rPr>
                <w:sz w:val="20"/>
                <w:szCs w:val="20"/>
              </w:rPr>
            </w:pPr>
            <w:r w:rsidRPr="009D5BBC">
              <w:rPr>
                <w:sz w:val="20"/>
                <w:szCs w:val="20"/>
              </w:rPr>
              <w:t>11 274</w:t>
            </w:r>
          </w:p>
        </w:tc>
        <w:tc>
          <w:tcPr>
            <w:tcW w:w="1071" w:type="dxa"/>
            <w:shd w:val="clear" w:color="auto" w:fill="auto"/>
            <w:vAlign w:val="center"/>
          </w:tcPr>
          <w:p w14:paraId="311E6F09" w14:textId="77777777" w:rsidR="009D5BBC" w:rsidRPr="009D5BBC" w:rsidRDefault="009D5BBC" w:rsidP="009D5BBC">
            <w:pPr>
              <w:pStyle w:val="UZEINormaln"/>
              <w:spacing w:before="0" w:after="0"/>
              <w:rPr>
                <w:b/>
                <w:sz w:val="20"/>
                <w:szCs w:val="20"/>
              </w:rPr>
            </w:pPr>
            <w:r w:rsidRPr="009D5BBC">
              <w:rPr>
                <w:sz w:val="20"/>
                <w:szCs w:val="20"/>
              </w:rPr>
              <w:t>11 228</w:t>
            </w:r>
          </w:p>
        </w:tc>
        <w:tc>
          <w:tcPr>
            <w:tcW w:w="1072" w:type="dxa"/>
            <w:shd w:val="clear" w:color="auto" w:fill="auto"/>
            <w:vAlign w:val="center"/>
          </w:tcPr>
          <w:p w14:paraId="77968428" w14:textId="77777777" w:rsidR="009D5BBC" w:rsidRPr="009D5BBC" w:rsidRDefault="009D5BBC" w:rsidP="009D5BBC">
            <w:pPr>
              <w:pStyle w:val="UZEINormaln"/>
              <w:spacing w:before="0" w:after="0"/>
              <w:rPr>
                <w:b/>
                <w:sz w:val="20"/>
                <w:szCs w:val="20"/>
              </w:rPr>
            </w:pPr>
            <w:r w:rsidRPr="009D5BBC">
              <w:rPr>
                <w:sz w:val="20"/>
                <w:szCs w:val="20"/>
              </w:rPr>
              <w:t>12 026</w:t>
            </w:r>
          </w:p>
        </w:tc>
        <w:tc>
          <w:tcPr>
            <w:tcW w:w="1071" w:type="dxa"/>
            <w:shd w:val="clear" w:color="auto" w:fill="auto"/>
            <w:vAlign w:val="center"/>
          </w:tcPr>
          <w:p w14:paraId="6458F534" w14:textId="77777777" w:rsidR="009D5BBC" w:rsidRPr="009D5BBC" w:rsidRDefault="009D5BBC" w:rsidP="009D5BBC">
            <w:pPr>
              <w:pStyle w:val="UZEINormaln"/>
              <w:spacing w:before="0" w:after="0"/>
              <w:rPr>
                <w:b/>
                <w:sz w:val="20"/>
                <w:szCs w:val="20"/>
              </w:rPr>
            </w:pPr>
            <w:r w:rsidRPr="009D5BBC">
              <w:rPr>
                <w:sz w:val="20"/>
                <w:szCs w:val="20"/>
              </w:rPr>
              <w:t>11 158</w:t>
            </w:r>
          </w:p>
        </w:tc>
        <w:tc>
          <w:tcPr>
            <w:tcW w:w="1071" w:type="dxa"/>
          </w:tcPr>
          <w:p w14:paraId="43C3C3B3" w14:textId="77777777" w:rsidR="009D5BBC" w:rsidRPr="009D5BBC" w:rsidRDefault="009D5BBC" w:rsidP="009D5BBC">
            <w:pPr>
              <w:pStyle w:val="UZEINormaln"/>
              <w:spacing w:before="0" w:after="0"/>
              <w:rPr>
                <w:sz w:val="20"/>
                <w:szCs w:val="20"/>
              </w:rPr>
            </w:pPr>
            <w:r w:rsidRPr="009D5BBC">
              <w:rPr>
                <w:sz w:val="20"/>
                <w:szCs w:val="20"/>
              </w:rPr>
              <w:t>19 853</w:t>
            </w:r>
          </w:p>
        </w:tc>
      </w:tr>
    </w:tbl>
    <w:p w14:paraId="7DC4E03F" w14:textId="77777777" w:rsidR="00A16DDB" w:rsidRPr="00D95127" w:rsidRDefault="00A16DDB" w:rsidP="009D5BBC">
      <w:pPr>
        <w:pStyle w:val="UZEIZdroj"/>
      </w:pPr>
      <w:r w:rsidRPr="00D95127">
        <w:t>Zdroj: Situační a výhledová zpráva Včely</w:t>
      </w:r>
    </w:p>
    <w:p w14:paraId="04DBCC99" w14:textId="77777777" w:rsidR="00A16DDB" w:rsidRPr="00D95127" w:rsidRDefault="00A16DDB" w:rsidP="009D5BBC">
      <w:pPr>
        <w:pStyle w:val="UZEINormaln"/>
      </w:pPr>
      <w:r w:rsidRPr="00D95127">
        <w:t>V případě výskytu a potvrzení bakterióz (mor včelího plodu a hniloba včelího plodu) Ministerstvo zemědělství za eradikaci včelstev hradí chovatelům včel náhrady za utracená včelstva, včetně zařízení, a to více jak 20 mil Kč ročně (v roce 2018 to bylo např. 22 581 785 Kč).</w:t>
      </w:r>
    </w:p>
    <w:p w14:paraId="7F44B8DC" w14:textId="77777777" w:rsidR="00A16DDB" w:rsidRPr="00D95127" w:rsidRDefault="00A16DDB" w:rsidP="00A16DDB">
      <w:pPr>
        <w:ind w:firstLine="709"/>
        <w:rPr>
          <w:rFonts w:cs="Times New Roman"/>
          <w:szCs w:val="24"/>
          <w:lang w:val="cs-CZ" w:eastAsia="x-none"/>
        </w:rPr>
      </w:pPr>
    </w:p>
    <w:p w14:paraId="0A74C15E" w14:textId="77777777" w:rsidR="00A16DDB" w:rsidRPr="00D95127" w:rsidRDefault="00A16DDB" w:rsidP="00A16DDB">
      <w:pPr>
        <w:ind w:firstLine="709"/>
        <w:rPr>
          <w:rFonts w:cs="Times New Roman"/>
          <w:szCs w:val="24"/>
          <w:lang w:val="cs-CZ" w:eastAsia="x-none"/>
        </w:rPr>
      </w:pPr>
    </w:p>
    <w:p w14:paraId="74BE4DFA" w14:textId="77777777" w:rsidR="009D5BBC" w:rsidRDefault="009D5BBC">
      <w:pPr>
        <w:spacing w:after="160" w:line="259" w:lineRule="auto"/>
        <w:jc w:val="left"/>
        <w:rPr>
          <w:rFonts w:eastAsiaTheme="majorEastAsia" w:cs="Times New Roman"/>
          <w:b/>
          <w:bCs/>
          <w:sz w:val="28"/>
          <w:szCs w:val="32"/>
          <w:lang w:val="cs-CZ"/>
        </w:rPr>
      </w:pPr>
      <w:bookmarkStart w:id="1257" w:name="_Toc15304137"/>
      <w:bookmarkStart w:id="1258" w:name="_Toc23509965"/>
      <w:bookmarkStart w:id="1259" w:name="_Toc76137487"/>
      <w:bookmarkStart w:id="1260" w:name="_Toc76637686"/>
      <w:bookmarkStart w:id="1261" w:name="_Toc80953375"/>
      <w:r>
        <w:br w:type="page"/>
      </w:r>
    </w:p>
    <w:p w14:paraId="3C2AE6ED" w14:textId="55D558D9" w:rsidR="00A16DDB" w:rsidRPr="00D95127" w:rsidRDefault="00A16DDB" w:rsidP="009D5BBC">
      <w:pPr>
        <w:pStyle w:val="Nadpis1"/>
      </w:pPr>
      <w:bookmarkStart w:id="1262" w:name="_Toc81739327"/>
      <w:r w:rsidRPr="00D95127">
        <w:t>Řešení v rámci nástrojů SZP, které lze uvažovat v nových návrzích SZP</w:t>
      </w:r>
      <w:bookmarkEnd w:id="1257"/>
      <w:bookmarkEnd w:id="1258"/>
      <w:bookmarkEnd w:id="1259"/>
      <w:bookmarkEnd w:id="1260"/>
      <w:bookmarkEnd w:id="1261"/>
      <w:bookmarkEnd w:id="1262"/>
    </w:p>
    <w:p w14:paraId="54E9D947" w14:textId="77777777" w:rsidR="00A16DDB" w:rsidRPr="00D95127" w:rsidRDefault="00A16DDB" w:rsidP="009D5BBC">
      <w:pPr>
        <w:pStyle w:val="UZEINormaln"/>
      </w:pPr>
      <w:r w:rsidRPr="00D95127">
        <w:t>Navýšení finančních prostředků pro oblast včelařství prostřednictvím českého včelařského programu zaměřeného na:</w:t>
      </w:r>
    </w:p>
    <w:p w14:paraId="2A41FD8A" w14:textId="1093A1C9" w:rsidR="00A16DDB" w:rsidRPr="00D95127" w:rsidRDefault="00A16DDB" w:rsidP="00DE7D57">
      <w:pPr>
        <w:pStyle w:val="UZEINormaln"/>
        <w:numPr>
          <w:ilvl w:val="0"/>
          <w:numId w:val="33"/>
        </w:numPr>
      </w:pPr>
      <w:r w:rsidRPr="00D95127">
        <w:rPr>
          <w:b/>
        </w:rPr>
        <w:t>technickou pomoc</w:t>
      </w:r>
      <w:r w:rsidRPr="00D95127">
        <w:t xml:space="preserve"> (zahrnuje vzdělávání, včelařské kroužky pro děti a mládež, možnost pořízení nových zařízení pro chovatele včel pro získávání a zpracování medu a včelích produktů, propagaci),</w:t>
      </w:r>
    </w:p>
    <w:p w14:paraId="14CA02C2" w14:textId="61541645" w:rsidR="00A16DDB" w:rsidRPr="00C82CBD" w:rsidRDefault="00A16DDB" w:rsidP="00DE7D57">
      <w:pPr>
        <w:pStyle w:val="UZEINormaln"/>
        <w:numPr>
          <w:ilvl w:val="0"/>
          <w:numId w:val="33"/>
        </w:numPr>
        <w:rPr>
          <w:bCs/>
        </w:rPr>
      </w:pPr>
      <w:r w:rsidRPr="00D95127">
        <w:rPr>
          <w:b/>
        </w:rPr>
        <w:t>účinnější boj proti varroáze</w:t>
      </w:r>
      <w:r w:rsidRPr="00C82CBD">
        <w:rPr>
          <w:b/>
        </w:rPr>
        <w:t xml:space="preserve"> </w:t>
      </w:r>
      <w:r w:rsidRPr="00C82CBD">
        <w:rPr>
          <w:bCs/>
        </w:rPr>
        <w:t xml:space="preserve">(zlepšování zdravotního stavu včelstev), v rámci tohoto programu je podpora zaměřena na nákup léčiv pro chovatele včel, přesto se jedná o významnou finanční položku pro včelaře, </w:t>
      </w:r>
    </w:p>
    <w:p w14:paraId="22DF2C3A" w14:textId="0ACCF5AA" w:rsidR="00A16DDB" w:rsidRPr="00C82CBD" w:rsidRDefault="00A16DDB" w:rsidP="00DE7D57">
      <w:pPr>
        <w:pStyle w:val="UZEINormaln"/>
        <w:numPr>
          <w:ilvl w:val="0"/>
          <w:numId w:val="33"/>
        </w:numPr>
        <w:rPr>
          <w:bCs/>
        </w:rPr>
      </w:pPr>
      <w:r w:rsidRPr="00D95127">
        <w:rPr>
          <w:b/>
        </w:rPr>
        <w:t>podporu obnovy včelstev</w:t>
      </w:r>
      <w:r w:rsidRPr="00C82CBD">
        <w:rPr>
          <w:b/>
        </w:rPr>
        <w:t xml:space="preserve"> </w:t>
      </w:r>
      <w:r w:rsidRPr="00C82CBD">
        <w:rPr>
          <w:bCs/>
        </w:rPr>
        <w:t>(šlechtitelský chov plemene včely kraňské), podpora je zaměřena na chov včelích matek plemene včely kraňské,</w:t>
      </w:r>
    </w:p>
    <w:p w14:paraId="184F22B5" w14:textId="5CE4C769" w:rsidR="00A16DDB" w:rsidRPr="00C82CBD" w:rsidRDefault="00A16DDB" w:rsidP="00DE7D57">
      <w:pPr>
        <w:pStyle w:val="UZEINormaln"/>
        <w:numPr>
          <w:ilvl w:val="0"/>
          <w:numId w:val="33"/>
        </w:numPr>
        <w:rPr>
          <w:bCs/>
        </w:rPr>
      </w:pPr>
      <w:r w:rsidRPr="00D95127">
        <w:rPr>
          <w:b/>
        </w:rPr>
        <w:t>podporu racionalizace kočování včelstev</w:t>
      </w:r>
      <w:r w:rsidRPr="00C82CBD">
        <w:rPr>
          <w:b/>
        </w:rPr>
        <w:t xml:space="preserve"> </w:t>
      </w:r>
      <w:r w:rsidRPr="00C82CBD">
        <w:rPr>
          <w:bCs/>
        </w:rPr>
        <w:t>(specializovaná technická zařízení umožňující efektivní přemisťování včelstev za včelí pastvou – ( hosp. plodiny, přírodní ekosystémy)</w:t>
      </w:r>
    </w:p>
    <w:p w14:paraId="2EF3267D" w14:textId="77777777" w:rsidR="00A16DDB" w:rsidRPr="00C82CBD" w:rsidRDefault="00A16DDB" w:rsidP="00DE7D57">
      <w:pPr>
        <w:pStyle w:val="UZEINormaln"/>
        <w:numPr>
          <w:ilvl w:val="0"/>
          <w:numId w:val="33"/>
        </w:numPr>
        <w:rPr>
          <w:bCs/>
        </w:rPr>
      </w:pPr>
      <w:r w:rsidRPr="00D95127">
        <w:rPr>
          <w:b/>
        </w:rPr>
        <w:t>úhrada nákladů na rozbory medu</w:t>
      </w:r>
      <w:r w:rsidRPr="00C82CBD">
        <w:rPr>
          <w:b/>
        </w:rPr>
        <w:t xml:space="preserve"> (kvalita medu), </w:t>
      </w:r>
      <w:r w:rsidRPr="00C82CBD">
        <w:rPr>
          <w:bCs/>
        </w:rPr>
        <w:t>jedná se o fyzikálně chemické rozbory medu, které garantují kvalitu medu, což je velmi důležité, zvláště pro spotřebitele.</w:t>
      </w:r>
    </w:p>
    <w:p w14:paraId="41184DBF" w14:textId="77777777" w:rsidR="00A16DDB" w:rsidRPr="00D95127" w:rsidRDefault="00A16DDB" w:rsidP="00A16DDB">
      <w:pPr>
        <w:pStyle w:val="Odstavecseseznamem"/>
        <w:ind w:firstLine="709"/>
        <w:rPr>
          <w:lang w:eastAsia="x-none"/>
        </w:rPr>
      </w:pPr>
    </w:p>
    <w:p w14:paraId="5C6B6509" w14:textId="77777777" w:rsidR="00A16DDB" w:rsidRPr="00D95127" w:rsidRDefault="00A16DDB" w:rsidP="00A16DDB">
      <w:pPr>
        <w:pStyle w:val="Odstavecseseznamem"/>
        <w:spacing w:before="60"/>
        <w:ind w:left="709" w:firstLine="709"/>
        <w:rPr>
          <w:lang w:eastAsia="x-none"/>
        </w:rPr>
      </w:pPr>
    </w:p>
    <w:p w14:paraId="1F100381" w14:textId="77777777" w:rsidR="00A16DDB" w:rsidRPr="00D95127" w:rsidRDefault="00A16DDB" w:rsidP="00A16DDB">
      <w:pPr>
        <w:pStyle w:val="Odstavecseseznamem"/>
        <w:spacing w:before="60"/>
        <w:ind w:left="709" w:firstLine="709"/>
        <w:rPr>
          <w:lang w:eastAsia="x-none"/>
        </w:rPr>
      </w:pPr>
    </w:p>
    <w:p w14:paraId="102D0529" w14:textId="77777777" w:rsidR="00C82CBD" w:rsidRDefault="00C82CBD">
      <w:pPr>
        <w:spacing w:after="160" w:line="259" w:lineRule="auto"/>
        <w:jc w:val="left"/>
        <w:rPr>
          <w:rFonts w:eastAsiaTheme="majorEastAsia" w:cs="Times New Roman"/>
          <w:b/>
          <w:bCs/>
          <w:sz w:val="28"/>
          <w:szCs w:val="32"/>
          <w:lang w:val="cs-CZ"/>
        </w:rPr>
      </w:pPr>
      <w:bookmarkStart w:id="1263" w:name="_Toc15304138"/>
      <w:bookmarkStart w:id="1264" w:name="_Toc23509966"/>
      <w:bookmarkStart w:id="1265" w:name="_Toc76137488"/>
      <w:bookmarkStart w:id="1266" w:name="_Toc76637687"/>
      <w:bookmarkStart w:id="1267" w:name="_Toc80953376"/>
      <w:r>
        <w:br w:type="page"/>
      </w:r>
    </w:p>
    <w:p w14:paraId="446341A8" w14:textId="2884F80E" w:rsidR="00A16DDB" w:rsidRPr="00D95127" w:rsidRDefault="00A16DDB" w:rsidP="00C82CBD">
      <w:pPr>
        <w:pStyle w:val="Nadpis1"/>
      </w:pPr>
      <w:bookmarkStart w:id="1268" w:name="_Toc81739328"/>
      <w:r w:rsidRPr="00D95127">
        <w:t>Detailnější posouzení vlivu předpisů</w:t>
      </w:r>
      <w:bookmarkEnd w:id="1263"/>
      <w:bookmarkEnd w:id="1264"/>
      <w:bookmarkEnd w:id="1265"/>
      <w:bookmarkEnd w:id="1266"/>
      <w:bookmarkEnd w:id="1267"/>
      <w:bookmarkEnd w:id="1268"/>
    </w:p>
    <w:p w14:paraId="2EDAA30C" w14:textId="77777777" w:rsidR="00A16DDB" w:rsidRPr="00D95127" w:rsidRDefault="00A16DDB" w:rsidP="00C82CBD">
      <w:pPr>
        <w:pStyle w:val="UZEINormaln"/>
      </w:pPr>
      <w:r w:rsidRPr="00D95127">
        <w:rPr>
          <w:b/>
        </w:rPr>
        <w:t>Český včelařský program na období 2020 – 2022</w:t>
      </w:r>
      <w:r w:rsidRPr="00D95127">
        <w:t xml:space="preserve"> byl schválen </w:t>
      </w:r>
      <w:r w:rsidRPr="00D95127">
        <w:rPr>
          <w:b/>
        </w:rPr>
        <w:t>Prováděcím rozhodnutím Komise (EU) 2019/974, ze dne 12. června 2019,</w:t>
      </w:r>
      <w:r w:rsidRPr="00D95127">
        <w:t xml:space="preserve"> kterým se schvalují vnitrostátní programy na zlepšení produkce včelařských produktů a jejich uvádění na trh předložené členskými státy podle nařízení Evropského parlamentu a Rady (EU) č. 1308/2013. Zároveň ve </w:t>
      </w:r>
      <w:r w:rsidRPr="00D95127">
        <w:rPr>
          <w:b/>
        </w:rPr>
        <w:t>Sbírce zákonů č. 148 ze dne 17. 6. 2019</w:t>
      </w:r>
      <w:r w:rsidRPr="00D95127">
        <w:t xml:space="preserve"> je zveřejněno nařízení vlády o stanovení podmínek poskytnutí dotace na provádění opatření ke zlepšení obecných podmínek pro produkci včelařských produktů a jejich uvádění na trh a o změně nařízení vlády č. 197/2005 Sb., o stanovení podmínek poskytnutí dotace na provádění opatření ke zlepšení obecných podmínek pro produkci včelařských produktů a jejich uvádění na trh, ve znění pozdějších předpisů (dále jen „nařízení vlády“) </w:t>
      </w:r>
    </w:p>
    <w:p w14:paraId="14ADD51C" w14:textId="77777777" w:rsidR="00A16DDB" w:rsidRPr="00D95127" w:rsidRDefault="00A16DDB" w:rsidP="00C82CBD">
      <w:pPr>
        <w:pStyle w:val="UZEINormaln"/>
      </w:pPr>
      <w:r w:rsidRPr="00D95127">
        <w:t>Jedná se o zásadní a strategické dokumenty, podle kterých mohou včelaři v ČR čerpat finanční prostředky na 5 opatření, a to v období 2020 – 2022 (včelařský rok):</w:t>
      </w:r>
    </w:p>
    <w:p w14:paraId="6BD54D2A" w14:textId="77777777" w:rsidR="00A16DDB" w:rsidRPr="00D95127" w:rsidRDefault="00A16DDB" w:rsidP="00DE7D57">
      <w:pPr>
        <w:pStyle w:val="Odstavecseseznamem"/>
        <w:numPr>
          <w:ilvl w:val="0"/>
          <w:numId w:val="8"/>
        </w:numPr>
        <w:spacing w:before="60" w:line="259" w:lineRule="auto"/>
        <w:ind w:firstLine="709"/>
      </w:pPr>
      <w:r w:rsidRPr="00D95127">
        <w:t>technická pomoc</w:t>
      </w:r>
    </w:p>
    <w:p w14:paraId="70FE34B9" w14:textId="77777777" w:rsidR="00A16DDB" w:rsidRPr="00D95127" w:rsidRDefault="00A16DDB" w:rsidP="00DE7D57">
      <w:pPr>
        <w:pStyle w:val="Odstavecseseznamem"/>
        <w:numPr>
          <w:ilvl w:val="0"/>
          <w:numId w:val="8"/>
        </w:numPr>
        <w:spacing w:before="60" w:line="259" w:lineRule="auto"/>
        <w:ind w:firstLine="709"/>
      </w:pPr>
      <w:r w:rsidRPr="00D95127">
        <w:t>boj proti varroáze</w:t>
      </w:r>
    </w:p>
    <w:p w14:paraId="63398FC5" w14:textId="77777777" w:rsidR="00A16DDB" w:rsidRPr="00D95127" w:rsidRDefault="00A16DDB" w:rsidP="00DE7D57">
      <w:pPr>
        <w:pStyle w:val="Odstavecseseznamem"/>
        <w:numPr>
          <w:ilvl w:val="0"/>
          <w:numId w:val="8"/>
        </w:numPr>
        <w:spacing w:before="60" w:line="259" w:lineRule="auto"/>
        <w:ind w:firstLine="709"/>
      </w:pPr>
      <w:r w:rsidRPr="00D95127">
        <w:t>racionalizace kočování včelstev</w:t>
      </w:r>
    </w:p>
    <w:p w14:paraId="324D6E6E" w14:textId="77777777" w:rsidR="00A16DDB" w:rsidRPr="00D95127" w:rsidRDefault="00A16DDB" w:rsidP="00DE7D57">
      <w:pPr>
        <w:pStyle w:val="Odstavecseseznamem"/>
        <w:numPr>
          <w:ilvl w:val="0"/>
          <w:numId w:val="8"/>
        </w:numPr>
        <w:spacing w:before="60" w:line="259" w:lineRule="auto"/>
        <w:ind w:firstLine="709"/>
      </w:pPr>
      <w:r w:rsidRPr="00D95127">
        <w:t>úhrada nákladů na rozbory medu a</w:t>
      </w:r>
    </w:p>
    <w:p w14:paraId="5F924115" w14:textId="77777777" w:rsidR="00A16DDB" w:rsidRPr="00D95127" w:rsidRDefault="00A16DDB" w:rsidP="00DE7D57">
      <w:pPr>
        <w:pStyle w:val="Odstavecseseznamem"/>
        <w:numPr>
          <w:ilvl w:val="0"/>
          <w:numId w:val="8"/>
        </w:numPr>
        <w:spacing w:before="60" w:line="259" w:lineRule="auto"/>
        <w:ind w:firstLine="709"/>
      </w:pPr>
      <w:r w:rsidRPr="00D95127">
        <w:t>obnova včelstev</w:t>
      </w:r>
    </w:p>
    <w:p w14:paraId="08D7BBA4" w14:textId="77777777" w:rsidR="00A16DDB" w:rsidRPr="00D95127" w:rsidRDefault="00A16DDB" w:rsidP="00A16DDB">
      <w:pPr>
        <w:ind w:firstLine="709"/>
        <w:rPr>
          <w:rFonts w:cs="Times New Roman"/>
          <w:szCs w:val="24"/>
          <w:lang w:val="cs-CZ"/>
        </w:rPr>
      </w:pPr>
    </w:p>
    <w:p w14:paraId="57464377" w14:textId="77777777" w:rsidR="00A16DDB" w:rsidRPr="00D95127" w:rsidRDefault="00A16DDB" w:rsidP="00C82CBD">
      <w:pPr>
        <w:pStyle w:val="UZEINormaln"/>
      </w:pPr>
      <w:r w:rsidRPr="00D95127">
        <w:t>Česká republika se podílí na celkové podpoře 50 % a EU (50 %). Pro rok 2020 bylo stanoveno pro Českou republiku 1 266 168 EUR (50 % EU), pro rok 2021 - 1 266 168 EUR (50 % EU), pro rok 2022 také 1 266 168 EUR (50 %).</w:t>
      </w:r>
    </w:p>
    <w:p w14:paraId="3D97119C" w14:textId="77777777" w:rsidR="00A16DDB" w:rsidRPr="00D95127" w:rsidRDefault="00A16DDB" w:rsidP="00A16DDB">
      <w:pPr>
        <w:ind w:firstLine="709"/>
        <w:rPr>
          <w:rFonts w:cs="Times New Roman"/>
          <w:bCs/>
          <w:szCs w:val="24"/>
          <w:lang w:val="cs-CZ"/>
        </w:rPr>
      </w:pPr>
    </w:p>
    <w:tbl>
      <w:tblPr>
        <w:tblpPr w:leftFromText="141" w:rightFromText="141" w:vertAnchor="text" w:horzAnchor="margin" w:tblpY="804"/>
        <w:tblOverlap w:val="never"/>
        <w:tblW w:w="990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top w:w="55" w:type="dxa"/>
          <w:left w:w="55" w:type="dxa"/>
          <w:bottom w:w="55" w:type="dxa"/>
          <w:right w:w="55" w:type="dxa"/>
        </w:tblCellMar>
        <w:tblLook w:val="04A0" w:firstRow="1" w:lastRow="0" w:firstColumn="1" w:lastColumn="0" w:noHBand="0" w:noVBand="1"/>
      </w:tblPr>
      <w:tblGrid>
        <w:gridCol w:w="1970"/>
        <w:gridCol w:w="709"/>
        <w:gridCol w:w="850"/>
        <w:gridCol w:w="851"/>
        <w:gridCol w:w="708"/>
        <w:gridCol w:w="851"/>
        <w:gridCol w:w="709"/>
        <w:gridCol w:w="708"/>
        <w:gridCol w:w="993"/>
        <w:gridCol w:w="708"/>
        <w:gridCol w:w="851"/>
      </w:tblGrid>
      <w:tr w:rsidR="00C82CBD" w:rsidRPr="00C82CBD" w14:paraId="4D11818F" w14:textId="77777777" w:rsidTr="00C82CBD">
        <w:trPr>
          <w:trHeight w:val="701"/>
        </w:trPr>
        <w:tc>
          <w:tcPr>
            <w:tcW w:w="1970" w:type="dxa"/>
            <w:shd w:val="clear" w:color="auto" w:fill="auto"/>
            <w:vAlign w:val="center"/>
          </w:tcPr>
          <w:p w14:paraId="4923F321" w14:textId="77777777" w:rsidR="00C82CBD" w:rsidRPr="00C82CBD" w:rsidRDefault="00C82CBD" w:rsidP="00C82CBD">
            <w:pPr>
              <w:pStyle w:val="Obsahtabulky"/>
              <w:snapToGrid w:val="0"/>
              <w:jc w:val="both"/>
              <w:rPr>
                <w:b/>
                <w:sz w:val="20"/>
                <w:szCs w:val="20"/>
              </w:rPr>
            </w:pPr>
            <w:r w:rsidRPr="00C82CBD">
              <w:rPr>
                <w:b/>
                <w:sz w:val="20"/>
                <w:szCs w:val="20"/>
              </w:rPr>
              <w:t>Opatření/ rok</w:t>
            </w:r>
          </w:p>
        </w:tc>
        <w:tc>
          <w:tcPr>
            <w:tcW w:w="709" w:type="dxa"/>
            <w:shd w:val="clear" w:color="auto" w:fill="auto"/>
            <w:vAlign w:val="center"/>
            <w:hideMark/>
          </w:tcPr>
          <w:p w14:paraId="0333196D" w14:textId="77777777" w:rsidR="00C82CBD" w:rsidRPr="00C82CBD" w:rsidRDefault="00C82CBD" w:rsidP="00C82CBD">
            <w:pPr>
              <w:pStyle w:val="Obsahtabulky"/>
              <w:snapToGrid w:val="0"/>
              <w:jc w:val="center"/>
              <w:rPr>
                <w:b/>
                <w:sz w:val="20"/>
                <w:szCs w:val="20"/>
              </w:rPr>
            </w:pPr>
            <w:r w:rsidRPr="00C82CBD">
              <w:rPr>
                <w:b/>
                <w:sz w:val="20"/>
                <w:szCs w:val="20"/>
              </w:rPr>
              <w:t>2011</w:t>
            </w:r>
          </w:p>
        </w:tc>
        <w:tc>
          <w:tcPr>
            <w:tcW w:w="850" w:type="dxa"/>
            <w:shd w:val="clear" w:color="auto" w:fill="auto"/>
            <w:vAlign w:val="center"/>
            <w:hideMark/>
          </w:tcPr>
          <w:p w14:paraId="5A63154E" w14:textId="77777777" w:rsidR="00C82CBD" w:rsidRPr="00C82CBD" w:rsidRDefault="00C82CBD" w:rsidP="00C82CBD">
            <w:pPr>
              <w:pStyle w:val="Obsahtabulky"/>
              <w:snapToGrid w:val="0"/>
              <w:jc w:val="center"/>
              <w:rPr>
                <w:b/>
                <w:sz w:val="20"/>
                <w:szCs w:val="20"/>
              </w:rPr>
            </w:pPr>
            <w:r w:rsidRPr="00C82CBD">
              <w:rPr>
                <w:b/>
                <w:sz w:val="20"/>
                <w:szCs w:val="20"/>
              </w:rPr>
              <w:t>2012</w:t>
            </w:r>
          </w:p>
        </w:tc>
        <w:tc>
          <w:tcPr>
            <w:tcW w:w="851" w:type="dxa"/>
            <w:shd w:val="clear" w:color="auto" w:fill="auto"/>
            <w:vAlign w:val="center"/>
            <w:hideMark/>
          </w:tcPr>
          <w:p w14:paraId="26353FB6" w14:textId="77777777" w:rsidR="00C82CBD" w:rsidRPr="00C82CBD" w:rsidRDefault="00C82CBD" w:rsidP="00C82CBD">
            <w:pPr>
              <w:pStyle w:val="Obsahtabulky"/>
              <w:snapToGrid w:val="0"/>
              <w:jc w:val="center"/>
              <w:rPr>
                <w:b/>
                <w:sz w:val="20"/>
                <w:szCs w:val="20"/>
              </w:rPr>
            </w:pPr>
            <w:r w:rsidRPr="00C82CBD">
              <w:rPr>
                <w:b/>
                <w:sz w:val="20"/>
                <w:szCs w:val="20"/>
              </w:rPr>
              <w:t>2013</w:t>
            </w:r>
          </w:p>
        </w:tc>
        <w:tc>
          <w:tcPr>
            <w:tcW w:w="708" w:type="dxa"/>
            <w:shd w:val="clear" w:color="auto" w:fill="auto"/>
            <w:vAlign w:val="center"/>
            <w:hideMark/>
          </w:tcPr>
          <w:p w14:paraId="63D9E296" w14:textId="77777777" w:rsidR="00C82CBD" w:rsidRPr="00C82CBD" w:rsidRDefault="00C82CBD" w:rsidP="00C82CBD">
            <w:pPr>
              <w:pStyle w:val="Obsahtabulky"/>
              <w:snapToGrid w:val="0"/>
              <w:jc w:val="center"/>
              <w:rPr>
                <w:b/>
                <w:sz w:val="20"/>
                <w:szCs w:val="20"/>
              </w:rPr>
            </w:pPr>
            <w:r w:rsidRPr="00C82CBD">
              <w:rPr>
                <w:b/>
                <w:sz w:val="20"/>
                <w:szCs w:val="20"/>
              </w:rPr>
              <w:t>2014</w:t>
            </w:r>
          </w:p>
        </w:tc>
        <w:tc>
          <w:tcPr>
            <w:tcW w:w="851" w:type="dxa"/>
            <w:shd w:val="clear" w:color="auto" w:fill="auto"/>
            <w:vAlign w:val="center"/>
            <w:hideMark/>
          </w:tcPr>
          <w:p w14:paraId="38D67A8C" w14:textId="77777777" w:rsidR="00C82CBD" w:rsidRPr="00C82CBD" w:rsidRDefault="00C82CBD" w:rsidP="00C82CBD">
            <w:pPr>
              <w:pStyle w:val="Obsahtabulky"/>
              <w:snapToGrid w:val="0"/>
              <w:jc w:val="center"/>
              <w:rPr>
                <w:b/>
                <w:sz w:val="20"/>
                <w:szCs w:val="20"/>
              </w:rPr>
            </w:pPr>
            <w:r w:rsidRPr="00C82CBD">
              <w:rPr>
                <w:b/>
                <w:sz w:val="20"/>
                <w:szCs w:val="20"/>
              </w:rPr>
              <w:t>2015</w:t>
            </w:r>
          </w:p>
        </w:tc>
        <w:tc>
          <w:tcPr>
            <w:tcW w:w="709" w:type="dxa"/>
            <w:shd w:val="clear" w:color="auto" w:fill="auto"/>
            <w:vAlign w:val="center"/>
          </w:tcPr>
          <w:p w14:paraId="17280F79" w14:textId="77777777" w:rsidR="00C82CBD" w:rsidRPr="00C82CBD" w:rsidRDefault="00C82CBD" w:rsidP="00C82CBD">
            <w:pPr>
              <w:pStyle w:val="Obsahtabulky"/>
              <w:snapToGrid w:val="0"/>
              <w:jc w:val="center"/>
              <w:rPr>
                <w:b/>
                <w:sz w:val="20"/>
                <w:szCs w:val="20"/>
              </w:rPr>
            </w:pPr>
            <w:r w:rsidRPr="00C82CBD">
              <w:rPr>
                <w:b/>
                <w:sz w:val="20"/>
                <w:szCs w:val="20"/>
              </w:rPr>
              <w:t>2016</w:t>
            </w:r>
          </w:p>
        </w:tc>
        <w:tc>
          <w:tcPr>
            <w:tcW w:w="708" w:type="dxa"/>
            <w:shd w:val="clear" w:color="auto" w:fill="auto"/>
            <w:vAlign w:val="center"/>
          </w:tcPr>
          <w:p w14:paraId="76E65ACA" w14:textId="77777777" w:rsidR="00C82CBD" w:rsidRPr="00C82CBD" w:rsidRDefault="00C82CBD" w:rsidP="00C82CBD">
            <w:pPr>
              <w:pStyle w:val="Obsahtabulky"/>
              <w:snapToGrid w:val="0"/>
              <w:jc w:val="center"/>
              <w:rPr>
                <w:b/>
                <w:sz w:val="20"/>
                <w:szCs w:val="20"/>
              </w:rPr>
            </w:pPr>
            <w:r w:rsidRPr="00C82CBD">
              <w:rPr>
                <w:b/>
                <w:sz w:val="20"/>
                <w:szCs w:val="20"/>
              </w:rPr>
              <w:t>2017</w:t>
            </w:r>
          </w:p>
        </w:tc>
        <w:tc>
          <w:tcPr>
            <w:tcW w:w="993" w:type="dxa"/>
            <w:shd w:val="clear" w:color="auto" w:fill="auto"/>
            <w:vAlign w:val="center"/>
          </w:tcPr>
          <w:p w14:paraId="7E35DC4F" w14:textId="77777777" w:rsidR="00C82CBD" w:rsidRPr="00C82CBD" w:rsidRDefault="00C82CBD" w:rsidP="00C82CBD">
            <w:pPr>
              <w:pStyle w:val="Obsahtabulky"/>
              <w:snapToGrid w:val="0"/>
              <w:jc w:val="center"/>
              <w:rPr>
                <w:b/>
                <w:sz w:val="20"/>
                <w:szCs w:val="20"/>
              </w:rPr>
            </w:pPr>
            <w:r w:rsidRPr="00C82CBD">
              <w:rPr>
                <w:b/>
                <w:sz w:val="20"/>
                <w:szCs w:val="20"/>
              </w:rPr>
              <w:t>2018</w:t>
            </w:r>
          </w:p>
        </w:tc>
        <w:tc>
          <w:tcPr>
            <w:tcW w:w="708" w:type="dxa"/>
            <w:vAlign w:val="center"/>
          </w:tcPr>
          <w:p w14:paraId="7351B650" w14:textId="77777777" w:rsidR="00C82CBD" w:rsidRPr="00C82CBD" w:rsidRDefault="00C82CBD" w:rsidP="00C82CBD">
            <w:pPr>
              <w:pStyle w:val="Obsahtabulky"/>
              <w:snapToGrid w:val="0"/>
              <w:jc w:val="center"/>
              <w:rPr>
                <w:b/>
                <w:sz w:val="20"/>
                <w:szCs w:val="20"/>
              </w:rPr>
            </w:pPr>
            <w:r w:rsidRPr="00C82CBD">
              <w:rPr>
                <w:b/>
                <w:sz w:val="20"/>
                <w:szCs w:val="20"/>
              </w:rPr>
              <w:t>2019</w:t>
            </w:r>
          </w:p>
        </w:tc>
        <w:tc>
          <w:tcPr>
            <w:tcW w:w="851" w:type="dxa"/>
            <w:vAlign w:val="center"/>
          </w:tcPr>
          <w:p w14:paraId="20CBFF65" w14:textId="77777777" w:rsidR="00C82CBD" w:rsidRPr="00C82CBD" w:rsidRDefault="00C82CBD" w:rsidP="00C82CBD">
            <w:pPr>
              <w:pStyle w:val="Obsahtabulky"/>
              <w:snapToGrid w:val="0"/>
              <w:jc w:val="center"/>
              <w:rPr>
                <w:b/>
                <w:sz w:val="20"/>
                <w:szCs w:val="20"/>
              </w:rPr>
            </w:pPr>
            <w:r w:rsidRPr="00C82CBD">
              <w:rPr>
                <w:b/>
                <w:sz w:val="20"/>
                <w:szCs w:val="20"/>
              </w:rPr>
              <w:t>2020</w:t>
            </w:r>
          </w:p>
        </w:tc>
      </w:tr>
      <w:tr w:rsidR="00C82CBD" w:rsidRPr="00C82CBD" w14:paraId="101D84F4" w14:textId="77777777" w:rsidTr="00C82CBD">
        <w:trPr>
          <w:trHeight w:val="19"/>
        </w:trPr>
        <w:tc>
          <w:tcPr>
            <w:tcW w:w="1970" w:type="dxa"/>
            <w:shd w:val="clear" w:color="auto" w:fill="auto"/>
            <w:vAlign w:val="center"/>
            <w:hideMark/>
          </w:tcPr>
          <w:p w14:paraId="33A429CF" w14:textId="77777777" w:rsidR="00C82CBD" w:rsidRPr="00C82CBD" w:rsidRDefault="00C82CBD" w:rsidP="00C82CBD">
            <w:pPr>
              <w:pStyle w:val="Obsahtabulky"/>
              <w:snapToGrid w:val="0"/>
              <w:jc w:val="both"/>
              <w:rPr>
                <w:sz w:val="20"/>
                <w:szCs w:val="20"/>
              </w:rPr>
            </w:pPr>
            <w:r w:rsidRPr="00C82CBD">
              <w:rPr>
                <w:sz w:val="20"/>
                <w:szCs w:val="20"/>
              </w:rPr>
              <w:t>Technická pomoc</w:t>
            </w:r>
          </w:p>
        </w:tc>
        <w:tc>
          <w:tcPr>
            <w:tcW w:w="709" w:type="dxa"/>
            <w:shd w:val="clear" w:color="auto" w:fill="auto"/>
            <w:vAlign w:val="center"/>
            <w:hideMark/>
          </w:tcPr>
          <w:p w14:paraId="3BE4C264" w14:textId="77777777" w:rsidR="00C82CBD" w:rsidRPr="00C82CBD" w:rsidRDefault="00C82CBD" w:rsidP="00C82CBD">
            <w:pPr>
              <w:pStyle w:val="Obsahtabulky"/>
              <w:snapToGrid w:val="0"/>
              <w:jc w:val="center"/>
              <w:rPr>
                <w:sz w:val="20"/>
                <w:szCs w:val="20"/>
              </w:rPr>
            </w:pPr>
            <w:r w:rsidRPr="00C82CBD">
              <w:rPr>
                <w:sz w:val="20"/>
                <w:szCs w:val="20"/>
              </w:rPr>
              <w:t>34 460</w:t>
            </w:r>
          </w:p>
        </w:tc>
        <w:tc>
          <w:tcPr>
            <w:tcW w:w="850" w:type="dxa"/>
            <w:shd w:val="clear" w:color="auto" w:fill="auto"/>
            <w:vAlign w:val="center"/>
            <w:hideMark/>
          </w:tcPr>
          <w:p w14:paraId="52024826" w14:textId="77777777" w:rsidR="00C82CBD" w:rsidRPr="00C82CBD" w:rsidRDefault="00C82CBD" w:rsidP="00C82CBD">
            <w:pPr>
              <w:pStyle w:val="Obsahtabulky"/>
              <w:snapToGrid w:val="0"/>
              <w:jc w:val="center"/>
              <w:rPr>
                <w:sz w:val="20"/>
                <w:szCs w:val="20"/>
              </w:rPr>
            </w:pPr>
            <w:r w:rsidRPr="00C82CBD">
              <w:rPr>
                <w:sz w:val="20"/>
                <w:szCs w:val="20"/>
              </w:rPr>
              <w:t>36 897</w:t>
            </w:r>
          </w:p>
        </w:tc>
        <w:tc>
          <w:tcPr>
            <w:tcW w:w="851" w:type="dxa"/>
            <w:shd w:val="clear" w:color="auto" w:fill="auto"/>
            <w:vAlign w:val="center"/>
          </w:tcPr>
          <w:p w14:paraId="3C96C122" w14:textId="77777777" w:rsidR="00C82CBD" w:rsidRPr="00C82CBD" w:rsidRDefault="00C82CBD" w:rsidP="00C82CBD">
            <w:pPr>
              <w:pStyle w:val="Obsahtabulky"/>
              <w:snapToGrid w:val="0"/>
              <w:jc w:val="center"/>
              <w:rPr>
                <w:sz w:val="20"/>
                <w:szCs w:val="20"/>
              </w:rPr>
            </w:pPr>
            <w:r w:rsidRPr="00C82CBD">
              <w:rPr>
                <w:sz w:val="20"/>
                <w:szCs w:val="20"/>
              </w:rPr>
              <w:t>35 629</w:t>
            </w:r>
          </w:p>
        </w:tc>
        <w:tc>
          <w:tcPr>
            <w:tcW w:w="708" w:type="dxa"/>
            <w:shd w:val="clear" w:color="auto" w:fill="auto"/>
            <w:vAlign w:val="center"/>
          </w:tcPr>
          <w:p w14:paraId="7E7BFB55" w14:textId="77777777" w:rsidR="00C82CBD" w:rsidRPr="00C82CBD" w:rsidRDefault="00C82CBD" w:rsidP="00C82CBD">
            <w:pPr>
              <w:pStyle w:val="Obsahtabulky"/>
              <w:snapToGrid w:val="0"/>
              <w:jc w:val="center"/>
              <w:rPr>
                <w:sz w:val="20"/>
                <w:szCs w:val="20"/>
              </w:rPr>
            </w:pPr>
            <w:r w:rsidRPr="00C82CBD">
              <w:rPr>
                <w:sz w:val="20"/>
                <w:szCs w:val="20"/>
              </w:rPr>
              <w:t>34 307</w:t>
            </w:r>
          </w:p>
        </w:tc>
        <w:tc>
          <w:tcPr>
            <w:tcW w:w="851" w:type="dxa"/>
            <w:shd w:val="clear" w:color="auto" w:fill="auto"/>
            <w:vAlign w:val="center"/>
          </w:tcPr>
          <w:p w14:paraId="7565DEBE" w14:textId="77777777" w:rsidR="00C82CBD" w:rsidRPr="00C82CBD" w:rsidRDefault="00C82CBD" w:rsidP="00C82CBD">
            <w:pPr>
              <w:pStyle w:val="Obsahtabulky"/>
              <w:snapToGrid w:val="0"/>
              <w:jc w:val="center"/>
              <w:rPr>
                <w:sz w:val="20"/>
                <w:szCs w:val="20"/>
              </w:rPr>
            </w:pPr>
            <w:r w:rsidRPr="00C82CBD">
              <w:rPr>
                <w:sz w:val="20"/>
                <w:szCs w:val="20"/>
              </w:rPr>
              <w:t>26 877</w:t>
            </w:r>
          </w:p>
        </w:tc>
        <w:tc>
          <w:tcPr>
            <w:tcW w:w="709" w:type="dxa"/>
            <w:shd w:val="clear" w:color="auto" w:fill="auto"/>
            <w:vAlign w:val="center"/>
          </w:tcPr>
          <w:p w14:paraId="601F0A65" w14:textId="77777777" w:rsidR="00C82CBD" w:rsidRPr="00C82CBD" w:rsidRDefault="00C82CBD" w:rsidP="00C82CBD">
            <w:pPr>
              <w:pStyle w:val="Obsahtabulky"/>
              <w:snapToGrid w:val="0"/>
              <w:jc w:val="center"/>
              <w:rPr>
                <w:sz w:val="20"/>
                <w:szCs w:val="20"/>
              </w:rPr>
            </w:pPr>
            <w:r w:rsidRPr="00C82CBD">
              <w:rPr>
                <w:sz w:val="20"/>
                <w:szCs w:val="20"/>
              </w:rPr>
              <w:t>31 264</w:t>
            </w:r>
          </w:p>
        </w:tc>
        <w:tc>
          <w:tcPr>
            <w:tcW w:w="708" w:type="dxa"/>
            <w:shd w:val="clear" w:color="auto" w:fill="auto"/>
            <w:vAlign w:val="center"/>
          </w:tcPr>
          <w:p w14:paraId="21DEA9C6" w14:textId="77777777" w:rsidR="00C82CBD" w:rsidRPr="00C82CBD" w:rsidRDefault="00C82CBD" w:rsidP="00C82CBD">
            <w:pPr>
              <w:pStyle w:val="Obsahtabulky"/>
              <w:snapToGrid w:val="0"/>
              <w:jc w:val="center"/>
              <w:rPr>
                <w:sz w:val="20"/>
                <w:szCs w:val="20"/>
              </w:rPr>
            </w:pPr>
            <w:r w:rsidRPr="00C82CBD">
              <w:rPr>
                <w:sz w:val="20"/>
                <w:szCs w:val="20"/>
              </w:rPr>
              <w:t>35 882</w:t>
            </w:r>
          </w:p>
        </w:tc>
        <w:tc>
          <w:tcPr>
            <w:tcW w:w="993" w:type="dxa"/>
            <w:shd w:val="clear" w:color="auto" w:fill="auto"/>
            <w:vAlign w:val="center"/>
          </w:tcPr>
          <w:p w14:paraId="7623C5AD" w14:textId="77777777" w:rsidR="00C82CBD" w:rsidRPr="00C82CBD" w:rsidRDefault="00C82CBD" w:rsidP="00C82CBD">
            <w:pPr>
              <w:pStyle w:val="Obsahtabulky"/>
              <w:snapToGrid w:val="0"/>
              <w:jc w:val="center"/>
              <w:rPr>
                <w:sz w:val="20"/>
                <w:szCs w:val="20"/>
              </w:rPr>
            </w:pPr>
            <w:r w:rsidRPr="00C82CBD">
              <w:rPr>
                <w:sz w:val="20"/>
                <w:szCs w:val="20"/>
              </w:rPr>
              <w:t>25 576</w:t>
            </w:r>
          </w:p>
        </w:tc>
        <w:tc>
          <w:tcPr>
            <w:tcW w:w="708" w:type="dxa"/>
          </w:tcPr>
          <w:p w14:paraId="55637941" w14:textId="77777777" w:rsidR="00C82CBD" w:rsidRPr="00C82CBD" w:rsidRDefault="00C82CBD" w:rsidP="00C82CBD">
            <w:pPr>
              <w:pStyle w:val="Obsahtabulky"/>
              <w:snapToGrid w:val="0"/>
              <w:jc w:val="center"/>
              <w:rPr>
                <w:sz w:val="20"/>
                <w:szCs w:val="20"/>
              </w:rPr>
            </w:pPr>
            <w:r w:rsidRPr="00C82CBD">
              <w:rPr>
                <w:sz w:val="20"/>
                <w:szCs w:val="20"/>
              </w:rPr>
              <w:t>25 050</w:t>
            </w:r>
          </w:p>
        </w:tc>
        <w:tc>
          <w:tcPr>
            <w:tcW w:w="851" w:type="dxa"/>
          </w:tcPr>
          <w:p w14:paraId="642F92BF" w14:textId="77777777" w:rsidR="00C82CBD" w:rsidRPr="00C82CBD" w:rsidRDefault="00C82CBD" w:rsidP="00C82CBD">
            <w:pPr>
              <w:pStyle w:val="Obsahtabulky"/>
              <w:snapToGrid w:val="0"/>
              <w:jc w:val="center"/>
              <w:rPr>
                <w:sz w:val="20"/>
                <w:szCs w:val="20"/>
              </w:rPr>
            </w:pPr>
            <w:r w:rsidRPr="00C82CBD">
              <w:rPr>
                <w:sz w:val="20"/>
                <w:szCs w:val="20"/>
              </w:rPr>
              <w:t>28 134</w:t>
            </w:r>
          </w:p>
        </w:tc>
      </w:tr>
      <w:tr w:rsidR="00C82CBD" w:rsidRPr="00C82CBD" w14:paraId="23D5B262" w14:textId="77777777" w:rsidTr="00C82CBD">
        <w:trPr>
          <w:trHeight w:val="19"/>
        </w:trPr>
        <w:tc>
          <w:tcPr>
            <w:tcW w:w="1970" w:type="dxa"/>
            <w:shd w:val="clear" w:color="auto" w:fill="auto"/>
            <w:vAlign w:val="center"/>
            <w:hideMark/>
          </w:tcPr>
          <w:p w14:paraId="578236C4" w14:textId="77777777" w:rsidR="00C82CBD" w:rsidRPr="00C82CBD" w:rsidRDefault="00C82CBD" w:rsidP="00C82CBD">
            <w:pPr>
              <w:pStyle w:val="Obsahtabulky"/>
              <w:snapToGrid w:val="0"/>
              <w:jc w:val="both"/>
              <w:rPr>
                <w:sz w:val="20"/>
                <w:szCs w:val="20"/>
              </w:rPr>
            </w:pPr>
            <w:r w:rsidRPr="00C82CBD">
              <w:rPr>
                <w:sz w:val="20"/>
                <w:szCs w:val="20"/>
              </w:rPr>
              <w:t>Boj proti varroáze</w:t>
            </w:r>
          </w:p>
        </w:tc>
        <w:tc>
          <w:tcPr>
            <w:tcW w:w="709" w:type="dxa"/>
            <w:shd w:val="clear" w:color="auto" w:fill="auto"/>
            <w:vAlign w:val="center"/>
            <w:hideMark/>
          </w:tcPr>
          <w:p w14:paraId="397BEAE6" w14:textId="77777777" w:rsidR="00C82CBD" w:rsidRPr="00C82CBD" w:rsidRDefault="00C82CBD" w:rsidP="00C82CBD">
            <w:pPr>
              <w:pStyle w:val="Obsahtabulky"/>
              <w:snapToGrid w:val="0"/>
              <w:jc w:val="center"/>
              <w:rPr>
                <w:sz w:val="20"/>
                <w:szCs w:val="20"/>
              </w:rPr>
            </w:pPr>
            <w:r w:rsidRPr="00C82CBD">
              <w:rPr>
                <w:sz w:val="20"/>
                <w:szCs w:val="20"/>
              </w:rPr>
              <w:t>11 112</w:t>
            </w:r>
          </w:p>
        </w:tc>
        <w:tc>
          <w:tcPr>
            <w:tcW w:w="850" w:type="dxa"/>
            <w:shd w:val="clear" w:color="auto" w:fill="auto"/>
            <w:vAlign w:val="center"/>
            <w:hideMark/>
          </w:tcPr>
          <w:p w14:paraId="61EF5065" w14:textId="77777777" w:rsidR="00C82CBD" w:rsidRPr="00C82CBD" w:rsidRDefault="00C82CBD" w:rsidP="00C82CBD">
            <w:pPr>
              <w:pStyle w:val="Obsahtabulky"/>
              <w:snapToGrid w:val="0"/>
              <w:jc w:val="center"/>
              <w:rPr>
                <w:sz w:val="20"/>
                <w:szCs w:val="20"/>
              </w:rPr>
            </w:pPr>
            <w:r w:rsidRPr="00C82CBD">
              <w:rPr>
                <w:sz w:val="20"/>
                <w:szCs w:val="20"/>
              </w:rPr>
              <w:t>15 949</w:t>
            </w:r>
          </w:p>
        </w:tc>
        <w:tc>
          <w:tcPr>
            <w:tcW w:w="851" w:type="dxa"/>
            <w:shd w:val="clear" w:color="auto" w:fill="auto"/>
            <w:vAlign w:val="center"/>
            <w:hideMark/>
          </w:tcPr>
          <w:p w14:paraId="34EC208A" w14:textId="77777777" w:rsidR="00C82CBD" w:rsidRPr="00C82CBD" w:rsidRDefault="00C82CBD" w:rsidP="00C82CBD">
            <w:pPr>
              <w:pStyle w:val="Obsahtabulky"/>
              <w:snapToGrid w:val="0"/>
              <w:jc w:val="center"/>
              <w:rPr>
                <w:sz w:val="20"/>
                <w:szCs w:val="20"/>
              </w:rPr>
            </w:pPr>
            <w:r w:rsidRPr="00C82CBD">
              <w:rPr>
                <w:sz w:val="20"/>
                <w:szCs w:val="20"/>
              </w:rPr>
              <w:t>18 932</w:t>
            </w:r>
          </w:p>
        </w:tc>
        <w:tc>
          <w:tcPr>
            <w:tcW w:w="708" w:type="dxa"/>
            <w:shd w:val="clear" w:color="auto" w:fill="auto"/>
            <w:vAlign w:val="center"/>
            <w:hideMark/>
          </w:tcPr>
          <w:p w14:paraId="61A90C8C" w14:textId="77777777" w:rsidR="00C82CBD" w:rsidRPr="00C82CBD" w:rsidRDefault="00C82CBD" w:rsidP="00C82CBD">
            <w:pPr>
              <w:pStyle w:val="Obsahtabulky"/>
              <w:snapToGrid w:val="0"/>
              <w:jc w:val="center"/>
              <w:rPr>
                <w:sz w:val="20"/>
                <w:szCs w:val="20"/>
              </w:rPr>
            </w:pPr>
            <w:r w:rsidRPr="00C82CBD">
              <w:rPr>
                <w:sz w:val="20"/>
                <w:szCs w:val="20"/>
              </w:rPr>
              <w:t>17 238</w:t>
            </w:r>
          </w:p>
        </w:tc>
        <w:tc>
          <w:tcPr>
            <w:tcW w:w="851" w:type="dxa"/>
            <w:shd w:val="clear" w:color="auto" w:fill="auto"/>
            <w:vAlign w:val="center"/>
            <w:hideMark/>
          </w:tcPr>
          <w:p w14:paraId="2D533C77" w14:textId="77777777" w:rsidR="00C82CBD" w:rsidRPr="00C82CBD" w:rsidRDefault="00C82CBD" w:rsidP="00C82CBD">
            <w:pPr>
              <w:pStyle w:val="Obsahtabulky"/>
              <w:snapToGrid w:val="0"/>
              <w:jc w:val="center"/>
              <w:rPr>
                <w:sz w:val="20"/>
                <w:szCs w:val="20"/>
              </w:rPr>
            </w:pPr>
            <w:r w:rsidRPr="00C82CBD">
              <w:rPr>
                <w:sz w:val="20"/>
                <w:szCs w:val="20"/>
              </w:rPr>
              <w:t>27 513</w:t>
            </w:r>
          </w:p>
        </w:tc>
        <w:tc>
          <w:tcPr>
            <w:tcW w:w="709" w:type="dxa"/>
            <w:shd w:val="clear" w:color="auto" w:fill="auto"/>
            <w:vAlign w:val="center"/>
          </w:tcPr>
          <w:p w14:paraId="6D436065" w14:textId="77777777" w:rsidR="00C82CBD" w:rsidRPr="00C82CBD" w:rsidRDefault="00C82CBD" w:rsidP="00C82CBD">
            <w:pPr>
              <w:pStyle w:val="Obsahtabulky"/>
              <w:snapToGrid w:val="0"/>
              <w:jc w:val="center"/>
              <w:rPr>
                <w:sz w:val="20"/>
                <w:szCs w:val="20"/>
              </w:rPr>
            </w:pPr>
            <w:r w:rsidRPr="00C82CBD">
              <w:rPr>
                <w:sz w:val="20"/>
                <w:szCs w:val="20"/>
              </w:rPr>
              <w:t>23 263</w:t>
            </w:r>
          </w:p>
        </w:tc>
        <w:tc>
          <w:tcPr>
            <w:tcW w:w="708" w:type="dxa"/>
            <w:shd w:val="clear" w:color="auto" w:fill="auto"/>
            <w:vAlign w:val="center"/>
          </w:tcPr>
          <w:p w14:paraId="4CD5E140" w14:textId="77777777" w:rsidR="00C82CBD" w:rsidRPr="00C82CBD" w:rsidRDefault="00C82CBD" w:rsidP="00C82CBD">
            <w:pPr>
              <w:pStyle w:val="Obsahtabulky"/>
              <w:snapToGrid w:val="0"/>
              <w:jc w:val="center"/>
              <w:rPr>
                <w:sz w:val="20"/>
                <w:szCs w:val="20"/>
              </w:rPr>
            </w:pPr>
            <w:r w:rsidRPr="00C82CBD">
              <w:rPr>
                <w:sz w:val="20"/>
                <w:szCs w:val="20"/>
              </w:rPr>
              <w:t>25 574</w:t>
            </w:r>
          </w:p>
        </w:tc>
        <w:tc>
          <w:tcPr>
            <w:tcW w:w="993" w:type="dxa"/>
            <w:shd w:val="clear" w:color="auto" w:fill="auto"/>
            <w:vAlign w:val="center"/>
          </w:tcPr>
          <w:p w14:paraId="442F3715" w14:textId="77777777" w:rsidR="00C82CBD" w:rsidRPr="00C82CBD" w:rsidRDefault="00C82CBD" w:rsidP="00C82CBD">
            <w:pPr>
              <w:pStyle w:val="Obsahtabulky"/>
              <w:snapToGrid w:val="0"/>
              <w:jc w:val="center"/>
              <w:rPr>
                <w:sz w:val="20"/>
                <w:szCs w:val="20"/>
              </w:rPr>
            </w:pPr>
            <w:r w:rsidRPr="00C82CBD">
              <w:rPr>
                <w:sz w:val="20"/>
                <w:szCs w:val="20"/>
              </w:rPr>
              <w:t>30 155</w:t>
            </w:r>
          </w:p>
        </w:tc>
        <w:tc>
          <w:tcPr>
            <w:tcW w:w="708" w:type="dxa"/>
          </w:tcPr>
          <w:p w14:paraId="6260EA82" w14:textId="77777777" w:rsidR="00C82CBD" w:rsidRPr="00C82CBD" w:rsidRDefault="00C82CBD" w:rsidP="00C82CBD">
            <w:pPr>
              <w:pStyle w:val="Obsahtabulky"/>
              <w:snapToGrid w:val="0"/>
              <w:jc w:val="center"/>
              <w:rPr>
                <w:sz w:val="20"/>
                <w:szCs w:val="20"/>
              </w:rPr>
            </w:pPr>
            <w:r w:rsidRPr="00C82CBD">
              <w:rPr>
                <w:sz w:val="20"/>
                <w:szCs w:val="20"/>
              </w:rPr>
              <w:t>32 180</w:t>
            </w:r>
          </w:p>
        </w:tc>
        <w:tc>
          <w:tcPr>
            <w:tcW w:w="851" w:type="dxa"/>
          </w:tcPr>
          <w:p w14:paraId="3B115AD0" w14:textId="77777777" w:rsidR="00C82CBD" w:rsidRPr="00C82CBD" w:rsidRDefault="00C82CBD" w:rsidP="00C82CBD">
            <w:pPr>
              <w:pStyle w:val="Obsahtabulky"/>
              <w:snapToGrid w:val="0"/>
              <w:jc w:val="center"/>
              <w:rPr>
                <w:sz w:val="20"/>
                <w:szCs w:val="20"/>
              </w:rPr>
            </w:pPr>
            <w:r w:rsidRPr="00C82CBD">
              <w:rPr>
                <w:sz w:val="20"/>
                <w:szCs w:val="20"/>
              </w:rPr>
              <w:t>13 735</w:t>
            </w:r>
          </w:p>
        </w:tc>
      </w:tr>
      <w:tr w:rsidR="00C82CBD" w:rsidRPr="00C82CBD" w14:paraId="724EC263" w14:textId="77777777" w:rsidTr="00C82CBD">
        <w:trPr>
          <w:trHeight w:val="19"/>
        </w:trPr>
        <w:tc>
          <w:tcPr>
            <w:tcW w:w="1970" w:type="dxa"/>
            <w:shd w:val="clear" w:color="auto" w:fill="auto"/>
            <w:vAlign w:val="center"/>
            <w:hideMark/>
          </w:tcPr>
          <w:p w14:paraId="582924C1" w14:textId="77777777" w:rsidR="00C82CBD" w:rsidRPr="00C82CBD" w:rsidRDefault="00C82CBD" w:rsidP="00C82CBD">
            <w:pPr>
              <w:pStyle w:val="Obsahtabulky"/>
              <w:snapToGrid w:val="0"/>
              <w:jc w:val="both"/>
              <w:rPr>
                <w:sz w:val="20"/>
                <w:szCs w:val="20"/>
              </w:rPr>
            </w:pPr>
            <w:r w:rsidRPr="00C82CBD">
              <w:rPr>
                <w:sz w:val="20"/>
                <w:szCs w:val="20"/>
              </w:rPr>
              <w:t>Racionalizace kočování</w:t>
            </w:r>
          </w:p>
        </w:tc>
        <w:tc>
          <w:tcPr>
            <w:tcW w:w="709" w:type="dxa"/>
            <w:shd w:val="clear" w:color="auto" w:fill="auto"/>
            <w:vAlign w:val="center"/>
            <w:hideMark/>
          </w:tcPr>
          <w:p w14:paraId="3D73E112" w14:textId="77777777" w:rsidR="00C82CBD" w:rsidRPr="00C82CBD" w:rsidRDefault="00C82CBD" w:rsidP="00C82CBD">
            <w:pPr>
              <w:pStyle w:val="Obsahtabulky"/>
              <w:snapToGrid w:val="0"/>
              <w:jc w:val="center"/>
              <w:rPr>
                <w:sz w:val="20"/>
                <w:szCs w:val="20"/>
              </w:rPr>
            </w:pPr>
            <w:r w:rsidRPr="00C82CBD">
              <w:rPr>
                <w:sz w:val="20"/>
                <w:szCs w:val="20"/>
              </w:rPr>
              <w:t>5 016</w:t>
            </w:r>
          </w:p>
        </w:tc>
        <w:tc>
          <w:tcPr>
            <w:tcW w:w="850" w:type="dxa"/>
            <w:shd w:val="clear" w:color="auto" w:fill="auto"/>
            <w:vAlign w:val="center"/>
            <w:hideMark/>
          </w:tcPr>
          <w:p w14:paraId="218E4B07" w14:textId="77777777" w:rsidR="00C82CBD" w:rsidRPr="00C82CBD" w:rsidRDefault="00C82CBD" w:rsidP="00C82CBD">
            <w:pPr>
              <w:pStyle w:val="Obsahtabulky"/>
              <w:snapToGrid w:val="0"/>
              <w:jc w:val="center"/>
              <w:rPr>
                <w:sz w:val="20"/>
                <w:szCs w:val="20"/>
              </w:rPr>
            </w:pPr>
            <w:r w:rsidRPr="00C82CBD">
              <w:rPr>
                <w:sz w:val="20"/>
                <w:szCs w:val="20"/>
              </w:rPr>
              <w:t>4 478</w:t>
            </w:r>
          </w:p>
        </w:tc>
        <w:tc>
          <w:tcPr>
            <w:tcW w:w="851" w:type="dxa"/>
            <w:shd w:val="clear" w:color="auto" w:fill="auto"/>
            <w:vAlign w:val="center"/>
            <w:hideMark/>
          </w:tcPr>
          <w:p w14:paraId="6AE11D10" w14:textId="77777777" w:rsidR="00C82CBD" w:rsidRPr="00C82CBD" w:rsidRDefault="00C82CBD" w:rsidP="00C82CBD">
            <w:pPr>
              <w:pStyle w:val="Obsahtabulky"/>
              <w:snapToGrid w:val="0"/>
              <w:jc w:val="center"/>
              <w:rPr>
                <w:sz w:val="20"/>
                <w:szCs w:val="20"/>
              </w:rPr>
            </w:pPr>
            <w:r w:rsidRPr="00C82CBD">
              <w:rPr>
                <w:sz w:val="20"/>
                <w:szCs w:val="20"/>
              </w:rPr>
              <w:t>3 867</w:t>
            </w:r>
          </w:p>
        </w:tc>
        <w:tc>
          <w:tcPr>
            <w:tcW w:w="708" w:type="dxa"/>
            <w:shd w:val="clear" w:color="auto" w:fill="auto"/>
            <w:vAlign w:val="center"/>
            <w:hideMark/>
          </w:tcPr>
          <w:p w14:paraId="5924E0A1" w14:textId="77777777" w:rsidR="00C82CBD" w:rsidRPr="00C82CBD" w:rsidRDefault="00C82CBD" w:rsidP="00C82CBD">
            <w:pPr>
              <w:pStyle w:val="Obsahtabulky"/>
              <w:snapToGrid w:val="0"/>
              <w:jc w:val="center"/>
              <w:rPr>
                <w:sz w:val="20"/>
                <w:szCs w:val="20"/>
              </w:rPr>
            </w:pPr>
            <w:r w:rsidRPr="00C82CBD">
              <w:rPr>
                <w:sz w:val="20"/>
                <w:szCs w:val="20"/>
              </w:rPr>
              <w:t>2 259</w:t>
            </w:r>
          </w:p>
        </w:tc>
        <w:tc>
          <w:tcPr>
            <w:tcW w:w="851" w:type="dxa"/>
            <w:shd w:val="clear" w:color="auto" w:fill="auto"/>
            <w:vAlign w:val="center"/>
            <w:hideMark/>
          </w:tcPr>
          <w:p w14:paraId="76CA5707" w14:textId="77777777" w:rsidR="00C82CBD" w:rsidRPr="00C82CBD" w:rsidRDefault="00C82CBD" w:rsidP="00C82CBD">
            <w:pPr>
              <w:pStyle w:val="Obsahtabulky"/>
              <w:snapToGrid w:val="0"/>
              <w:jc w:val="center"/>
              <w:rPr>
                <w:sz w:val="20"/>
                <w:szCs w:val="20"/>
              </w:rPr>
            </w:pPr>
            <w:r w:rsidRPr="00C82CBD">
              <w:rPr>
                <w:sz w:val="20"/>
                <w:szCs w:val="20"/>
              </w:rPr>
              <w:t>2 159</w:t>
            </w:r>
          </w:p>
        </w:tc>
        <w:tc>
          <w:tcPr>
            <w:tcW w:w="709" w:type="dxa"/>
            <w:shd w:val="clear" w:color="auto" w:fill="auto"/>
            <w:vAlign w:val="center"/>
          </w:tcPr>
          <w:p w14:paraId="4B799FE1" w14:textId="77777777" w:rsidR="00C82CBD" w:rsidRPr="00C82CBD" w:rsidRDefault="00C82CBD" w:rsidP="00C82CBD">
            <w:pPr>
              <w:pStyle w:val="Obsahtabulky"/>
              <w:snapToGrid w:val="0"/>
              <w:jc w:val="center"/>
              <w:rPr>
                <w:sz w:val="20"/>
                <w:szCs w:val="20"/>
              </w:rPr>
            </w:pPr>
            <w:r w:rsidRPr="00C82CBD">
              <w:rPr>
                <w:sz w:val="20"/>
                <w:szCs w:val="20"/>
              </w:rPr>
              <w:t>2 320</w:t>
            </w:r>
          </w:p>
        </w:tc>
        <w:tc>
          <w:tcPr>
            <w:tcW w:w="708" w:type="dxa"/>
            <w:shd w:val="clear" w:color="auto" w:fill="auto"/>
            <w:vAlign w:val="center"/>
          </w:tcPr>
          <w:p w14:paraId="13F749CA" w14:textId="77777777" w:rsidR="00C82CBD" w:rsidRPr="00C82CBD" w:rsidRDefault="00C82CBD" w:rsidP="00C82CBD">
            <w:pPr>
              <w:pStyle w:val="Obsahtabulky"/>
              <w:snapToGrid w:val="0"/>
              <w:jc w:val="center"/>
              <w:rPr>
                <w:sz w:val="20"/>
                <w:szCs w:val="20"/>
              </w:rPr>
            </w:pPr>
            <w:r w:rsidRPr="00C82CBD">
              <w:rPr>
                <w:sz w:val="20"/>
                <w:szCs w:val="20"/>
              </w:rPr>
              <w:t>2 082</w:t>
            </w:r>
          </w:p>
        </w:tc>
        <w:tc>
          <w:tcPr>
            <w:tcW w:w="993" w:type="dxa"/>
            <w:shd w:val="clear" w:color="auto" w:fill="auto"/>
            <w:vAlign w:val="center"/>
          </w:tcPr>
          <w:p w14:paraId="10D69610" w14:textId="77777777" w:rsidR="00C82CBD" w:rsidRPr="00C82CBD" w:rsidRDefault="00C82CBD" w:rsidP="00C82CBD">
            <w:pPr>
              <w:pStyle w:val="Obsahtabulky"/>
              <w:snapToGrid w:val="0"/>
              <w:jc w:val="center"/>
              <w:rPr>
                <w:sz w:val="20"/>
                <w:szCs w:val="20"/>
              </w:rPr>
            </w:pPr>
            <w:r w:rsidRPr="00C82CBD">
              <w:rPr>
                <w:sz w:val="20"/>
                <w:szCs w:val="20"/>
              </w:rPr>
              <w:t>1 650</w:t>
            </w:r>
          </w:p>
        </w:tc>
        <w:tc>
          <w:tcPr>
            <w:tcW w:w="708" w:type="dxa"/>
          </w:tcPr>
          <w:p w14:paraId="1347A8D3" w14:textId="77777777" w:rsidR="00C82CBD" w:rsidRPr="00C82CBD" w:rsidRDefault="00C82CBD" w:rsidP="00C82CBD">
            <w:pPr>
              <w:pStyle w:val="Obsahtabulky"/>
              <w:snapToGrid w:val="0"/>
              <w:jc w:val="center"/>
              <w:rPr>
                <w:sz w:val="20"/>
                <w:szCs w:val="20"/>
              </w:rPr>
            </w:pPr>
            <w:r w:rsidRPr="00C82CBD">
              <w:rPr>
                <w:sz w:val="20"/>
                <w:szCs w:val="20"/>
              </w:rPr>
              <w:t>1 031</w:t>
            </w:r>
          </w:p>
        </w:tc>
        <w:tc>
          <w:tcPr>
            <w:tcW w:w="851" w:type="dxa"/>
          </w:tcPr>
          <w:p w14:paraId="3F24654B" w14:textId="77777777" w:rsidR="00C82CBD" w:rsidRPr="00C82CBD" w:rsidRDefault="00C82CBD" w:rsidP="00C82CBD">
            <w:pPr>
              <w:pStyle w:val="Obsahtabulky"/>
              <w:snapToGrid w:val="0"/>
              <w:jc w:val="center"/>
              <w:rPr>
                <w:sz w:val="20"/>
                <w:szCs w:val="20"/>
              </w:rPr>
            </w:pPr>
            <w:r w:rsidRPr="00C82CBD">
              <w:rPr>
                <w:sz w:val="20"/>
                <w:szCs w:val="20"/>
              </w:rPr>
              <w:t>1 641</w:t>
            </w:r>
          </w:p>
        </w:tc>
      </w:tr>
      <w:tr w:rsidR="00C82CBD" w:rsidRPr="00C82CBD" w14:paraId="640D80B8" w14:textId="77777777" w:rsidTr="00C82CBD">
        <w:trPr>
          <w:trHeight w:val="19"/>
        </w:trPr>
        <w:tc>
          <w:tcPr>
            <w:tcW w:w="1970" w:type="dxa"/>
            <w:shd w:val="clear" w:color="auto" w:fill="auto"/>
            <w:vAlign w:val="center"/>
            <w:hideMark/>
          </w:tcPr>
          <w:p w14:paraId="52844F7E" w14:textId="77777777" w:rsidR="00C82CBD" w:rsidRPr="00C82CBD" w:rsidRDefault="00C82CBD" w:rsidP="00C82CBD">
            <w:pPr>
              <w:pStyle w:val="Obsahtabulky"/>
              <w:snapToGrid w:val="0"/>
              <w:jc w:val="both"/>
              <w:rPr>
                <w:sz w:val="20"/>
                <w:szCs w:val="20"/>
              </w:rPr>
            </w:pPr>
            <w:r w:rsidRPr="00C82CBD">
              <w:rPr>
                <w:sz w:val="20"/>
                <w:szCs w:val="20"/>
              </w:rPr>
              <w:t>Rozbory medu</w:t>
            </w:r>
          </w:p>
        </w:tc>
        <w:tc>
          <w:tcPr>
            <w:tcW w:w="709" w:type="dxa"/>
            <w:shd w:val="clear" w:color="auto" w:fill="auto"/>
            <w:vAlign w:val="center"/>
            <w:hideMark/>
          </w:tcPr>
          <w:p w14:paraId="38EA749C" w14:textId="77777777" w:rsidR="00C82CBD" w:rsidRPr="00C82CBD" w:rsidRDefault="00C82CBD" w:rsidP="00C82CBD">
            <w:pPr>
              <w:pStyle w:val="Obsahtabulky"/>
              <w:snapToGrid w:val="0"/>
              <w:jc w:val="center"/>
              <w:rPr>
                <w:sz w:val="20"/>
                <w:szCs w:val="20"/>
              </w:rPr>
            </w:pPr>
            <w:r w:rsidRPr="00C82CBD">
              <w:rPr>
                <w:sz w:val="20"/>
                <w:szCs w:val="20"/>
              </w:rPr>
              <w:t>1 836</w:t>
            </w:r>
          </w:p>
        </w:tc>
        <w:tc>
          <w:tcPr>
            <w:tcW w:w="850" w:type="dxa"/>
            <w:shd w:val="clear" w:color="auto" w:fill="auto"/>
            <w:vAlign w:val="center"/>
            <w:hideMark/>
          </w:tcPr>
          <w:p w14:paraId="1588445D" w14:textId="77777777" w:rsidR="00C82CBD" w:rsidRPr="00C82CBD" w:rsidRDefault="00C82CBD" w:rsidP="00C82CBD">
            <w:pPr>
              <w:pStyle w:val="Obsahtabulky"/>
              <w:snapToGrid w:val="0"/>
              <w:jc w:val="center"/>
              <w:rPr>
                <w:sz w:val="20"/>
                <w:szCs w:val="20"/>
              </w:rPr>
            </w:pPr>
            <w:r w:rsidRPr="00C82CBD">
              <w:rPr>
                <w:sz w:val="20"/>
                <w:szCs w:val="20"/>
              </w:rPr>
              <w:t>937</w:t>
            </w:r>
          </w:p>
        </w:tc>
        <w:tc>
          <w:tcPr>
            <w:tcW w:w="851" w:type="dxa"/>
            <w:shd w:val="clear" w:color="auto" w:fill="auto"/>
            <w:vAlign w:val="center"/>
            <w:hideMark/>
          </w:tcPr>
          <w:p w14:paraId="27B36666" w14:textId="77777777" w:rsidR="00C82CBD" w:rsidRPr="00C82CBD" w:rsidRDefault="00C82CBD" w:rsidP="00C82CBD">
            <w:pPr>
              <w:pStyle w:val="Obsahtabulky"/>
              <w:snapToGrid w:val="0"/>
              <w:jc w:val="center"/>
              <w:rPr>
                <w:sz w:val="20"/>
                <w:szCs w:val="20"/>
              </w:rPr>
            </w:pPr>
            <w:r w:rsidRPr="00C82CBD">
              <w:rPr>
                <w:sz w:val="20"/>
                <w:szCs w:val="20"/>
              </w:rPr>
              <w:t>494</w:t>
            </w:r>
          </w:p>
        </w:tc>
        <w:tc>
          <w:tcPr>
            <w:tcW w:w="708" w:type="dxa"/>
            <w:shd w:val="clear" w:color="auto" w:fill="auto"/>
            <w:vAlign w:val="center"/>
            <w:hideMark/>
          </w:tcPr>
          <w:p w14:paraId="286C1CE4" w14:textId="77777777" w:rsidR="00C82CBD" w:rsidRPr="00C82CBD" w:rsidRDefault="00C82CBD" w:rsidP="00C82CBD">
            <w:pPr>
              <w:pStyle w:val="Obsahtabulky"/>
              <w:snapToGrid w:val="0"/>
              <w:jc w:val="center"/>
              <w:rPr>
                <w:sz w:val="20"/>
                <w:szCs w:val="20"/>
              </w:rPr>
            </w:pPr>
            <w:r w:rsidRPr="00C82CBD">
              <w:rPr>
                <w:sz w:val="20"/>
                <w:szCs w:val="20"/>
              </w:rPr>
              <w:t>678</w:t>
            </w:r>
          </w:p>
        </w:tc>
        <w:tc>
          <w:tcPr>
            <w:tcW w:w="851" w:type="dxa"/>
            <w:shd w:val="clear" w:color="auto" w:fill="auto"/>
            <w:vAlign w:val="center"/>
            <w:hideMark/>
          </w:tcPr>
          <w:p w14:paraId="569D1564" w14:textId="77777777" w:rsidR="00C82CBD" w:rsidRPr="00C82CBD" w:rsidRDefault="00C82CBD" w:rsidP="00C82CBD">
            <w:pPr>
              <w:pStyle w:val="Obsahtabulky"/>
              <w:snapToGrid w:val="0"/>
              <w:jc w:val="center"/>
              <w:rPr>
                <w:sz w:val="20"/>
                <w:szCs w:val="20"/>
              </w:rPr>
            </w:pPr>
            <w:r w:rsidRPr="00C82CBD">
              <w:rPr>
                <w:sz w:val="20"/>
                <w:szCs w:val="20"/>
              </w:rPr>
              <w:t>712</w:t>
            </w:r>
          </w:p>
        </w:tc>
        <w:tc>
          <w:tcPr>
            <w:tcW w:w="709" w:type="dxa"/>
            <w:shd w:val="clear" w:color="auto" w:fill="auto"/>
            <w:vAlign w:val="center"/>
          </w:tcPr>
          <w:p w14:paraId="634A90DE" w14:textId="77777777" w:rsidR="00C82CBD" w:rsidRPr="00C82CBD" w:rsidRDefault="00C82CBD" w:rsidP="00C82CBD">
            <w:pPr>
              <w:pStyle w:val="Obsahtabulky"/>
              <w:snapToGrid w:val="0"/>
              <w:jc w:val="center"/>
              <w:rPr>
                <w:sz w:val="20"/>
                <w:szCs w:val="20"/>
              </w:rPr>
            </w:pPr>
            <w:r w:rsidRPr="00C82CBD">
              <w:rPr>
                <w:sz w:val="20"/>
                <w:szCs w:val="20"/>
              </w:rPr>
              <w:t>693</w:t>
            </w:r>
          </w:p>
        </w:tc>
        <w:tc>
          <w:tcPr>
            <w:tcW w:w="708" w:type="dxa"/>
            <w:shd w:val="clear" w:color="auto" w:fill="auto"/>
            <w:vAlign w:val="center"/>
          </w:tcPr>
          <w:p w14:paraId="3EA471EF" w14:textId="77777777" w:rsidR="00C82CBD" w:rsidRPr="00C82CBD" w:rsidRDefault="00C82CBD" w:rsidP="00C82CBD">
            <w:pPr>
              <w:pStyle w:val="Obsahtabulky"/>
              <w:snapToGrid w:val="0"/>
              <w:jc w:val="center"/>
              <w:rPr>
                <w:sz w:val="20"/>
                <w:szCs w:val="20"/>
              </w:rPr>
            </w:pPr>
            <w:r w:rsidRPr="00C82CBD">
              <w:rPr>
                <w:sz w:val="20"/>
                <w:szCs w:val="20"/>
              </w:rPr>
              <w:t>507</w:t>
            </w:r>
          </w:p>
        </w:tc>
        <w:tc>
          <w:tcPr>
            <w:tcW w:w="993" w:type="dxa"/>
            <w:shd w:val="clear" w:color="auto" w:fill="auto"/>
            <w:vAlign w:val="center"/>
          </w:tcPr>
          <w:p w14:paraId="45B3BD22" w14:textId="77777777" w:rsidR="00C82CBD" w:rsidRPr="00C82CBD" w:rsidRDefault="00C82CBD" w:rsidP="00C82CBD">
            <w:pPr>
              <w:pStyle w:val="Obsahtabulky"/>
              <w:snapToGrid w:val="0"/>
              <w:jc w:val="center"/>
              <w:rPr>
                <w:sz w:val="20"/>
                <w:szCs w:val="20"/>
              </w:rPr>
            </w:pPr>
            <w:r w:rsidRPr="00C82CBD">
              <w:rPr>
                <w:sz w:val="20"/>
                <w:szCs w:val="20"/>
              </w:rPr>
              <w:t>847</w:t>
            </w:r>
          </w:p>
        </w:tc>
        <w:tc>
          <w:tcPr>
            <w:tcW w:w="708" w:type="dxa"/>
          </w:tcPr>
          <w:p w14:paraId="1B6B9CFE" w14:textId="77777777" w:rsidR="00C82CBD" w:rsidRPr="00C82CBD" w:rsidRDefault="00C82CBD" w:rsidP="00C82CBD">
            <w:pPr>
              <w:pStyle w:val="Obsahtabulky"/>
              <w:snapToGrid w:val="0"/>
              <w:jc w:val="center"/>
              <w:rPr>
                <w:sz w:val="20"/>
                <w:szCs w:val="20"/>
              </w:rPr>
            </w:pPr>
            <w:r w:rsidRPr="00C82CBD">
              <w:rPr>
                <w:sz w:val="20"/>
                <w:szCs w:val="20"/>
              </w:rPr>
              <w:t>726</w:t>
            </w:r>
          </w:p>
        </w:tc>
        <w:tc>
          <w:tcPr>
            <w:tcW w:w="851" w:type="dxa"/>
          </w:tcPr>
          <w:p w14:paraId="0A72755F" w14:textId="77777777" w:rsidR="00C82CBD" w:rsidRPr="00C82CBD" w:rsidRDefault="00C82CBD" w:rsidP="00C82CBD">
            <w:pPr>
              <w:pStyle w:val="Obsahtabulky"/>
              <w:snapToGrid w:val="0"/>
              <w:jc w:val="center"/>
              <w:rPr>
                <w:sz w:val="20"/>
                <w:szCs w:val="20"/>
              </w:rPr>
            </w:pPr>
            <w:r w:rsidRPr="00C82CBD">
              <w:rPr>
                <w:sz w:val="20"/>
                <w:szCs w:val="20"/>
              </w:rPr>
              <w:t>760</w:t>
            </w:r>
          </w:p>
        </w:tc>
      </w:tr>
      <w:tr w:rsidR="00C82CBD" w:rsidRPr="00C82CBD" w14:paraId="2423C075" w14:textId="77777777" w:rsidTr="00C82CBD">
        <w:trPr>
          <w:trHeight w:val="19"/>
        </w:trPr>
        <w:tc>
          <w:tcPr>
            <w:tcW w:w="1970" w:type="dxa"/>
            <w:shd w:val="clear" w:color="auto" w:fill="auto"/>
            <w:vAlign w:val="center"/>
            <w:hideMark/>
          </w:tcPr>
          <w:p w14:paraId="7510106C" w14:textId="77777777" w:rsidR="00C82CBD" w:rsidRPr="00C82CBD" w:rsidRDefault="00C82CBD" w:rsidP="00C82CBD">
            <w:pPr>
              <w:pStyle w:val="Obsahtabulky"/>
              <w:snapToGrid w:val="0"/>
              <w:jc w:val="both"/>
              <w:rPr>
                <w:sz w:val="20"/>
                <w:szCs w:val="20"/>
              </w:rPr>
            </w:pPr>
            <w:r w:rsidRPr="00C82CBD">
              <w:rPr>
                <w:sz w:val="20"/>
                <w:szCs w:val="20"/>
              </w:rPr>
              <w:t>Obnova včelstev</w:t>
            </w:r>
          </w:p>
        </w:tc>
        <w:tc>
          <w:tcPr>
            <w:tcW w:w="709" w:type="dxa"/>
            <w:shd w:val="clear" w:color="auto" w:fill="auto"/>
            <w:vAlign w:val="center"/>
            <w:hideMark/>
          </w:tcPr>
          <w:p w14:paraId="0452E990" w14:textId="77777777" w:rsidR="00C82CBD" w:rsidRPr="00C82CBD" w:rsidRDefault="00C82CBD" w:rsidP="00C82CBD">
            <w:pPr>
              <w:pStyle w:val="Obsahtabulky"/>
              <w:snapToGrid w:val="0"/>
              <w:jc w:val="center"/>
              <w:rPr>
                <w:sz w:val="20"/>
                <w:szCs w:val="20"/>
              </w:rPr>
            </w:pPr>
            <w:r w:rsidRPr="00C82CBD">
              <w:rPr>
                <w:sz w:val="20"/>
                <w:szCs w:val="20"/>
              </w:rPr>
              <w:t>8 804</w:t>
            </w:r>
          </w:p>
        </w:tc>
        <w:tc>
          <w:tcPr>
            <w:tcW w:w="850" w:type="dxa"/>
            <w:shd w:val="clear" w:color="auto" w:fill="auto"/>
            <w:vAlign w:val="center"/>
            <w:hideMark/>
          </w:tcPr>
          <w:p w14:paraId="7BD6E332" w14:textId="77777777" w:rsidR="00C82CBD" w:rsidRPr="00C82CBD" w:rsidRDefault="00C82CBD" w:rsidP="00C82CBD">
            <w:pPr>
              <w:pStyle w:val="Obsahtabulky"/>
              <w:snapToGrid w:val="0"/>
              <w:jc w:val="center"/>
              <w:rPr>
                <w:sz w:val="20"/>
                <w:szCs w:val="20"/>
              </w:rPr>
            </w:pPr>
            <w:r w:rsidRPr="00C82CBD">
              <w:rPr>
                <w:sz w:val="20"/>
                <w:szCs w:val="20"/>
              </w:rPr>
              <w:t>8 159</w:t>
            </w:r>
          </w:p>
        </w:tc>
        <w:tc>
          <w:tcPr>
            <w:tcW w:w="851" w:type="dxa"/>
            <w:shd w:val="clear" w:color="auto" w:fill="auto"/>
            <w:vAlign w:val="center"/>
            <w:hideMark/>
          </w:tcPr>
          <w:p w14:paraId="7DD6E39B" w14:textId="77777777" w:rsidR="00C82CBD" w:rsidRPr="00C82CBD" w:rsidRDefault="00C82CBD" w:rsidP="00C82CBD">
            <w:pPr>
              <w:pStyle w:val="Obsahtabulky"/>
              <w:snapToGrid w:val="0"/>
              <w:jc w:val="center"/>
              <w:rPr>
                <w:sz w:val="20"/>
                <w:szCs w:val="20"/>
              </w:rPr>
            </w:pPr>
            <w:r w:rsidRPr="00C82CBD">
              <w:rPr>
                <w:sz w:val="20"/>
                <w:szCs w:val="20"/>
              </w:rPr>
              <w:t>7 286</w:t>
            </w:r>
          </w:p>
        </w:tc>
        <w:tc>
          <w:tcPr>
            <w:tcW w:w="708" w:type="dxa"/>
            <w:shd w:val="clear" w:color="auto" w:fill="auto"/>
            <w:vAlign w:val="center"/>
            <w:hideMark/>
          </w:tcPr>
          <w:p w14:paraId="37E6A79F" w14:textId="77777777" w:rsidR="00C82CBD" w:rsidRPr="00C82CBD" w:rsidRDefault="00C82CBD" w:rsidP="00C82CBD">
            <w:pPr>
              <w:pStyle w:val="Obsahtabulky"/>
              <w:snapToGrid w:val="0"/>
              <w:jc w:val="center"/>
              <w:rPr>
                <w:sz w:val="20"/>
                <w:szCs w:val="20"/>
              </w:rPr>
            </w:pPr>
            <w:r w:rsidRPr="00C82CBD">
              <w:rPr>
                <w:sz w:val="20"/>
                <w:szCs w:val="20"/>
              </w:rPr>
              <w:t>9 465</w:t>
            </w:r>
          </w:p>
        </w:tc>
        <w:tc>
          <w:tcPr>
            <w:tcW w:w="851" w:type="dxa"/>
            <w:shd w:val="clear" w:color="auto" w:fill="auto"/>
            <w:vAlign w:val="center"/>
            <w:hideMark/>
          </w:tcPr>
          <w:p w14:paraId="26B95169" w14:textId="77777777" w:rsidR="00C82CBD" w:rsidRPr="00C82CBD" w:rsidRDefault="00C82CBD" w:rsidP="00C82CBD">
            <w:pPr>
              <w:pStyle w:val="Obsahtabulky"/>
              <w:snapToGrid w:val="0"/>
              <w:jc w:val="center"/>
              <w:rPr>
                <w:sz w:val="20"/>
                <w:szCs w:val="20"/>
              </w:rPr>
            </w:pPr>
            <w:r w:rsidRPr="00C82CBD">
              <w:rPr>
                <w:sz w:val="20"/>
                <w:szCs w:val="20"/>
              </w:rPr>
              <w:t>7 414</w:t>
            </w:r>
          </w:p>
        </w:tc>
        <w:tc>
          <w:tcPr>
            <w:tcW w:w="709" w:type="dxa"/>
            <w:shd w:val="clear" w:color="auto" w:fill="auto"/>
            <w:vAlign w:val="center"/>
          </w:tcPr>
          <w:p w14:paraId="2E74EA09" w14:textId="77777777" w:rsidR="00C82CBD" w:rsidRPr="00C82CBD" w:rsidRDefault="00C82CBD" w:rsidP="00C82CBD">
            <w:pPr>
              <w:pStyle w:val="Obsahtabulky"/>
              <w:snapToGrid w:val="0"/>
              <w:jc w:val="center"/>
              <w:rPr>
                <w:sz w:val="20"/>
                <w:szCs w:val="20"/>
              </w:rPr>
            </w:pPr>
            <w:r w:rsidRPr="00C82CBD">
              <w:rPr>
                <w:sz w:val="20"/>
                <w:szCs w:val="20"/>
              </w:rPr>
              <w:t>5 394</w:t>
            </w:r>
          </w:p>
        </w:tc>
        <w:tc>
          <w:tcPr>
            <w:tcW w:w="708" w:type="dxa"/>
            <w:shd w:val="clear" w:color="auto" w:fill="auto"/>
            <w:vAlign w:val="center"/>
          </w:tcPr>
          <w:p w14:paraId="56431A48" w14:textId="77777777" w:rsidR="00C82CBD" w:rsidRPr="00C82CBD" w:rsidRDefault="00C82CBD" w:rsidP="00C82CBD">
            <w:pPr>
              <w:pStyle w:val="Obsahtabulky"/>
              <w:snapToGrid w:val="0"/>
              <w:jc w:val="center"/>
              <w:rPr>
                <w:sz w:val="20"/>
                <w:szCs w:val="20"/>
              </w:rPr>
            </w:pPr>
            <w:r w:rsidRPr="00C82CBD">
              <w:rPr>
                <w:sz w:val="20"/>
                <w:szCs w:val="20"/>
              </w:rPr>
              <w:t>3 532</w:t>
            </w:r>
          </w:p>
        </w:tc>
        <w:tc>
          <w:tcPr>
            <w:tcW w:w="993" w:type="dxa"/>
            <w:shd w:val="clear" w:color="auto" w:fill="auto"/>
            <w:vAlign w:val="center"/>
          </w:tcPr>
          <w:p w14:paraId="67543324" w14:textId="77777777" w:rsidR="00C82CBD" w:rsidRPr="00C82CBD" w:rsidRDefault="00C82CBD" w:rsidP="00C82CBD">
            <w:pPr>
              <w:pStyle w:val="Obsahtabulky"/>
              <w:snapToGrid w:val="0"/>
              <w:jc w:val="center"/>
              <w:rPr>
                <w:sz w:val="20"/>
                <w:szCs w:val="20"/>
              </w:rPr>
            </w:pPr>
            <w:r w:rsidRPr="00C82CBD">
              <w:rPr>
                <w:sz w:val="20"/>
                <w:szCs w:val="20"/>
              </w:rPr>
              <w:t>5 635</w:t>
            </w:r>
          </w:p>
        </w:tc>
        <w:tc>
          <w:tcPr>
            <w:tcW w:w="708" w:type="dxa"/>
          </w:tcPr>
          <w:p w14:paraId="243AD701" w14:textId="77777777" w:rsidR="00C82CBD" w:rsidRPr="00C82CBD" w:rsidRDefault="00C82CBD" w:rsidP="00C82CBD">
            <w:pPr>
              <w:pStyle w:val="Obsahtabulky"/>
              <w:snapToGrid w:val="0"/>
              <w:jc w:val="center"/>
              <w:rPr>
                <w:sz w:val="20"/>
                <w:szCs w:val="20"/>
              </w:rPr>
            </w:pPr>
            <w:r w:rsidRPr="00C82CBD">
              <w:rPr>
                <w:sz w:val="20"/>
                <w:szCs w:val="20"/>
              </w:rPr>
              <w:t>5 348</w:t>
            </w:r>
          </w:p>
        </w:tc>
        <w:tc>
          <w:tcPr>
            <w:tcW w:w="851" w:type="dxa"/>
          </w:tcPr>
          <w:p w14:paraId="0056FC90" w14:textId="77777777" w:rsidR="00C82CBD" w:rsidRPr="00C82CBD" w:rsidRDefault="00C82CBD" w:rsidP="00C82CBD">
            <w:pPr>
              <w:pStyle w:val="Obsahtabulky"/>
              <w:snapToGrid w:val="0"/>
              <w:jc w:val="center"/>
              <w:rPr>
                <w:sz w:val="20"/>
                <w:szCs w:val="20"/>
              </w:rPr>
            </w:pPr>
            <w:r w:rsidRPr="00C82CBD">
              <w:rPr>
                <w:sz w:val="20"/>
                <w:szCs w:val="20"/>
              </w:rPr>
              <w:t>5 397</w:t>
            </w:r>
          </w:p>
        </w:tc>
      </w:tr>
      <w:tr w:rsidR="00C82CBD" w:rsidRPr="00C82CBD" w14:paraId="3BF93B79" w14:textId="77777777" w:rsidTr="00C82CBD">
        <w:trPr>
          <w:trHeight w:val="19"/>
        </w:trPr>
        <w:tc>
          <w:tcPr>
            <w:tcW w:w="1970" w:type="dxa"/>
            <w:shd w:val="clear" w:color="auto" w:fill="auto"/>
            <w:vAlign w:val="center"/>
            <w:hideMark/>
          </w:tcPr>
          <w:p w14:paraId="0A9B1F6D" w14:textId="77777777" w:rsidR="00C82CBD" w:rsidRPr="00C82CBD" w:rsidRDefault="00C82CBD" w:rsidP="00C82CBD">
            <w:pPr>
              <w:pStyle w:val="Obsahtabulky"/>
              <w:snapToGrid w:val="0"/>
              <w:jc w:val="both"/>
              <w:rPr>
                <w:sz w:val="20"/>
                <w:szCs w:val="20"/>
              </w:rPr>
            </w:pPr>
            <w:r w:rsidRPr="00C82CBD">
              <w:rPr>
                <w:sz w:val="20"/>
                <w:szCs w:val="20"/>
              </w:rPr>
              <w:t>Celkové čerpání</w:t>
            </w:r>
          </w:p>
        </w:tc>
        <w:tc>
          <w:tcPr>
            <w:tcW w:w="709" w:type="dxa"/>
            <w:shd w:val="clear" w:color="auto" w:fill="auto"/>
            <w:vAlign w:val="center"/>
            <w:hideMark/>
          </w:tcPr>
          <w:p w14:paraId="7C114F11" w14:textId="77777777" w:rsidR="00C82CBD" w:rsidRPr="00C82CBD" w:rsidRDefault="00C82CBD" w:rsidP="00C82CBD">
            <w:pPr>
              <w:pStyle w:val="Obsahtabulky"/>
              <w:snapToGrid w:val="0"/>
              <w:jc w:val="center"/>
              <w:rPr>
                <w:sz w:val="20"/>
                <w:szCs w:val="20"/>
              </w:rPr>
            </w:pPr>
            <w:r w:rsidRPr="00C82CBD">
              <w:rPr>
                <w:sz w:val="20"/>
                <w:szCs w:val="20"/>
              </w:rPr>
              <w:t>61 231</w:t>
            </w:r>
          </w:p>
        </w:tc>
        <w:tc>
          <w:tcPr>
            <w:tcW w:w="850" w:type="dxa"/>
            <w:shd w:val="clear" w:color="auto" w:fill="auto"/>
            <w:vAlign w:val="center"/>
            <w:hideMark/>
          </w:tcPr>
          <w:p w14:paraId="3F134167" w14:textId="77777777" w:rsidR="00C82CBD" w:rsidRPr="00C82CBD" w:rsidRDefault="00C82CBD" w:rsidP="00C82CBD">
            <w:pPr>
              <w:pStyle w:val="Obsahtabulky"/>
              <w:snapToGrid w:val="0"/>
              <w:jc w:val="center"/>
              <w:rPr>
                <w:sz w:val="20"/>
                <w:szCs w:val="20"/>
              </w:rPr>
            </w:pPr>
            <w:r w:rsidRPr="00C82CBD">
              <w:rPr>
                <w:sz w:val="20"/>
                <w:szCs w:val="20"/>
              </w:rPr>
              <w:t>66 420</w:t>
            </w:r>
          </w:p>
        </w:tc>
        <w:tc>
          <w:tcPr>
            <w:tcW w:w="851" w:type="dxa"/>
            <w:shd w:val="clear" w:color="auto" w:fill="auto"/>
            <w:vAlign w:val="center"/>
            <w:hideMark/>
          </w:tcPr>
          <w:p w14:paraId="60C0DA91" w14:textId="77777777" w:rsidR="00C82CBD" w:rsidRPr="00C82CBD" w:rsidRDefault="00C82CBD" w:rsidP="00C82CBD">
            <w:pPr>
              <w:pStyle w:val="Obsahtabulky"/>
              <w:snapToGrid w:val="0"/>
              <w:jc w:val="center"/>
              <w:rPr>
                <w:sz w:val="20"/>
                <w:szCs w:val="20"/>
              </w:rPr>
            </w:pPr>
            <w:r w:rsidRPr="00C82CBD">
              <w:rPr>
                <w:bCs/>
                <w:sz w:val="20"/>
                <w:szCs w:val="20"/>
              </w:rPr>
              <w:t>66 208</w:t>
            </w:r>
          </w:p>
        </w:tc>
        <w:tc>
          <w:tcPr>
            <w:tcW w:w="708" w:type="dxa"/>
            <w:shd w:val="clear" w:color="auto" w:fill="auto"/>
            <w:vAlign w:val="center"/>
            <w:hideMark/>
          </w:tcPr>
          <w:p w14:paraId="618DD7D2" w14:textId="77777777" w:rsidR="00C82CBD" w:rsidRPr="00C82CBD" w:rsidRDefault="00C82CBD" w:rsidP="00C82CBD">
            <w:pPr>
              <w:pStyle w:val="Obsahtabulky"/>
              <w:snapToGrid w:val="0"/>
              <w:jc w:val="center"/>
              <w:rPr>
                <w:sz w:val="20"/>
                <w:szCs w:val="20"/>
              </w:rPr>
            </w:pPr>
            <w:r w:rsidRPr="00C82CBD">
              <w:rPr>
                <w:bCs/>
                <w:sz w:val="20"/>
                <w:szCs w:val="20"/>
              </w:rPr>
              <w:t>63 947</w:t>
            </w:r>
          </w:p>
        </w:tc>
        <w:tc>
          <w:tcPr>
            <w:tcW w:w="851" w:type="dxa"/>
            <w:shd w:val="clear" w:color="auto" w:fill="auto"/>
            <w:vAlign w:val="center"/>
            <w:hideMark/>
          </w:tcPr>
          <w:p w14:paraId="199D89C1" w14:textId="77777777" w:rsidR="00C82CBD" w:rsidRPr="00C82CBD" w:rsidRDefault="00C82CBD" w:rsidP="00C82CBD">
            <w:pPr>
              <w:pStyle w:val="Obsahtabulky"/>
              <w:snapToGrid w:val="0"/>
              <w:jc w:val="center"/>
              <w:rPr>
                <w:sz w:val="20"/>
                <w:szCs w:val="20"/>
              </w:rPr>
            </w:pPr>
            <w:r w:rsidRPr="00C82CBD">
              <w:rPr>
                <w:bCs/>
                <w:sz w:val="20"/>
                <w:szCs w:val="20"/>
              </w:rPr>
              <w:t>64 675</w:t>
            </w:r>
          </w:p>
        </w:tc>
        <w:tc>
          <w:tcPr>
            <w:tcW w:w="709" w:type="dxa"/>
            <w:shd w:val="clear" w:color="auto" w:fill="auto"/>
            <w:vAlign w:val="center"/>
          </w:tcPr>
          <w:p w14:paraId="4BBA6B42" w14:textId="77777777" w:rsidR="00C82CBD" w:rsidRPr="00C82CBD" w:rsidRDefault="00C82CBD" w:rsidP="00C82CBD">
            <w:pPr>
              <w:pStyle w:val="Obsahtabulky"/>
              <w:snapToGrid w:val="0"/>
              <w:jc w:val="center"/>
              <w:rPr>
                <w:bCs/>
                <w:sz w:val="20"/>
                <w:szCs w:val="20"/>
              </w:rPr>
            </w:pPr>
            <w:r w:rsidRPr="00C82CBD">
              <w:rPr>
                <w:bCs/>
                <w:sz w:val="20"/>
                <w:szCs w:val="20"/>
              </w:rPr>
              <w:t>62 934</w:t>
            </w:r>
          </w:p>
        </w:tc>
        <w:tc>
          <w:tcPr>
            <w:tcW w:w="708" w:type="dxa"/>
            <w:shd w:val="clear" w:color="auto" w:fill="auto"/>
            <w:vAlign w:val="center"/>
          </w:tcPr>
          <w:p w14:paraId="49B19B04" w14:textId="77777777" w:rsidR="00C82CBD" w:rsidRPr="00C82CBD" w:rsidRDefault="00C82CBD" w:rsidP="00C82CBD">
            <w:pPr>
              <w:pStyle w:val="Obsahtabulky"/>
              <w:snapToGrid w:val="0"/>
              <w:jc w:val="center"/>
              <w:rPr>
                <w:bCs/>
                <w:sz w:val="20"/>
                <w:szCs w:val="20"/>
              </w:rPr>
            </w:pPr>
            <w:r w:rsidRPr="00C82CBD">
              <w:rPr>
                <w:bCs/>
                <w:sz w:val="20"/>
                <w:szCs w:val="20"/>
              </w:rPr>
              <w:t>67 577</w:t>
            </w:r>
          </w:p>
        </w:tc>
        <w:tc>
          <w:tcPr>
            <w:tcW w:w="993" w:type="dxa"/>
            <w:shd w:val="clear" w:color="auto" w:fill="auto"/>
            <w:vAlign w:val="center"/>
          </w:tcPr>
          <w:p w14:paraId="3D94D2B4" w14:textId="77777777" w:rsidR="00C82CBD" w:rsidRPr="00C82CBD" w:rsidRDefault="00C82CBD" w:rsidP="00C82CBD">
            <w:pPr>
              <w:pStyle w:val="Obsahtabulky"/>
              <w:snapToGrid w:val="0"/>
              <w:jc w:val="center"/>
              <w:rPr>
                <w:bCs/>
                <w:sz w:val="20"/>
                <w:szCs w:val="20"/>
              </w:rPr>
            </w:pPr>
            <w:r w:rsidRPr="00C82CBD">
              <w:rPr>
                <w:bCs/>
                <w:sz w:val="20"/>
                <w:szCs w:val="20"/>
              </w:rPr>
              <w:t>63 863</w:t>
            </w:r>
          </w:p>
        </w:tc>
        <w:tc>
          <w:tcPr>
            <w:tcW w:w="708" w:type="dxa"/>
          </w:tcPr>
          <w:p w14:paraId="11640C99" w14:textId="77777777" w:rsidR="00C82CBD" w:rsidRPr="00C82CBD" w:rsidRDefault="00C82CBD" w:rsidP="00C82CBD">
            <w:pPr>
              <w:pStyle w:val="Obsahtabulky"/>
              <w:snapToGrid w:val="0"/>
              <w:jc w:val="center"/>
              <w:rPr>
                <w:bCs/>
                <w:sz w:val="20"/>
                <w:szCs w:val="20"/>
              </w:rPr>
            </w:pPr>
            <w:r w:rsidRPr="00C82CBD">
              <w:rPr>
                <w:bCs/>
                <w:sz w:val="20"/>
                <w:szCs w:val="20"/>
              </w:rPr>
              <w:t>64 335</w:t>
            </w:r>
          </w:p>
        </w:tc>
        <w:tc>
          <w:tcPr>
            <w:tcW w:w="851" w:type="dxa"/>
          </w:tcPr>
          <w:p w14:paraId="46440ED1" w14:textId="77777777" w:rsidR="00C82CBD" w:rsidRPr="00C82CBD" w:rsidRDefault="00C82CBD" w:rsidP="00C82CBD">
            <w:pPr>
              <w:pStyle w:val="Obsahtabulky"/>
              <w:snapToGrid w:val="0"/>
              <w:jc w:val="center"/>
              <w:rPr>
                <w:bCs/>
                <w:sz w:val="20"/>
                <w:szCs w:val="20"/>
              </w:rPr>
            </w:pPr>
            <w:r w:rsidRPr="00C82CBD">
              <w:rPr>
                <w:bCs/>
                <w:sz w:val="20"/>
                <w:szCs w:val="20"/>
              </w:rPr>
              <w:t>49 667</w:t>
            </w:r>
          </w:p>
        </w:tc>
      </w:tr>
      <w:tr w:rsidR="00C82CBD" w:rsidRPr="00C82CBD" w14:paraId="3D86B93F" w14:textId="77777777" w:rsidTr="00C82CBD">
        <w:trPr>
          <w:trHeight w:val="19"/>
        </w:trPr>
        <w:tc>
          <w:tcPr>
            <w:tcW w:w="1970" w:type="dxa"/>
            <w:shd w:val="clear" w:color="auto" w:fill="auto"/>
            <w:vAlign w:val="center"/>
            <w:hideMark/>
          </w:tcPr>
          <w:p w14:paraId="636B58BD" w14:textId="77777777" w:rsidR="00C82CBD" w:rsidRPr="00C82CBD" w:rsidRDefault="00C82CBD" w:rsidP="00C82CBD">
            <w:pPr>
              <w:pStyle w:val="Obsahtabulky"/>
              <w:snapToGrid w:val="0"/>
              <w:jc w:val="both"/>
              <w:rPr>
                <w:sz w:val="20"/>
                <w:szCs w:val="20"/>
              </w:rPr>
            </w:pPr>
            <w:r w:rsidRPr="00C82CBD">
              <w:rPr>
                <w:sz w:val="20"/>
                <w:szCs w:val="20"/>
              </w:rPr>
              <w:t>Možnost čerpání</w:t>
            </w:r>
          </w:p>
        </w:tc>
        <w:tc>
          <w:tcPr>
            <w:tcW w:w="709" w:type="dxa"/>
            <w:shd w:val="clear" w:color="auto" w:fill="auto"/>
            <w:vAlign w:val="center"/>
            <w:hideMark/>
          </w:tcPr>
          <w:p w14:paraId="283824F3" w14:textId="77777777" w:rsidR="00C82CBD" w:rsidRPr="00C82CBD" w:rsidRDefault="00C82CBD" w:rsidP="00C82CBD">
            <w:pPr>
              <w:pStyle w:val="Obsahtabulky"/>
              <w:snapToGrid w:val="0"/>
              <w:jc w:val="center"/>
              <w:rPr>
                <w:sz w:val="20"/>
                <w:szCs w:val="20"/>
              </w:rPr>
            </w:pPr>
            <w:r w:rsidRPr="00C82CBD">
              <w:rPr>
                <w:sz w:val="20"/>
                <w:szCs w:val="20"/>
              </w:rPr>
              <w:t>62 653</w:t>
            </w:r>
          </w:p>
        </w:tc>
        <w:tc>
          <w:tcPr>
            <w:tcW w:w="850" w:type="dxa"/>
            <w:shd w:val="clear" w:color="auto" w:fill="auto"/>
            <w:vAlign w:val="center"/>
            <w:hideMark/>
          </w:tcPr>
          <w:p w14:paraId="0CEE5366" w14:textId="77777777" w:rsidR="00C82CBD" w:rsidRPr="00C82CBD" w:rsidRDefault="00C82CBD" w:rsidP="00C82CBD">
            <w:pPr>
              <w:pStyle w:val="Obsahtabulky"/>
              <w:snapToGrid w:val="0"/>
              <w:jc w:val="center"/>
              <w:rPr>
                <w:sz w:val="20"/>
                <w:szCs w:val="20"/>
              </w:rPr>
            </w:pPr>
            <w:r w:rsidRPr="00C82CBD">
              <w:rPr>
                <w:sz w:val="20"/>
                <w:szCs w:val="20"/>
              </w:rPr>
              <w:t>66 421</w:t>
            </w:r>
          </w:p>
        </w:tc>
        <w:tc>
          <w:tcPr>
            <w:tcW w:w="851" w:type="dxa"/>
            <w:shd w:val="clear" w:color="auto" w:fill="auto"/>
            <w:vAlign w:val="center"/>
            <w:hideMark/>
          </w:tcPr>
          <w:p w14:paraId="2E0230B8" w14:textId="77777777" w:rsidR="00C82CBD" w:rsidRPr="00C82CBD" w:rsidRDefault="00C82CBD" w:rsidP="00C82CBD">
            <w:pPr>
              <w:pStyle w:val="Obsahtabulky"/>
              <w:snapToGrid w:val="0"/>
              <w:jc w:val="center"/>
              <w:rPr>
                <w:sz w:val="20"/>
                <w:szCs w:val="20"/>
              </w:rPr>
            </w:pPr>
            <w:r w:rsidRPr="00C82CBD">
              <w:rPr>
                <w:sz w:val="20"/>
                <w:szCs w:val="20"/>
              </w:rPr>
              <w:t>66 212</w:t>
            </w:r>
          </w:p>
        </w:tc>
        <w:tc>
          <w:tcPr>
            <w:tcW w:w="708" w:type="dxa"/>
            <w:shd w:val="clear" w:color="auto" w:fill="auto"/>
            <w:vAlign w:val="center"/>
            <w:hideMark/>
          </w:tcPr>
          <w:p w14:paraId="2513D352" w14:textId="77777777" w:rsidR="00C82CBD" w:rsidRPr="00C82CBD" w:rsidRDefault="00C82CBD" w:rsidP="00C82CBD">
            <w:pPr>
              <w:pStyle w:val="Obsahtabulky"/>
              <w:snapToGrid w:val="0"/>
              <w:jc w:val="center"/>
              <w:rPr>
                <w:sz w:val="20"/>
                <w:szCs w:val="20"/>
              </w:rPr>
            </w:pPr>
            <w:r w:rsidRPr="00C82CBD">
              <w:rPr>
                <w:sz w:val="20"/>
                <w:szCs w:val="20"/>
              </w:rPr>
              <w:t>63 947</w:t>
            </w:r>
          </w:p>
        </w:tc>
        <w:tc>
          <w:tcPr>
            <w:tcW w:w="851" w:type="dxa"/>
            <w:shd w:val="clear" w:color="auto" w:fill="auto"/>
            <w:vAlign w:val="center"/>
            <w:hideMark/>
          </w:tcPr>
          <w:p w14:paraId="049EA76A" w14:textId="77777777" w:rsidR="00C82CBD" w:rsidRPr="00C82CBD" w:rsidRDefault="00C82CBD" w:rsidP="00C82CBD">
            <w:pPr>
              <w:pStyle w:val="Obsahtabulky"/>
              <w:snapToGrid w:val="0"/>
              <w:jc w:val="center"/>
              <w:rPr>
                <w:sz w:val="20"/>
                <w:szCs w:val="20"/>
              </w:rPr>
            </w:pPr>
            <w:r w:rsidRPr="00C82CBD">
              <w:rPr>
                <w:sz w:val="20"/>
                <w:szCs w:val="20"/>
              </w:rPr>
              <w:t>64 677</w:t>
            </w:r>
          </w:p>
        </w:tc>
        <w:tc>
          <w:tcPr>
            <w:tcW w:w="709" w:type="dxa"/>
            <w:shd w:val="clear" w:color="auto" w:fill="auto"/>
            <w:vAlign w:val="center"/>
          </w:tcPr>
          <w:p w14:paraId="558950F1" w14:textId="77777777" w:rsidR="00C82CBD" w:rsidRPr="00C82CBD" w:rsidRDefault="00C82CBD" w:rsidP="00C82CBD">
            <w:pPr>
              <w:pStyle w:val="Obsahtabulky"/>
              <w:snapToGrid w:val="0"/>
              <w:jc w:val="center"/>
              <w:rPr>
                <w:sz w:val="20"/>
                <w:szCs w:val="20"/>
              </w:rPr>
            </w:pPr>
            <w:r w:rsidRPr="00C82CBD">
              <w:rPr>
                <w:sz w:val="20"/>
                <w:szCs w:val="20"/>
              </w:rPr>
              <w:t>62 939</w:t>
            </w:r>
          </w:p>
        </w:tc>
        <w:tc>
          <w:tcPr>
            <w:tcW w:w="708" w:type="dxa"/>
            <w:shd w:val="clear" w:color="auto" w:fill="auto"/>
            <w:vAlign w:val="center"/>
          </w:tcPr>
          <w:p w14:paraId="0FF319AD" w14:textId="77777777" w:rsidR="00C82CBD" w:rsidRPr="00C82CBD" w:rsidRDefault="00C82CBD" w:rsidP="00C82CBD">
            <w:pPr>
              <w:pStyle w:val="Obsahtabulky"/>
              <w:snapToGrid w:val="0"/>
              <w:jc w:val="center"/>
              <w:rPr>
                <w:sz w:val="20"/>
                <w:szCs w:val="20"/>
              </w:rPr>
            </w:pPr>
            <w:r w:rsidRPr="00C82CBD">
              <w:rPr>
                <w:sz w:val="20"/>
                <w:szCs w:val="20"/>
              </w:rPr>
              <w:t>67 580</w:t>
            </w:r>
          </w:p>
        </w:tc>
        <w:tc>
          <w:tcPr>
            <w:tcW w:w="993" w:type="dxa"/>
            <w:shd w:val="clear" w:color="auto" w:fill="auto"/>
            <w:vAlign w:val="center"/>
          </w:tcPr>
          <w:p w14:paraId="7C2CB971" w14:textId="77777777" w:rsidR="00C82CBD" w:rsidRPr="00C82CBD" w:rsidRDefault="00C82CBD" w:rsidP="00C82CBD">
            <w:pPr>
              <w:pStyle w:val="Obsahtabulky"/>
              <w:snapToGrid w:val="0"/>
              <w:jc w:val="center"/>
              <w:rPr>
                <w:sz w:val="20"/>
                <w:szCs w:val="20"/>
              </w:rPr>
            </w:pPr>
            <w:r w:rsidRPr="00C82CBD">
              <w:rPr>
                <w:sz w:val="20"/>
                <w:szCs w:val="20"/>
              </w:rPr>
              <w:t>63 863</w:t>
            </w:r>
          </w:p>
        </w:tc>
        <w:tc>
          <w:tcPr>
            <w:tcW w:w="708" w:type="dxa"/>
          </w:tcPr>
          <w:p w14:paraId="5AD31BB6" w14:textId="77777777" w:rsidR="00C82CBD" w:rsidRPr="00C82CBD" w:rsidRDefault="00C82CBD" w:rsidP="00C82CBD">
            <w:pPr>
              <w:pStyle w:val="Obsahtabulky"/>
              <w:snapToGrid w:val="0"/>
              <w:jc w:val="center"/>
              <w:rPr>
                <w:sz w:val="20"/>
                <w:szCs w:val="20"/>
              </w:rPr>
            </w:pPr>
            <w:r w:rsidRPr="00C82CBD">
              <w:rPr>
                <w:sz w:val="20"/>
                <w:szCs w:val="20"/>
              </w:rPr>
              <w:t>64 336</w:t>
            </w:r>
          </w:p>
        </w:tc>
        <w:tc>
          <w:tcPr>
            <w:tcW w:w="851" w:type="dxa"/>
          </w:tcPr>
          <w:p w14:paraId="6FDAF21A" w14:textId="77777777" w:rsidR="00C82CBD" w:rsidRPr="00C82CBD" w:rsidRDefault="00C82CBD" w:rsidP="00C82CBD">
            <w:pPr>
              <w:pStyle w:val="Obsahtabulky"/>
              <w:snapToGrid w:val="0"/>
              <w:jc w:val="center"/>
              <w:rPr>
                <w:sz w:val="20"/>
                <w:szCs w:val="20"/>
              </w:rPr>
            </w:pPr>
            <w:r w:rsidRPr="00C82CBD">
              <w:rPr>
                <w:sz w:val="20"/>
                <w:szCs w:val="20"/>
              </w:rPr>
              <w:t>64 342</w:t>
            </w:r>
          </w:p>
        </w:tc>
      </w:tr>
      <w:tr w:rsidR="00C82CBD" w:rsidRPr="00C82CBD" w14:paraId="5F544900" w14:textId="77777777" w:rsidTr="00C82CBD">
        <w:trPr>
          <w:trHeight w:val="39"/>
        </w:trPr>
        <w:tc>
          <w:tcPr>
            <w:tcW w:w="1970" w:type="dxa"/>
            <w:shd w:val="clear" w:color="auto" w:fill="auto"/>
            <w:vAlign w:val="center"/>
            <w:hideMark/>
          </w:tcPr>
          <w:p w14:paraId="747D6BA4" w14:textId="77777777" w:rsidR="00C82CBD" w:rsidRPr="00C82CBD" w:rsidRDefault="00C82CBD" w:rsidP="00C82CBD">
            <w:pPr>
              <w:pStyle w:val="Obsahtabulky"/>
              <w:snapToGrid w:val="0"/>
              <w:jc w:val="both"/>
              <w:rPr>
                <w:sz w:val="20"/>
                <w:szCs w:val="20"/>
              </w:rPr>
            </w:pPr>
            <w:r w:rsidRPr="00C82CBD">
              <w:rPr>
                <w:sz w:val="20"/>
                <w:szCs w:val="20"/>
              </w:rPr>
              <w:t>Čerpání v %</w:t>
            </w:r>
          </w:p>
        </w:tc>
        <w:tc>
          <w:tcPr>
            <w:tcW w:w="709" w:type="dxa"/>
            <w:shd w:val="clear" w:color="auto" w:fill="auto"/>
            <w:vAlign w:val="center"/>
            <w:hideMark/>
          </w:tcPr>
          <w:p w14:paraId="0A9776E8" w14:textId="77777777" w:rsidR="00C82CBD" w:rsidRPr="00C82CBD" w:rsidRDefault="00C82CBD" w:rsidP="00C82CBD">
            <w:pPr>
              <w:pStyle w:val="Obsahtabulky"/>
              <w:snapToGrid w:val="0"/>
              <w:jc w:val="center"/>
              <w:rPr>
                <w:sz w:val="20"/>
                <w:szCs w:val="20"/>
              </w:rPr>
            </w:pPr>
            <w:r w:rsidRPr="00C82CBD">
              <w:rPr>
                <w:sz w:val="20"/>
                <w:szCs w:val="20"/>
              </w:rPr>
              <w:t>97,73</w:t>
            </w:r>
          </w:p>
        </w:tc>
        <w:tc>
          <w:tcPr>
            <w:tcW w:w="850" w:type="dxa"/>
            <w:shd w:val="clear" w:color="auto" w:fill="auto"/>
            <w:vAlign w:val="center"/>
            <w:hideMark/>
          </w:tcPr>
          <w:p w14:paraId="6FB94D5D" w14:textId="77777777" w:rsidR="00C82CBD" w:rsidRPr="00C82CBD" w:rsidRDefault="00C82CBD" w:rsidP="00C82CBD">
            <w:pPr>
              <w:pStyle w:val="Obsahtabulky"/>
              <w:snapToGrid w:val="0"/>
              <w:jc w:val="center"/>
              <w:rPr>
                <w:sz w:val="20"/>
                <w:szCs w:val="20"/>
              </w:rPr>
            </w:pPr>
            <w:r w:rsidRPr="00C82CBD">
              <w:rPr>
                <w:sz w:val="20"/>
                <w:szCs w:val="20"/>
              </w:rPr>
              <w:t>100,00</w:t>
            </w:r>
          </w:p>
        </w:tc>
        <w:tc>
          <w:tcPr>
            <w:tcW w:w="851" w:type="dxa"/>
            <w:shd w:val="clear" w:color="auto" w:fill="auto"/>
            <w:vAlign w:val="center"/>
            <w:hideMark/>
          </w:tcPr>
          <w:p w14:paraId="32D9D3A2" w14:textId="77777777" w:rsidR="00C82CBD" w:rsidRPr="00C82CBD" w:rsidRDefault="00C82CBD" w:rsidP="00C82CBD">
            <w:pPr>
              <w:pStyle w:val="Obsahtabulky"/>
              <w:snapToGrid w:val="0"/>
              <w:jc w:val="center"/>
              <w:rPr>
                <w:sz w:val="20"/>
                <w:szCs w:val="20"/>
              </w:rPr>
            </w:pPr>
            <w:r w:rsidRPr="00C82CBD">
              <w:rPr>
                <w:bCs/>
                <w:iCs/>
                <w:sz w:val="20"/>
                <w:szCs w:val="20"/>
              </w:rPr>
              <w:t>99,99</w:t>
            </w:r>
          </w:p>
        </w:tc>
        <w:tc>
          <w:tcPr>
            <w:tcW w:w="708" w:type="dxa"/>
            <w:shd w:val="clear" w:color="auto" w:fill="auto"/>
            <w:vAlign w:val="center"/>
            <w:hideMark/>
          </w:tcPr>
          <w:p w14:paraId="6998C896" w14:textId="77777777" w:rsidR="00C82CBD" w:rsidRPr="00C82CBD" w:rsidRDefault="00C82CBD" w:rsidP="00C82CBD">
            <w:pPr>
              <w:pStyle w:val="Obsahtabulky"/>
              <w:snapToGrid w:val="0"/>
              <w:jc w:val="center"/>
              <w:rPr>
                <w:sz w:val="20"/>
                <w:szCs w:val="20"/>
              </w:rPr>
            </w:pPr>
            <w:r w:rsidRPr="00C82CBD">
              <w:rPr>
                <w:bCs/>
                <w:iCs/>
                <w:sz w:val="20"/>
                <w:szCs w:val="20"/>
              </w:rPr>
              <w:t>100,00</w:t>
            </w:r>
          </w:p>
        </w:tc>
        <w:tc>
          <w:tcPr>
            <w:tcW w:w="851" w:type="dxa"/>
            <w:shd w:val="clear" w:color="auto" w:fill="auto"/>
            <w:vAlign w:val="center"/>
            <w:hideMark/>
          </w:tcPr>
          <w:p w14:paraId="2554216C" w14:textId="77777777" w:rsidR="00C82CBD" w:rsidRPr="00C82CBD" w:rsidRDefault="00C82CBD" w:rsidP="00C82CBD">
            <w:pPr>
              <w:pStyle w:val="Obsahtabulky"/>
              <w:snapToGrid w:val="0"/>
              <w:jc w:val="center"/>
              <w:rPr>
                <w:sz w:val="20"/>
                <w:szCs w:val="20"/>
              </w:rPr>
            </w:pPr>
            <w:r w:rsidRPr="00C82CBD">
              <w:rPr>
                <w:bCs/>
                <w:iCs/>
                <w:sz w:val="20"/>
                <w:szCs w:val="20"/>
              </w:rPr>
              <w:t>100,00</w:t>
            </w:r>
          </w:p>
        </w:tc>
        <w:tc>
          <w:tcPr>
            <w:tcW w:w="709" w:type="dxa"/>
            <w:shd w:val="clear" w:color="auto" w:fill="auto"/>
            <w:vAlign w:val="center"/>
          </w:tcPr>
          <w:p w14:paraId="2792FA89" w14:textId="77777777" w:rsidR="00C82CBD" w:rsidRPr="00C82CBD" w:rsidRDefault="00C82CBD" w:rsidP="00C82CBD">
            <w:pPr>
              <w:pStyle w:val="Obsahtabulky"/>
              <w:snapToGrid w:val="0"/>
              <w:jc w:val="center"/>
              <w:rPr>
                <w:bCs/>
                <w:iCs/>
                <w:sz w:val="20"/>
                <w:szCs w:val="20"/>
              </w:rPr>
            </w:pPr>
            <w:r w:rsidRPr="00C82CBD">
              <w:rPr>
                <w:bCs/>
                <w:iCs/>
                <w:sz w:val="20"/>
                <w:szCs w:val="20"/>
              </w:rPr>
              <w:t>100,00</w:t>
            </w:r>
          </w:p>
        </w:tc>
        <w:tc>
          <w:tcPr>
            <w:tcW w:w="708" w:type="dxa"/>
            <w:shd w:val="clear" w:color="auto" w:fill="auto"/>
            <w:vAlign w:val="center"/>
          </w:tcPr>
          <w:p w14:paraId="4CA22C7D" w14:textId="77777777" w:rsidR="00C82CBD" w:rsidRPr="00C82CBD" w:rsidRDefault="00C82CBD" w:rsidP="00C82CBD">
            <w:pPr>
              <w:pStyle w:val="Obsahtabulky"/>
              <w:snapToGrid w:val="0"/>
              <w:jc w:val="center"/>
              <w:rPr>
                <w:bCs/>
                <w:iCs/>
                <w:sz w:val="20"/>
                <w:szCs w:val="20"/>
              </w:rPr>
            </w:pPr>
            <w:r w:rsidRPr="00C82CBD">
              <w:rPr>
                <w:bCs/>
                <w:iCs/>
                <w:sz w:val="20"/>
                <w:szCs w:val="20"/>
              </w:rPr>
              <w:t>100,00</w:t>
            </w:r>
          </w:p>
        </w:tc>
        <w:tc>
          <w:tcPr>
            <w:tcW w:w="993" w:type="dxa"/>
            <w:shd w:val="clear" w:color="auto" w:fill="auto"/>
            <w:vAlign w:val="center"/>
          </w:tcPr>
          <w:p w14:paraId="0491A5A2" w14:textId="77777777" w:rsidR="00C82CBD" w:rsidRPr="00C82CBD" w:rsidRDefault="00C82CBD" w:rsidP="00C82CBD">
            <w:pPr>
              <w:pStyle w:val="Obsahtabulky"/>
              <w:snapToGrid w:val="0"/>
              <w:jc w:val="center"/>
              <w:rPr>
                <w:bCs/>
                <w:iCs/>
                <w:sz w:val="20"/>
                <w:szCs w:val="20"/>
              </w:rPr>
            </w:pPr>
            <w:r w:rsidRPr="00C82CBD">
              <w:rPr>
                <w:bCs/>
                <w:iCs/>
                <w:sz w:val="20"/>
                <w:szCs w:val="20"/>
              </w:rPr>
              <w:t>100,00</w:t>
            </w:r>
          </w:p>
        </w:tc>
        <w:tc>
          <w:tcPr>
            <w:tcW w:w="708" w:type="dxa"/>
          </w:tcPr>
          <w:p w14:paraId="628BF2BE" w14:textId="77777777" w:rsidR="00C82CBD" w:rsidRPr="00C82CBD" w:rsidRDefault="00C82CBD" w:rsidP="00C82CBD">
            <w:pPr>
              <w:pStyle w:val="Obsahtabulky"/>
              <w:snapToGrid w:val="0"/>
              <w:jc w:val="center"/>
              <w:rPr>
                <w:bCs/>
                <w:iCs/>
                <w:sz w:val="20"/>
                <w:szCs w:val="20"/>
              </w:rPr>
            </w:pPr>
            <w:r w:rsidRPr="00C82CBD">
              <w:rPr>
                <w:bCs/>
                <w:iCs/>
                <w:sz w:val="20"/>
                <w:szCs w:val="20"/>
              </w:rPr>
              <w:t>100,00</w:t>
            </w:r>
          </w:p>
        </w:tc>
        <w:tc>
          <w:tcPr>
            <w:tcW w:w="851" w:type="dxa"/>
          </w:tcPr>
          <w:p w14:paraId="2DEC5A63" w14:textId="77777777" w:rsidR="00C82CBD" w:rsidRPr="00C82CBD" w:rsidRDefault="00C82CBD" w:rsidP="00C82CBD">
            <w:pPr>
              <w:pStyle w:val="Obsahtabulky"/>
              <w:snapToGrid w:val="0"/>
              <w:jc w:val="center"/>
              <w:rPr>
                <w:bCs/>
                <w:iCs/>
                <w:sz w:val="20"/>
                <w:szCs w:val="20"/>
              </w:rPr>
            </w:pPr>
            <w:r w:rsidRPr="00C82CBD">
              <w:rPr>
                <w:bCs/>
                <w:iCs/>
                <w:sz w:val="20"/>
                <w:szCs w:val="20"/>
              </w:rPr>
              <w:t>77,19</w:t>
            </w:r>
          </w:p>
        </w:tc>
      </w:tr>
    </w:tbl>
    <w:p w14:paraId="4A9A7A02" w14:textId="77777777" w:rsidR="00C82CBD" w:rsidRPr="00D95127" w:rsidRDefault="00A16DDB" w:rsidP="00C82CBD">
      <w:pPr>
        <w:pStyle w:val="UZEITaB"/>
        <w:ind w:left="1276" w:hanging="1276"/>
        <w:rPr>
          <w:bCs/>
        </w:rPr>
      </w:pPr>
      <w:bookmarkStart w:id="1269" w:name="_Toc81738562"/>
      <w:r w:rsidRPr="00D95127">
        <w:t xml:space="preserve">Přehled o čerpání dotací dle nařízení Rady (ES) č. 797/2004 a dle nařízení Rady (ES) </w:t>
      </w:r>
      <w:r w:rsidR="00C82CBD" w:rsidRPr="00D95127">
        <w:t>č. 1234/2007 a prováděcí nařízení Komise (EU) č. 1368/2015 v letech 2011 - 2020 (tis. Kč)</w:t>
      </w:r>
      <w:bookmarkEnd w:id="1269"/>
    </w:p>
    <w:p w14:paraId="147B4151" w14:textId="2347696F" w:rsidR="00A16DDB" w:rsidRPr="00C82CBD" w:rsidRDefault="00A16DDB" w:rsidP="00C82CBD">
      <w:pPr>
        <w:pStyle w:val="UZEIZdroj"/>
      </w:pPr>
      <w:r w:rsidRPr="00C82CBD">
        <w:t>Zdroj SZIF</w:t>
      </w:r>
    </w:p>
    <w:p w14:paraId="5785843C" w14:textId="77777777" w:rsidR="00A16DDB" w:rsidRPr="00D95127" w:rsidRDefault="00A16DDB" w:rsidP="00A16DDB">
      <w:pPr>
        <w:rPr>
          <w:rFonts w:cs="Times New Roman"/>
          <w:i/>
          <w:szCs w:val="24"/>
          <w:lang w:val="cs-CZ"/>
        </w:rPr>
      </w:pPr>
    </w:p>
    <w:p w14:paraId="382EDA66" w14:textId="77777777" w:rsidR="00A16DDB" w:rsidRPr="00D95127" w:rsidRDefault="00A16DDB" w:rsidP="00C82CBD">
      <w:pPr>
        <w:pStyle w:val="Nadpis1"/>
      </w:pPr>
      <w:bookmarkStart w:id="1270" w:name="_Toc15304139"/>
      <w:bookmarkStart w:id="1271" w:name="_Toc23509967"/>
      <w:bookmarkStart w:id="1272" w:name="_Toc76137489"/>
      <w:bookmarkStart w:id="1273" w:name="_Toc76637688"/>
      <w:bookmarkStart w:id="1274" w:name="_Toc80953377"/>
      <w:bookmarkStart w:id="1275" w:name="_Toc81739329"/>
      <w:r w:rsidRPr="00D95127">
        <w:t>Jak by se situace vyvíjela BEZ ZAVEDENÍ PŘÍSLUŠNÝCH INTERVENCÍ?</w:t>
      </w:r>
      <w:bookmarkEnd w:id="1270"/>
      <w:bookmarkEnd w:id="1271"/>
      <w:bookmarkEnd w:id="1272"/>
      <w:bookmarkEnd w:id="1273"/>
      <w:bookmarkEnd w:id="1274"/>
      <w:bookmarkEnd w:id="1275"/>
    </w:p>
    <w:p w14:paraId="787D4468" w14:textId="77777777" w:rsidR="00A16DDB" w:rsidRPr="00D95127" w:rsidRDefault="00A16DDB" w:rsidP="00DE7D57">
      <w:pPr>
        <w:pStyle w:val="UZEINormaln"/>
        <w:numPr>
          <w:ilvl w:val="0"/>
          <w:numId w:val="34"/>
        </w:numPr>
      </w:pPr>
      <w:r w:rsidRPr="00D95127">
        <w:t>Výrazné snížení odborných znalostí v oblasti včelařství, které by mělo za následek snížení odborné úrovně chovatelů včel, což by znamenalo zhoršení kvality chovu včel. Současně by došlo ke snížení podpory zdravého životního stylu, ke kterému včelařství velmi významně přispívá.</w:t>
      </w:r>
    </w:p>
    <w:p w14:paraId="78B64350" w14:textId="77777777" w:rsidR="00A16DDB" w:rsidRPr="00D95127" w:rsidRDefault="00A16DDB" w:rsidP="00DE7D57">
      <w:pPr>
        <w:pStyle w:val="UZEINormaln"/>
        <w:numPr>
          <w:ilvl w:val="0"/>
          <w:numId w:val="34"/>
        </w:numPr>
        <w:rPr>
          <w:rFonts w:cs="Times New Roman"/>
        </w:rPr>
      </w:pPr>
      <w:r w:rsidRPr="00D95127">
        <w:rPr>
          <w:rFonts w:cs="Times New Roman"/>
        </w:rPr>
        <w:t>Úpadkem odborných znalostí o chovu včel by došlo k snížení úrovně péče o včelstva, což by vedlo k výraznému rozšiřování nemocí včel a ohrožení včelařských chovů. Pro Ministerstvo zemědělství by tato skutečnost znamenala nárůst finančních prostředků v případě rozšíření bakterióz. V současné době je vynakládáno ze strany Ministerstva zemědělství více jak 20 mil. Kč na bakteriózy, jako náhrady pro chovatele včel.</w:t>
      </w:r>
    </w:p>
    <w:p w14:paraId="034145E2" w14:textId="77777777" w:rsidR="00A16DDB" w:rsidRPr="00D95127" w:rsidRDefault="00A16DDB" w:rsidP="00DE7D57">
      <w:pPr>
        <w:pStyle w:val="UZEINormaln"/>
        <w:numPr>
          <w:ilvl w:val="0"/>
          <w:numId w:val="34"/>
        </w:numPr>
        <w:rPr>
          <w:rFonts w:cs="Times New Roman"/>
        </w:rPr>
      </w:pPr>
      <w:r w:rsidRPr="00D95127">
        <w:rPr>
          <w:rFonts w:cs="Times New Roman"/>
        </w:rPr>
        <w:t xml:space="preserve">Význam medu a včelích produktů pro zdravý styl života by byl propagován omezeně. Ze strany laické veřejnosti by mohlo dojít ke snížení zájmu o tyto produkty, a tím ke snížení spotřeby medu na obyvatele. </w:t>
      </w:r>
    </w:p>
    <w:p w14:paraId="7A229F47" w14:textId="77777777" w:rsidR="00A16DDB" w:rsidRPr="00D95127" w:rsidRDefault="00A16DDB" w:rsidP="00DE7D57">
      <w:pPr>
        <w:pStyle w:val="UZEINormaln"/>
        <w:numPr>
          <w:ilvl w:val="0"/>
          <w:numId w:val="34"/>
        </w:numPr>
        <w:rPr>
          <w:rFonts w:cs="Times New Roman"/>
        </w:rPr>
      </w:pPr>
      <w:r w:rsidRPr="00D95127">
        <w:rPr>
          <w:rFonts w:cs="Times New Roman"/>
        </w:rPr>
        <w:t xml:space="preserve">V oblasti vzdělávání by došlo k postupnému snižování vědomostní úrovně chovatelů včel. Oblast vzdělávání je specifická i tím, že se pracuje se včelařskou mládeží, což je nejen priorita včelařských spolků, ale i včelařů samotných. V ČR působí cca 220 včelařských kroužků. Děti z těchto kroužků dosahují významných úspěchů v rámci ČR, ale mezinárodních soutěží jako je např. účast na mezinárodní soutěži IMYB. Investice do dětí a mládeže jsou zásadní, a to jak pro osobní rozvoj dětí, tak i pro společnost. Seznamování se se včelařským prostředím umožňuje dětem, mládeži, se zorientovat v tomto oboru a výchova nových kvalitních včelařů od dětského věku zaručuje stabilitu oboru, zvláště při případné volbě svého povolání. </w:t>
      </w:r>
    </w:p>
    <w:p w14:paraId="1D455F22" w14:textId="77777777" w:rsidR="00A16DDB" w:rsidRPr="00D95127" w:rsidRDefault="00A16DDB" w:rsidP="00DE7D57">
      <w:pPr>
        <w:pStyle w:val="UZEINormaln"/>
        <w:numPr>
          <w:ilvl w:val="0"/>
          <w:numId w:val="34"/>
        </w:numPr>
        <w:rPr>
          <w:rFonts w:cs="Times New Roman"/>
        </w:rPr>
      </w:pPr>
      <w:r w:rsidRPr="00D95127">
        <w:rPr>
          <w:rFonts w:cs="Times New Roman"/>
        </w:rPr>
        <w:t xml:space="preserve">V oblasti technického zázemí by nebylo možné obnovovat stará zařízení, finanční dostupnost pro včelaře by byla velmi omezená. Výrazným způsobem by došlo ke snížení počtu chovaných včelstev. </w:t>
      </w:r>
    </w:p>
    <w:p w14:paraId="5EB9823C" w14:textId="77777777" w:rsidR="00C82CBD" w:rsidRDefault="00C82CBD">
      <w:pPr>
        <w:spacing w:after="160" w:line="259" w:lineRule="auto"/>
        <w:jc w:val="left"/>
        <w:rPr>
          <w:rFonts w:eastAsiaTheme="majorEastAsia" w:cs="Times New Roman"/>
          <w:b/>
          <w:bCs/>
          <w:sz w:val="28"/>
          <w:szCs w:val="32"/>
          <w:lang w:val="cs-CZ"/>
        </w:rPr>
      </w:pPr>
      <w:bookmarkStart w:id="1276" w:name="_Toc15304140"/>
      <w:bookmarkStart w:id="1277" w:name="_Toc23509968"/>
      <w:bookmarkStart w:id="1278" w:name="_Toc76137490"/>
      <w:bookmarkStart w:id="1279" w:name="_Toc76637689"/>
      <w:bookmarkStart w:id="1280" w:name="_Toc80953378"/>
      <w:r>
        <w:br w:type="page"/>
      </w:r>
    </w:p>
    <w:p w14:paraId="22FD91BE" w14:textId="77777777" w:rsidR="00B31130" w:rsidRDefault="00A16DDB" w:rsidP="00C82CBD">
      <w:pPr>
        <w:pStyle w:val="Nadpis1"/>
      </w:pPr>
      <w:bookmarkStart w:id="1281" w:name="_Toc81739330"/>
      <w:r w:rsidRPr="00D95127">
        <w:t>SWOT analýza</w:t>
      </w:r>
      <w:bookmarkEnd w:id="1281"/>
      <w:r w:rsidRPr="00D95127">
        <w:t xml:space="preserve"> </w:t>
      </w:r>
    </w:p>
    <w:p w14:paraId="095F5AF8" w14:textId="52B2857F" w:rsidR="00A16DDB" w:rsidRPr="00D95127" w:rsidRDefault="00B31130" w:rsidP="00B31130">
      <w:pPr>
        <w:pStyle w:val="UZEINormaln"/>
        <w:rPr>
          <w:b/>
        </w:rPr>
      </w:pPr>
      <w:r>
        <w:t>J</w:t>
      </w:r>
      <w:r w:rsidR="00A16DDB" w:rsidRPr="00D95127">
        <w:t>ak si stojí jednotlivé důležité stránky sektoru vůči odpovídajícím cílům a jejich naplňování?</w:t>
      </w:r>
      <w:bookmarkEnd w:id="1276"/>
      <w:bookmarkEnd w:id="1277"/>
      <w:bookmarkEnd w:id="1278"/>
      <w:bookmarkEnd w:id="1279"/>
      <w:bookmarkEnd w:id="1280"/>
    </w:p>
    <w:tbl>
      <w:tblPr>
        <w:tblpPr w:leftFromText="141" w:rightFromText="141" w:vertAnchor="text" w:horzAnchor="page" w:tblpX="1595" w:tblpY="131"/>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196"/>
        <w:gridCol w:w="4800"/>
      </w:tblGrid>
      <w:tr w:rsidR="00A16DDB" w:rsidRPr="00C82CBD" w14:paraId="79A62696" w14:textId="77777777" w:rsidTr="00C82CBD">
        <w:trPr>
          <w:trHeight w:val="150"/>
        </w:trPr>
        <w:tc>
          <w:tcPr>
            <w:tcW w:w="4216" w:type="dxa"/>
            <w:shd w:val="clear" w:color="auto" w:fill="auto"/>
          </w:tcPr>
          <w:p w14:paraId="2A3197BD" w14:textId="77777777" w:rsidR="00A16DDB" w:rsidRPr="00C82CBD" w:rsidRDefault="00A16DDB" w:rsidP="00C82CBD">
            <w:pPr>
              <w:jc w:val="center"/>
              <w:rPr>
                <w:rFonts w:cs="Times New Roman"/>
                <w:b/>
                <w:szCs w:val="24"/>
                <w:lang w:val="cs-CZ"/>
              </w:rPr>
            </w:pPr>
            <w:r w:rsidRPr="00C82CBD">
              <w:rPr>
                <w:rFonts w:cs="Times New Roman"/>
                <w:b/>
                <w:szCs w:val="24"/>
                <w:lang w:val="cs-CZ"/>
              </w:rPr>
              <w:t>Silné stránky</w:t>
            </w:r>
          </w:p>
        </w:tc>
        <w:tc>
          <w:tcPr>
            <w:tcW w:w="4824" w:type="dxa"/>
            <w:shd w:val="clear" w:color="auto" w:fill="auto"/>
          </w:tcPr>
          <w:p w14:paraId="4B96F79D" w14:textId="77777777" w:rsidR="00A16DDB" w:rsidRPr="00C82CBD" w:rsidRDefault="00A16DDB" w:rsidP="00C82CBD">
            <w:pPr>
              <w:jc w:val="center"/>
              <w:rPr>
                <w:rFonts w:cs="Times New Roman"/>
                <w:b/>
                <w:szCs w:val="24"/>
                <w:lang w:val="cs-CZ"/>
              </w:rPr>
            </w:pPr>
            <w:r w:rsidRPr="00C82CBD">
              <w:rPr>
                <w:rFonts w:cs="Times New Roman"/>
                <w:b/>
                <w:szCs w:val="24"/>
                <w:lang w:val="cs-CZ"/>
              </w:rPr>
              <w:t>Slabé stránky</w:t>
            </w:r>
          </w:p>
        </w:tc>
      </w:tr>
      <w:tr w:rsidR="00A16DDB" w:rsidRPr="00C82CBD" w14:paraId="746B388C" w14:textId="77777777" w:rsidTr="00C82CBD">
        <w:tc>
          <w:tcPr>
            <w:tcW w:w="4216" w:type="dxa"/>
            <w:tcBorders>
              <w:bottom w:val="single" w:sz="12" w:space="0" w:color="auto"/>
            </w:tcBorders>
          </w:tcPr>
          <w:p w14:paraId="76233F8D" w14:textId="794D1746" w:rsidR="00A16DDB" w:rsidRPr="00C82CBD" w:rsidRDefault="00C82CBD" w:rsidP="00C82CBD">
            <w:pPr>
              <w:pStyle w:val="UZEIOdrky"/>
              <w:ind w:left="445" w:hanging="416"/>
              <w:rPr>
                <w:rFonts w:eastAsiaTheme="minorHAnsi"/>
              </w:rPr>
            </w:pPr>
            <w:r>
              <w:rPr>
                <w:rFonts w:eastAsiaTheme="minorHAnsi"/>
              </w:rPr>
              <w:t xml:space="preserve">S1: </w:t>
            </w:r>
            <w:r w:rsidR="00A16DDB" w:rsidRPr="00C82CBD">
              <w:rPr>
                <w:rFonts w:eastAsiaTheme="minorHAnsi"/>
              </w:rPr>
              <w:t>Vysoký stupeň organizovanosti ve spolcích</w:t>
            </w:r>
          </w:p>
          <w:p w14:paraId="4149F630" w14:textId="40660567" w:rsidR="00A16DDB" w:rsidRPr="00C82CBD" w:rsidRDefault="00C82CBD" w:rsidP="00C82CBD">
            <w:pPr>
              <w:pStyle w:val="UZEIOdrky"/>
              <w:ind w:left="445" w:hanging="416"/>
              <w:rPr>
                <w:rFonts w:eastAsiaTheme="minorHAnsi"/>
              </w:rPr>
            </w:pPr>
            <w:r>
              <w:rPr>
                <w:rFonts w:eastAsiaTheme="minorHAnsi"/>
              </w:rPr>
              <w:t xml:space="preserve">S2: </w:t>
            </w:r>
            <w:r w:rsidR="00A16DDB" w:rsidRPr="00C82CBD">
              <w:rPr>
                <w:rFonts w:eastAsiaTheme="minorHAnsi"/>
              </w:rPr>
              <w:t>Organizované tlumení varroázy – sběr dat o nemocích včel i prostředky a metody boje s nimi přinášejí požadované výsledky pouze tehdy, jsou-li prováděny podle jednotné metodiky a ve stejnou dobu.</w:t>
            </w:r>
          </w:p>
          <w:p w14:paraId="4D7673EA" w14:textId="223F16A9" w:rsidR="00A16DDB" w:rsidRPr="00C82CBD" w:rsidRDefault="00C82CBD" w:rsidP="00C82CBD">
            <w:pPr>
              <w:pStyle w:val="UZEIOdrky"/>
              <w:ind w:left="445" w:hanging="416"/>
              <w:rPr>
                <w:rFonts w:eastAsiaTheme="minorHAnsi"/>
              </w:rPr>
            </w:pPr>
            <w:r>
              <w:rPr>
                <w:rFonts w:eastAsiaTheme="minorHAnsi"/>
              </w:rPr>
              <w:t xml:space="preserve">S3: </w:t>
            </w:r>
            <w:r w:rsidR="00A16DDB" w:rsidRPr="00C82CBD">
              <w:rPr>
                <w:rFonts w:eastAsiaTheme="minorHAnsi"/>
              </w:rPr>
              <w:t>Kvalitní dostupná léčiva a diagnostické metody chorob včelstev s minimálními riziky pro zdraví včel a kontaminaci včelích produktů, odpovídající současnému stavu výzkumu.</w:t>
            </w:r>
          </w:p>
          <w:p w14:paraId="5449C81A" w14:textId="2DB89903" w:rsidR="00A16DDB" w:rsidRPr="00C82CBD" w:rsidRDefault="00C82CBD" w:rsidP="00C82CBD">
            <w:pPr>
              <w:pStyle w:val="UZEIOdrky"/>
              <w:ind w:left="445" w:hanging="416"/>
              <w:rPr>
                <w:rFonts w:eastAsiaTheme="minorHAnsi"/>
              </w:rPr>
            </w:pPr>
            <w:r>
              <w:rPr>
                <w:rFonts w:eastAsiaTheme="minorHAnsi"/>
              </w:rPr>
              <w:t xml:space="preserve">S4: </w:t>
            </w:r>
            <w:r w:rsidR="00A16DDB" w:rsidRPr="00C82CBD">
              <w:rPr>
                <w:rFonts w:eastAsiaTheme="minorHAnsi"/>
              </w:rPr>
              <w:t>Radikální tlumení moru včelího plodu a hniloby plodu podle stanovišť s klinickými příznaky zpomalující šíření těchto nebezpečných nákaz.</w:t>
            </w:r>
          </w:p>
          <w:p w14:paraId="2D8E5D18" w14:textId="43FF91EE" w:rsidR="00A16DDB" w:rsidRPr="00C82CBD" w:rsidRDefault="00C82CBD" w:rsidP="00C82CBD">
            <w:pPr>
              <w:pStyle w:val="UZEIOdrky"/>
              <w:ind w:left="445" w:hanging="416"/>
              <w:rPr>
                <w:rFonts w:eastAsiaTheme="minorHAnsi"/>
              </w:rPr>
            </w:pPr>
            <w:r>
              <w:rPr>
                <w:rFonts w:eastAsiaTheme="minorHAnsi"/>
              </w:rPr>
              <w:t xml:space="preserve">S5: </w:t>
            </w:r>
            <w:r w:rsidR="00A16DDB" w:rsidRPr="00C82CBD">
              <w:rPr>
                <w:rFonts w:eastAsiaTheme="minorHAnsi"/>
              </w:rPr>
              <w:t>Povinná vyšetření včelstev chovatelů matek a včelstev kočovných včelařů.</w:t>
            </w:r>
          </w:p>
          <w:p w14:paraId="49963EC8" w14:textId="1CA0E589" w:rsidR="00A16DDB" w:rsidRPr="00C82CBD" w:rsidRDefault="00C82CBD" w:rsidP="00C82CBD">
            <w:pPr>
              <w:pStyle w:val="UZEIOdrky"/>
              <w:ind w:left="445" w:hanging="416"/>
              <w:rPr>
                <w:rFonts w:eastAsiaTheme="minorHAnsi"/>
              </w:rPr>
            </w:pPr>
            <w:r>
              <w:rPr>
                <w:rFonts w:eastAsiaTheme="minorHAnsi"/>
              </w:rPr>
              <w:t xml:space="preserve">S6: </w:t>
            </w:r>
            <w:r w:rsidR="00A16DDB" w:rsidRPr="00C82CBD">
              <w:rPr>
                <w:rFonts w:eastAsiaTheme="minorHAnsi"/>
              </w:rPr>
              <w:t>Tradice chovatelství, existující síť aktivních chovatelů matek a dlouhodobé udržování kvalitního plemenného potenciálu včely medonosné kraňské.</w:t>
            </w:r>
          </w:p>
          <w:p w14:paraId="23F34910" w14:textId="4A5FA6C9" w:rsidR="00A16DDB" w:rsidRPr="00C82CBD" w:rsidRDefault="00C82CBD" w:rsidP="00C82CBD">
            <w:pPr>
              <w:pStyle w:val="UZEIOdrky"/>
              <w:ind w:left="445" w:hanging="416"/>
              <w:rPr>
                <w:rFonts w:eastAsiaTheme="minorHAnsi"/>
              </w:rPr>
            </w:pPr>
            <w:r>
              <w:rPr>
                <w:rFonts w:eastAsiaTheme="minorHAnsi"/>
              </w:rPr>
              <w:t xml:space="preserve">S7: </w:t>
            </w:r>
            <w:r w:rsidR="00A16DDB" w:rsidRPr="00C82CBD">
              <w:rPr>
                <w:rFonts w:eastAsiaTheme="minorHAnsi"/>
              </w:rPr>
              <w:t>Dlouholetá tradice výuky a silný rozvoj ve včelařském školství (SŠ, VŠ, specializované školství).</w:t>
            </w:r>
          </w:p>
          <w:p w14:paraId="4746AC73" w14:textId="6C86E0CD" w:rsidR="00A16DDB" w:rsidRPr="00C82CBD" w:rsidRDefault="00C82CBD" w:rsidP="00C82CBD">
            <w:pPr>
              <w:pStyle w:val="UZEIOdrky"/>
              <w:ind w:left="445" w:hanging="416"/>
              <w:rPr>
                <w:rFonts w:eastAsiaTheme="minorHAnsi"/>
              </w:rPr>
            </w:pPr>
            <w:r>
              <w:rPr>
                <w:rFonts w:eastAsiaTheme="minorHAnsi"/>
              </w:rPr>
              <w:t xml:space="preserve">S8: </w:t>
            </w:r>
            <w:r w:rsidR="00A16DDB" w:rsidRPr="00C82CBD">
              <w:rPr>
                <w:rFonts w:eastAsiaTheme="minorHAnsi"/>
              </w:rPr>
              <w:t>Vědomostní potenciál včelařských odborníků se zkušenostmi ze zahraničí</w:t>
            </w:r>
          </w:p>
          <w:p w14:paraId="7D52961C" w14:textId="530C70CB" w:rsidR="00A16DDB" w:rsidRPr="00C82CBD" w:rsidRDefault="00C82CBD" w:rsidP="00C82CBD">
            <w:pPr>
              <w:pStyle w:val="UZEIOdrky"/>
              <w:ind w:left="445" w:hanging="416"/>
              <w:rPr>
                <w:rFonts w:eastAsiaTheme="minorHAnsi"/>
              </w:rPr>
            </w:pPr>
            <w:r>
              <w:rPr>
                <w:rFonts w:eastAsiaTheme="minorHAnsi"/>
              </w:rPr>
              <w:t xml:space="preserve">S9: </w:t>
            </w:r>
            <w:r w:rsidR="00A16DDB" w:rsidRPr="00C82CBD">
              <w:rPr>
                <w:rFonts w:eastAsiaTheme="minorHAnsi"/>
              </w:rPr>
              <w:t>Existence Výzkumného ústavu včelařského v Dole.</w:t>
            </w:r>
          </w:p>
          <w:p w14:paraId="1728A17C" w14:textId="2EA78ADC" w:rsidR="00A16DDB" w:rsidRDefault="00C82CBD" w:rsidP="00C82CBD">
            <w:pPr>
              <w:pStyle w:val="UZEIOdrky"/>
              <w:ind w:left="445" w:hanging="416"/>
              <w:rPr>
                <w:rFonts w:eastAsiaTheme="minorHAnsi"/>
              </w:rPr>
            </w:pPr>
            <w:r>
              <w:rPr>
                <w:rFonts w:eastAsiaTheme="minorHAnsi"/>
              </w:rPr>
              <w:t xml:space="preserve">S10: </w:t>
            </w:r>
            <w:r w:rsidR="00A16DDB" w:rsidRPr="00C82CBD">
              <w:rPr>
                <w:rFonts w:eastAsiaTheme="minorHAnsi"/>
              </w:rPr>
              <w:t>Přenos výsledků výzkumu do praxe prostřednictvím metodických pokynů, konání odborných přednášek, seminářů a publikování odborných článků v časopisech Včelařství a Moderní včelař.</w:t>
            </w:r>
          </w:p>
          <w:p w14:paraId="6B5844A7" w14:textId="77777777" w:rsidR="00C82CBD" w:rsidRDefault="00C82CBD" w:rsidP="00C82CBD">
            <w:pPr>
              <w:pStyle w:val="UZEIOdrky"/>
              <w:numPr>
                <w:ilvl w:val="0"/>
                <w:numId w:val="0"/>
              </w:numPr>
              <w:ind w:left="720" w:hanging="360"/>
              <w:rPr>
                <w:rFonts w:eastAsiaTheme="minorHAnsi"/>
              </w:rPr>
            </w:pPr>
          </w:p>
          <w:p w14:paraId="6455A44F" w14:textId="0CC7E2E6" w:rsidR="00C82CBD" w:rsidRPr="00C82CBD" w:rsidRDefault="00C82CBD" w:rsidP="00C82CBD">
            <w:pPr>
              <w:pStyle w:val="UZEIOdrky"/>
              <w:numPr>
                <w:ilvl w:val="0"/>
                <w:numId w:val="0"/>
              </w:numPr>
              <w:ind w:left="720" w:hanging="360"/>
              <w:rPr>
                <w:rFonts w:eastAsiaTheme="minorHAnsi"/>
              </w:rPr>
            </w:pPr>
          </w:p>
        </w:tc>
        <w:tc>
          <w:tcPr>
            <w:tcW w:w="4824" w:type="dxa"/>
            <w:tcBorders>
              <w:bottom w:val="single" w:sz="12" w:space="0" w:color="auto"/>
            </w:tcBorders>
          </w:tcPr>
          <w:p w14:paraId="448D5985" w14:textId="09C6576F" w:rsidR="00A16DDB" w:rsidRPr="00C82CBD" w:rsidRDefault="00C82CBD" w:rsidP="00C82CBD">
            <w:pPr>
              <w:pStyle w:val="UZEIOdrky"/>
              <w:ind w:left="445" w:hanging="416"/>
              <w:rPr>
                <w:rFonts w:eastAsiaTheme="minorHAnsi"/>
              </w:rPr>
            </w:pPr>
            <w:r>
              <w:rPr>
                <w:rFonts w:eastAsiaTheme="minorHAnsi"/>
              </w:rPr>
              <w:t xml:space="preserve">W1: </w:t>
            </w:r>
            <w:r w:rsidR="00A16DDB" w:rsidRPr="00C82CBD">
              <w:rPr>
                <w:rFonts w:eastAsiaTheme="minorHAnsi"/>
              </w:rPr>
              <w:t>Převažující typ drobného zájmového včelaře zahrnuje i skupinu chovatelů, kteří problémy zdravotního stavu nevnímají zodpovědně, nedodržují metodiku léčení a špatnou chovatelskou praxí způsobuj včelám stresy. Jejich stanoviště se stávají mnohdy zdrojem nákaz pro okolí.</w:t>
            </w:r>
          </w:p>
          <w:p w14:paraId="7DB00F97" w14:textId="5E36BB89" w:rsidR="00A16DDB" w:rsidRPr="00C82CBD" w:rsidRDefault="00C82CBD" w:rsidP="00C82CBD">
            <w:pPr>
              <w:pStyle w:val="UZEIOdrky"/>
              <w:ind w:left="445" w:hanging="416"/>
              <w:rPr>
                <w:rFonts w:eastAsiaTheme="minorHAnsi"/>
              </w:rPr>
            </w:pPr>
            <w:r>
              <w:rPr>
                <w:rFonts w:eastAsiaTheme="minorHAnsi"/>
              </w:rPr>
              <w:t xml:space="preserve">W2:  </w:t>
            </w:r>
            <w:r w:rsidR="00A16DDB" w:rsidRPr="00C82CBD">
              <w:rPr>
                <w:rFonts w:eastAsiaTheme="minorHAnsi"/>
              </w:rPr>
              <w:t>Ze strany profesionálních chovatelů včel je mnohdy podceňována biologická zákonitost chovu a vývoj včel, který může vést ke stresovým situacím v chovaných včelstvech s následky možného rozvoje onemocnění včel.</w:t>
            </w:r>
          </w:p>
          <w:p w14:paraId="6653109C" w14:textId="157307C2" w:rsidR="00A16DDB" w:rsidRPr="00C82CBD" w:rsidRDefault="00C82CBD" w:rsidP="00C82CBD">
            <w:pPr>
              <w:pStyle w:val="UZEIOdrky"/>
              <w:ind w:left="445" w:hanging="416"/>
              <w:rPr>
                <w:rFonts w:eastAsiaTheme="minorHAnsi"/>
              </w:rPr>
            </w:pPr>
            <w:r>
              <w:rPr>
                <w:rFonts w:eastAsiaTheme="minorHAnsi"/>
              </w:rPr>
              <w:t xml:space="preserve">W3: </w:t>
            </w:r>
            <w:r w:rsidR="00A16DDB" w:rsidRPr="00C82CBD">
              <w:rPr>
                <w:rFonts w:eastAsiaTheme="minorHAnsi"/>
              </w:rPr>
              <w:t>Konzervativní přístup k některým novým včelařským poznatkům a metodám</w:t>
            </w:r>
          </w:p>
          <w:p w14:paraId="1BB11B26" w14:textId="23EAF6D2" w:rsidR="00A16DDB" w:rsidRPr="00C82CBD" w:rsidRDefault="00C82CBD" w:rsidP="00C82CBD">
            <w:pPr>
              <w:pStyle w:val="UZEIOdrky"/>
              <w:ind w:left="445" w:hanging="416"/>
              <w:rPr>
                <w:rFonts w:eastAsiaTheme="minorHAnsi"/>
              </w:rPr>
            </w:pPr>
            <w:r>
              <w:rPr>
                <w:rFonts w:eastAsiaTheme="minorHAnsi"/>
              </w:rPr>
              <w:t xml:space="preserve">W4: </w:t>
            </w:r>
            <w:r w:rsidR="00A16DDB" w:rsidRPr="00C82CBD">
              <w:rPr>
                <w:rFonts w:eastAsiaTheme="minorHAnsi"/>
              </w:rPr>
              <w:t>Základní výzkum na akademických pracovištích je značně nákladný, aplikace poznatků do praxe je až ve vzdáleném časovém horizontu.</w:t>
            </w:r>
          </w:p>
        </w:tc>
      </w:tr>
      <w:tr w:rsidR="00A16DDB" w:rsidRPr="00C82CBD" w14:paraId="10763C70" w14:textId="77777777" w:rsidTr="00C82CBD">
        <w:trPr>
          <w:trHeight w:val="394"/>
        </w:trPr>
        <w:tc>
          <w:tcPr>
            <w:tcW w:w="4216" w:type="dxa"/>
            <w:shd w:val="clear" w:color="auto" w:fill="auto"/>
          </w:tcPr>
          <w:p w14:paraId="50655875" w14:textId="77777777" w:rsidR="00A16DDB" w:rsidRPr="00C82CBD" w:rsidRDefault="00A16DDB" w:rsidP="00C82CBD">
            <w:pPr>
              <w:jc w:val="center"/>
              <w:rPr>
                <w:rFonts w:cs="Times New Roman"/>
                <w:b/>
                <w:szCs w:val="24"/>
                <w:lang w:val="cs-CZ"/>
              </w:rPr>
            </w:pPr>
            <w:r w:rsidRPr="00C82CBD">
              <w:rPr>
                <w:rFonts w:cs="Times New Roman"/>
                <w:b/>
                <w:szCs w:val="24"/>
                <w:lang w:val="cs-CZ"/>
              </w:rPr>
              <w:t>Příležitosti</w:t>
            </w:r>
          </w:p>
        </w:tc>
        <w:tc>
          <w:tcPr>
            <w:tcW w:w="4824" w:type="dxa"/>
            <w:shd w:val="clear" w:color="auto" w:fill="auto"/>
          </w:tcPr>
          <w:p w14:paraId="5AFF553F" w14:textId="77777777" w:rsidR="00A16DDB" w:rsidRPr="00C82CBD" w:rsidRDefault="00A16DDB" w:rsidP="00C82CBD">
            <w:pPr>
              <w:jc w:val="center"/>
              <w:rPr>
                <w:rFonts w:cs="Times New Roman"/>
                <w:b/>
                <w:szCs w:val="24"/>
                <w:lang w:val="cs-CZ"/>
              </w:rPr>
            </w:pPr>
            <w:r w:rsidRPr="00C82CBD">
              <w:rPr>
                <w:rFonts w:cs="Times New Roman"/>
                <w:b/>
                <w:szCs w:val="24"/>
                <w:lang w:val="cs-CZ"/>
              </w:rPr>
              <w:t>Rizika</w:t>
            </w:r>
          </w:p>
        </w:tc>
      </w:tr>
      <w:tr w:rsidR="00A16DDB" w:rsidRPr="00D95127" w14:paraId="2EB9F8EE" w14:textId="77777777" w:rsidTr="007A627A">
        <w:tc>
          <w:tcPr>
            <w:tcW w:w="4216" w:type="dxa"/>
          </w:tcPr>
          <w:p w14:paraId="22F95368" w14:textId="0EFC011D" w:rsidR="00A16DDB" w:rsidRPr="00C82CBD" w:rsidRDefault="00C82CBD" w:rsidP="00C82CBD">
            <w:pPr>
              <w:pStyle w:val="UZEIOdrky"/>
              <w:ind w:left="445" w:hanging="416"/>
              <w:rPr>
                <w:rFonts w:eastAsiaTheme="minorHAnsi"/>
              </w:rPr>
            </w:pPr>
            <w:r>
              <w:rPr>
                <w:rFonts w:eastAsiaTheme="minorHAnsi"/>
              </w:rPr>
              <w:t xml:space="preserve">O1: </w:t>
            </w:r>
            <w:r w:rsidR="00A16DDB" w:rsidRPr="00C82CBD">
              <w:rPr>
                <w:rFonts w:eastAsiaTheme="minorHAnsi"/>
              </w:rPr>
              <w:t>Získání profesních a odborných zkušeností ve včelařství, včetně příslušných certifikátů.</w:t>
            </w:r>
          </w:p>
          <w:p w14:paraId="52017188" w14:textId="40A4DCA4" w:rsidR="00A16DDB" w:rsidRPr="00C82CBD" w:rsidRDefault="00C82CBD" w:rsidP="00C82CBD">
            <w:pPr>
              <w:pStyle w:val="UZEIOdrky"/>
              <w:ind w:left="445" w:hanging="416"/>
              <w:rPr>
                <w:rFonts w:eastAsiaTheme="minorHAnsi"/>
              </w:rPr>
            </w:pPr>
            <w:r>
              <w:rPr>
                <w:rFonts w:eastAsiaTheme="minorHAnsi"/>
              </w:rPr>
              <w:t xml:space="preserve">O2: </w:t>
            </w:r>
            <w:r w:rsidR="00A16DDB" w:rsidRPr="00C82CBD">
              <w:rPr>
                <w:rFonts w:eastAsiaTheme="minorHAnsi"/>
              </w:rPr>
              <w:t xml:space="preserve">Realizace vlastního chovu včel, což znamená zavedení vlastního chovu včel, včetně vybudování nezbytného technického zázemí pro chov včel (např. medárnu, sklad souší, včelařskou dílnu atd.). </w:t>
            </w:r>
          </w:p>
          <w:p w14:paraId="1C6D4374" w14:textId="2E52EF0B" w:rsidR="00A16DDB" w:rsidRPr="00C82CBD" w:rsidRDefault="00C82CBD" w:rsidP="00C82CBD">
            <w:pPr>
              <w:pStyle w:val="UZEIOdrky"/>
              <w:ind w:left="445" w:hanging="416"/>
              <w:rPr>
                <w:rFonts w:eastAsiaTheme="minorHAnsi"/>
              </w:rPr>
            </w:pPr>
            <w:r>
              <w:rPr>
                <w:rFonts w:eastAsiaTheme="minorHAnsi"/>
              </w:rPr>
              <w:t xml:space="preserve">O3: </w:t>
            </w:r>
            <w:r w:rsidR="00A16DDB" w:rsidRPr="00C82CBD">
              <w:rPr>
                <w:rFonts w:eastAsiaTheme="minorHAnsi"/>
              </w:rPr>
              <w:t>Vybudování farmového chovu včel.</w:t>
            </w:r>
          </w:p>
          <w:p w14:paraId="26C172D6" w14:textId="6F7A5FA4" w:rsidR="00A16DDB" w:rsidRPr="00C82CBD" w:rsidRDefault="00C82CBD" w:rsidP="00C82CBD">
            <w:pPr>
              <w:pStyle w:val="UZEIOdrky"/>
              <w:ind w:left="445" w:hanging="416"/>
              <w:rPr>
                <w:rFonts w:eastAsiaTheme="minorHAnsi"/>
              </w:rPr>
            </w:pPr>
            <w:r>
              <w:rPr>
                <w:rFonts w:eastAsiaTheme="minorHAnsi"/>
              </w:rPr>
              <w:t xml:space="preserve">O4: </w:t>
            </w:r>
            <w:r w:rsidR="00A16DDB" w:rsidRPr="00C82CBD">
              <w:rPr>
                <w:rFonts w:eastAsiaTheme="minorHAnsi"/>
              </w:rPr>
              <w:t>Rovnoměrné rozmístění včelstev v krajině a tím zajištění opylování hmyzosnubných plodin a zachování biodiverzity krajiny.</w:t>
            </w:r>
          </w:p>
          <w:p w14:paraId="665F5056" w14:textId="02287442" w:rsidR="00A16DDB" w:rsidRPr="00C82CBD" w:rsidRDefault="00C82CBD" w:rsidP="00C82CBD">
            <w:pPr>
              <w:pStyle w:val="UZEIOdrky"/>
              <w:ind w:left="445" w:hanging="416"/>
              <w:rPr>
                <w:rFonts w:eastAsiaTheme="minorHAnsi"/>
              </w:rPr>
            </w:pPr>
            <w:r>
              <w:rPr>
                <w:rFonts w:eastAsiaTheme="minorHAnsi"/>
              </w:rPr>
              <w:t xml:space="preserve">O5: </w:t>
            </w:r>
            <w:r w:rsidR="00A16DDB" w:rsidRPr="00C82CBD">
              <w:rPr>
                <w:rFonts w:eastAsiaTheme="minorHAnsi"/>
              </w:rPr>
              <w:t>Větší podpora pro vědecký výzkum.</w:t>
            </w:r>
          </w:p>
        </w:tc>
        <w:tc>
          <w:tcPr>
            <w:tcW w:w="4824" w:type="dxa"/>
          </w:tcPr>
          <w:p w14:paraId="7199CFDA" w14:textId="3737BAC4" w:rsidR="00A16DDB" w:rsidRPr="00C82CBD" w:rsidRDefault="00C82CBD" w:rsidP="00C82CBD">
            <w:pPr>
              <w:pStyle w:val="UZEIOdrky"/>
              <w:ind w:left="445" w:hanging="416"/>
              <w:rPr>
                <w:rFonts w:eastAsiaTheme="minorHAnsi"/>
              </w:rPr>
            </w:pPr>
            <w:r>
              <w:rPr>
                <w:rFonts w:eastAsiaTheme="minorHAnsi"/>
              </w:rPr>
              <w:t xml:space="preserve">T1: </w:t>
            </w:r>
            <w:r w:rsidR="00A16DDB" w:rsidRPr="00C82CBD">
              <w:rPr>
                <w:rFonts w:eastAsiaTheme="minorHAnsi"/>
              </w:rPr>
              <w:t>Bezprostřední rizika souvisí především se zhoršením zdravotního stavu včel.</w:t>
            </w:r>
          </w:p>
          <w:p w14:paraId="34C7CB84" w14:textId="4C6E14D8" w:rsidR="00A16DDB" w:rsidRPr="00C82CBD" w:rsidRDefault="00C82CBD" w:rsidP="00C82CBD">
            <w:pPr>
              <w:pStyle w:val="UZEIOdrky"/>
              <w:ind w:left="445" w:hanging="416"/>
              <w:rPr>
                <w:rFonts w:eastAsiaTheme="minorHAnsi"/>
              </w:rPr>
            </w:pPr>
            <w:r>
              <w:rPr>
                <w:rFonts w:eastAsiaTheme="minorHAnsi"/>
              </w:rPr>
              <w:t xml:space="preserve">T2: </w:t>
            </w:r>
            <w:r w:rsidR="00A16DDB" w:rsidRPr="00C82CBD">
              <w:rPr>
                <w:rFonts w:eastAsiaTheme="minorHAnsi"/>
              </w:rPr>
              <w:t>Používání nepovolených látek k léčení včelstev.</w:t>
            </w:r>
          </w:p>
          <w:p w14:paraId="6FD76164" w14:textId="68C9A04B" w:rsidR="00A16DDB" w:rsidRPr="00C82CBD" w:rsidRDefault="00C82CBD" w:rsidP="00C82CBD">
            <w:pPr>
              <w:pStyle w:val="UZEIOdrky"/>
              <w:ind w:left="445" w:hanging="416"/>
              <w:rPr>
                <w:rFonts w:eastAsiaTheme="minorHAnsi"/>
              </w:rPr>
            </w:pPr>
            <w:r>
              <w:rPr>
                <w:rFonts w:eastAsiaTheme="minorHAnsi"/>
              </w:rPr>
              <w:t xml:space="preserve">T3: </w:t>
            </w:r>
            <w:r w:rsidR="00A16DDB" w:rsidRPr="00C82CBD">
              <w:rPr>
                <w:rFonts w:eastAsiaTheme="minorHAnsi"/>
              </w:rPr>
              <w:t>Znehodnocování kvality chovu plemene včely kraňské a její přímé ohrožení v důsledku nekontrolovaného dovozu matek jiných agresivních plemen včel.</w:t>
            </w:r>
          </w:p>
          <w:p w14:paraId="34C01C62" w14:textId="3DB55358" w:rsidR="00A16DDB" w:rsidRPr="00C82CBD" w:rsidRDefault="00C82CBD" w:rsidP="00C82CBD">
            <w:pPr>
              <w:pStyle w:val="UZEIOdrky"/>
              <w:ind w:left="445" w:hanging="416"/>
              <w:rPr>
                <w:rFonts w:eastAsiaTheme="minorHAnsi"/>
              </w:rPr>
            </w:pPr>
            <w:r>
              <w:rPr>
                <w:rFonts w:eastAsiaTheme="minorHAnsi"/>
              </w:rPr>
              <w:t xml:space="preserve">T4: </w:t>
            </w:r>
            <w:r w:rsidR="00A16DDB" w:rsidRPr="00C82CBD">
              <w:rPr>
                <w:rFonts w:eastAsiaTheme="minorHAnsi"/>
              </w:rPr>
              <w:t>Snižování biodiverzity krajiny.</w:t>
            </w:r>
          </w:p>
          <w:p w14:paraId="490DBA89" w14:textId="5EA3C25F" w:rsidR="00A16DDB" w:rsidRPr="00C82CBD" w:rsidRDefault="00C82CBD" w:rsidP="00C82CBD">
            <w:pPr>
              <w:pStyle w:val="UZEIOdrky"/>
              <w:ind w:left="445" w:hanging="416"/>
              <w:rPr>
                <w:rFonts w:eastAsiaTheme="minorHAnsi"/>
              </w:rPr>
            </w:pPr>
            <w:r>
              <w:rPr>
                <w:rFonts w:eastAsiaTheme="minorHAnsi"/>
              </w:rPr>
              <w:t xml:space="preserve">T5: </w:t>
            </w:r>
            <w:r w:rsidR="00A16DDB" w:rsidRPr="00C82CBD">
              <w:rPr>
                <w:rFonts w:eastAsiaTheme="minorHAnsi"/>
              </w:rPr>
              <w:t>Používání látek v zemědělství včelám škodícím.</w:t>
            </w:r>
          </w:p>
        </w:tc>
      </w:tr>
    </w:tbl>
    <w:p w14:paraId="2F8F902A" w14:textId="77777777" w:rsidR="00A16DDB" w:rsidRPr="00D95127" w:rsidRDefault="00A16DDB" w:rsidP="00A16DDB">
      <w:pPr>
        <w:rPr>
          <w:rFonts w:cs="Times New Roman"/>
          <w:szCs w:val="24"/>
          <w:lang w:val="cs-CZ"/>
        </w:rPr>
      </w:pPr>
    </w:p>
    <w:p w14:paraId="319A5C99" w14:textId="77777777" w:rsidR="00A16DDB" w:rsidRPr="00D95127" w:rsidRDefault="00A16DDB" w:rsidP="00A16DDB">
      <w:pPr>
        <w:rPr>
          <w:rFonts w:cs="Times New Roman"/>
          <w:szCs w:val="24"/>
          <w:lang w:val="cs-CZ"/>
        </w:rPr>
      </w:pPr>
    </w:p>
    <w:p w14:paraId="06C9050E" w14:textId="173647EB" w:rsidR="00DE7D57" w:rsidRPr="00DE7D57" w:rsidRDefault="00DE7D57" w:rsidP="00DE7D57">
      <w:pPr>
        <w:spacing w:after="160" w:line="259" w:lineRule="auto"/>
        <w:jc w:val="left"/>
        <w:rPr>
          <w:rFonts w:eastAsiaTheme="majorEastAsia" w:cs="Times New Roman"/>
          <w:b/>
          <w:bCs/>
          <w:sz w:val="28"/>
          <w:szCs w:val="32"/>
          <w:lang w:val="cs-CZ"/>
        </w:rPr>
      </w:pPr>
      <w:bookmarkStart w:id="1282" w:name="_Toc80953380"/>
      <w:r>
        <w:br w:type="page"/>
      </w:r>
    </w:p>
    <w:p w14:paraId="45952C74" w14:textId="5DF55085" w:rsidR="00DE7D57" w:rsidRPr="00DE7D57" w:rsidRDefault="00DE7D57" w:rsidP="00DE7D57">
      <w:pPr>
        <w:pStyle w:val="UZEINadpis1stbezsla"/>
      </w:pPr>
      <w:bookmarkStart w:id="1283" w:name="_Toc81739331"/>
      <w:r w:rsidRPr="00DE7D57">
        <w:t>PŘÍLOH</w:t>
      </w:r>
      <w:r>
        <w:t>Y</w:t>
      </w:r>
      <w:bookmarkEnd w:id="1283"/>
    </w:p>
    <w:p w14:paraId="3C8A6C38" w14:textId="3AE181C9" w:rsidR="00A16DDB" w:rsidRPr="00DE7D57" w:rsidRDefault="00DE7D57" w:rsidP="00DE7D57">
      <w:pPr>
        <w:pStyle w:val="UZEINadpis4st"/>
        <w:rPr>
          <w:sz w:val="36"/>
          <w:szCs w:val="36"/>
        </w:rPr>
      </w:pPr>
      <w:bookmarkStart w:id="1284" w:name="_Toc81739332"/>
      <w:r>
        <w:t>Příloha 1</w:t>
      </w:r>
      <w:r w:rsidR="00A16DDB" w:rsidRPr="00D95127">
        <w:t xml:space="preserve"> Způsob stanovení predikce ekonomiky zemědělských komodit do roku 2030</w:t>
      </w:r>
      <w:bookmarkEnd w:id="1282"/>
      <w:bookmarkEnd w:id="1284"/>
    </w:p>
    <w:p w14:paraId="25666AF9" w14:textId="77777777" w:rsidR="00A16DDB" w:rsidRPr="00D95127" w:rsidRDefault="00A16DDB" w:rsidP="00DE7D57">
      <w:pPr>
        <w:pStyle w:val="UZEINormaln"/>
      </w:pPr>
      <w:r w:rsidRPr="00D95127">
        <w:t>Predikce ekonomik jednotlivých zemědělských komodit je prováděna v </w:t>
      </w:r>
      <w:r w:rsidRPr="00D95127">
        <w:rPr>
          <w:b/>
          <w:bCs/>
          <w:i/>
          <w:iCs/>
        </w:rPr>
        <w:t>Modelu VCS 2021</w:t>
      </w:r>
      <w:r w:rsidRPr="00D95127">
        <w:t xml:space="preserve">, jehož princip fungování vychází z modelového prostředí </w:t>
      </w:r>
      <w:r w:rsidRPr="00D95127">
        <w:rPr>
          <w:b/>
          <w:bCs/>
          <w:i/>
          <w:iCs/>
        </w:rPr>
        <w:t>RENT-6</w:t>
      </w:r>
      <w:r w:rsidRPr="00D95127">
        <w:t>, které je v rámci ÚZEI dlouhodobě rozvíjeno pro simulaci dopadů zemědělské politiky. Jedná se o model, který predikuje jednotlivé složky ekonomiky zemedělských komodit a dopočítává nákladové a souhrnné rentability zemědělských komodit do roku 2030. Vstupní data jsou čerpána z výběrového šetření o nákladech, prováděného ÚZEI a metodika výpočtu rentability jednotlivých komodit je shodná s výstupy tohoto šetření prezentována v ostatních výstupech v rámci ÚZEI.</w:t>
      </w:r>
    </w:p>
    <w:p w14:paraId="6522A8FF" w14:textId="77777777" w:rsidR="00A16DDB" w:rsidRPr="00D95127" w:rsidRDefault="00A16DDB" w:rsidP="00DE7D57">
      <w:pPr>
        <w:pStyle w:val="UZEINormaln"/>
      </w:pPr>
      <w:r w:rsidRPr="00D95127">
        <w:t xml:space="preserve"> Model VCS v sobě zahrnuje predikci jednotlivých položek ekonomiky zemědělských komodit, jako jsou náklady v jejich kompletní struktuře, realizační ceny komodit a intenzity výroby. Projekce se v první řadě opírá o lineární regresní funkci s logaritmickou transformací a s následným dorovnáním na hladinu projektované časové řady. Tato metoda je velmi vhodná pro časové řady, které mívají strmější růst v krátkodobém horizontu, ale z dlouhodobého hlediska se nepředpokládá takto rapidně vzrůstající trend (Benoit 2011)</w:t>
      </w:r>
      <w:r w:rsidRPr="00D95127">
        <w:rPr>
          <w:rStyle w:val="Znakapoznpodarou"/>
        </w:rPr>
        <w:footnoteReference w:id="47"/>
      </w:r>
      <w:r w:rsidRPr="00D95127">
        <w:t xml:space="preserve">. </w:t>
      </w:r>
    </w:p>
    <w:p w14:paraId="7DBA36F8" w14:textId="77777777" w:rsidR="00A16DDB" w:rsidRPr="00D95127" w:rsidRDefault="00A16DDB" w:rsidP="00DE7D57">
      <w:pPr>
        <w:pStyle w:val="UZEINormaln"/>
      </w:pPr>
      <w:r w:rsidRPr="00D95127">
        <w:t xml:space="preserve">Všechny provedené projekce jsou korigovány expertními odhady a v některých případech jsou použity dodatečně metody interpolace či indexové meziroční růsty (především u cen), které se opírají o projekce EK - </w:t>
      </w:r>
      <w:r w:rsidRPr="00D95127">
        <w:rPr>
          <w:i/>
          <w:iCs/>
        </w:rPr>
        <w:t>Medium-Term Outlook on the Prospects for Agricultural Markets and Income 2021</w:t>
      </w:r>
      <w:r w:rsidRPr="00D95127">
        <w:rPr>
          <w:rStyle w:val="Znakapoznpodarou"/>
        </w:rPr>
        <w:footnoteReference w:id="48"/>
      </w:r>
      <w:r w:rsidRPr="00D95127">
        <w:t>. Vstup položek politik pro jednotlivé komodity zůstává od roku 2021 neměnný a vychází z doposud známých podmínek pro budoucí rámec SZP 2021+.</w:t>
      </w:r>
    </w:p>
    <w:p w14:paraId="6BDBBD5B" w14:textId="77777777" w:rsidR="00A16DDB" w:rsidRPr="00D95127" w:rsidRDefault="00A16DDB" w:rsidP="00DE7D57">
      <w:pPr>
        <w:pStyle w:val="UZEINormaln"/>
      </w:pPr>
    </w:p>
    <w:p w14:paraId="55537AAF" w14:textId="77777777" w:rsidR="006E47F1" w:rsidRPr="00D95127" w:rsidRDefault="006E47F1" w:rsidP="00DE7D57">
      <w:pPr>
        <w:pStyle w:val="UZEINormaln"/>
      </w:pPr>
    </w:p>
    <w:sectPr w:rsidR="006E47F1" w:rsidRPr="00D95127" w:rsidSect="00C82CBD">
      <w:headerReference w:type="default" r:id="rId211"/>
      <w:footerReference w:type="default" r:id="rId21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4DEE58" w14:textId="77777777" w:rsidR="008E0A31" w:rsidRDefault="008E0A31" w:rsidP="00B87E14">
      <w:r>
        <w:separator/>
      </w:r>
    </w:p>
  </w:endnote>
  <w:endnote w:type="continuationSeparator" w:id="0">
    <w:p w14:paraId="7CEC32C5" w14:textId="77777777" w:rsidR="008E0A31" w:rsidRDefault="008E0A31" w:rsidP="00B87E14">
      <w:r>
        <w:continuationSeparator/>
      </w:r>
    </w:p>
  </w:endnote>
  <w:endnote w:type="continuationNotice" w:id="1">
    <w:p w14:paraId="0F33593F" w14:textId="77777777" w:rsidR="008E0A31" w:rsidRDefault="008E0A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Gill Sans MT">
    <w:charset w:val="EE"/>
    <w:family w:val="swiss"/>
    <w:pitch w:val="variable"/>
    <w:sig w:usb0="00000007" w:usb1="00000000" w:usb2="00000000" w:usb3="00000000" w:csb0="00000003" w:csb1="00000000"/>
  </w:font>
  <w:font w:name="Liberation Serif">
    <w:altName w:val="Times New Roman"/>
    <w:charset w:val="00"/>
    <w:family w:val="roman"/>
    <w:pitch w:val="variable"/>
  </w:font>
  <w:font w:name="Droid Sans Fallback">
    <w:altName w:val="Segoe UI"/>
    <w:panose1 w:val="00000000000000000000"/>
    <w:charset w:val="00"/>
    <w:family w:val="roman"/>
    <w:notTrueType/>
    <w:pitch w:val="default"/>
  </w:font>
  <w:font w:name="FreeSans">
    <w:altName w:val="Calibri"/>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D2D81" w14:textId="77777777" w:rsidR="00A16DDB" w:rsidRDefault="00A16DDB" w:rsidP="00BD1669">
    <w:pPr>
      <w:pStyle w:val="Zpat"/>
      <w:jc w:val="center"/>
    </w:pPr>
    <w:r>
      <w:fldChar w:fldCharType="begin"/>
    </w:r>
    <w:r>
      <w:instrText>PAGE   \* MERGEFORMAT</w:instrText>
    </w:r>
    <w:r>
      <w:fldChar w:fldCharType="separate"/>
    </w:r>
    <w:r>
      <w:rPr>
        <w:noProof/>
      </w:rPr>
      <w:t>21</w:t>
    </w:r>
    <w: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E58D8" w14:textId="77777777" w:rsidR="00A16DDB" w:rsidRDefault="00A16DDB" w:rsidP="00BD1669">
    <w:pPr>
      <w:pStyle w:val="Zpat"/>
      <w:jc w:val="center"/>
    </w:pPr>
    <w:r>
      <w:fldChar w:fldCharType="begin"/>
    </w:r>
    <w:r>
      <w:instrText>PAGE   \* MERGEFORMAT</w:instrText>
    </w:r>
    <w:r>
      <w:fldChar w:fldCharType="separate"/>
    </w:r>
    <w:r>
      <w:rPr>
        <w:noProof/>
      </w:rPr>
      <w:t>93</w:t>
    </w:r>
    <w: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A2CAAC" w14:textId="77777777" w:rsidR="00A16DDB" w:rsidRDefault="00A16DDB" w:rsidP="00BD1669">
    <w:pPr>
      <w:pStyle w:val="Zpat"/>
      <w:jc w:val="center"/>
    </w:pPr>
    <w:r>
      <w:fldChar w:fldCharType="begin"/>
    </w:r>
    <w:r>
      <w:instrText>PAGE   \* MERGEFORMAT</w:instrText>
    </w:r>
    <w:r>
      <w:fldChar w:fldCharType="separate"/>
    </w:r>
    <w:r>
      <w:rPr>
        <w:noProof/>
      </w:rPr>
      <w:t>21</w:t>
    </w:r>
    <w: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B7DD5C" w14:textId="77777777" w:rsidR="00A16DDB" w:rsidRDefault="00A16DDB" w:rsidP="00BD1669">
    <w:pPr>
      <w:pStyle w:val="Zpat"/>
      <w:jc w:val="center"/>
    </w:pPr>
    <w:r>
      <w:fldChar w:fldCharType="begin"/>
    </w:r>
    <w:r>
      <w:instrText>PAGE   \* MERGEFORMAT</w:instrText>
    </w:r>
    <w:r>
      <w:fldChar w:fldCharType="separate"/>
    </w:r>
    <w:r>
      <w:rPr>
        <w:noProof/>
      </w:rPr>
      <w:t>23</w:t>
    </w:r>
    <w: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AA9A8" w14:textId="77777777" w:rsidR="00A16DDB" w:rsidRDefault="00A16DDB" w:rsidP="00BD1669">
    <w:pPr>
      <w:pStyle w:val="Zpat"/>
      <w:jc w:val="center"/>
    </w:pPr>
    <w:r>
      <w:fldChar w:fldCharType="begin"/>
    </w:r>
    <w:r>
      <w:instrText>PAGE   \* MERGEFORMAT</w:instrText>
    </w:r>
    <w:r>
      <w:fldChar w:fldCharType="separate"/>
    </w:r>
    <w:r>
      <w:rPr>
        <w:noProof/>
      </w:rPr>
      <w:t>21</w:t>
    </w:r>
    <w: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4FE5A5" w14:textId="77777777" w:rsidR="00A16DDB" w:rsidRDefault="00A16DDB" w:rsidP="00BD1669">
    <w:pPr>
      <w:pStyle w:val="Zpat"/>
      <w:jc w:val="center"/>
    </w:pPr>
    <w:r>
      <w:fldChar w:fldCharType="begin"/>
    </w:r>
    <w:r>
      <w:instrText>PAGE   \* MERGEFORMAT</w:instrText>
    </w:r>
    <w:r>
      <w:fldChar w:fldCharType="separate"/>
    </w:r>
    <w:r>
      <w:rPr>
        <w:noProof/>
      </w:rPr>
      <w:t>23</w:t>
    </w:r>
    <w: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AF222A" w14:textId="77777777" w:rsidR="00A16DDB" w:rsidRDefault="00A16DDB" w:rsidP="00BD1669">
    <w:pPr>
      <w:pStyle w:val="Zpat"/>
      <w:jc w:val="center"/>
    </w:pPr>
    <w:r>
      <w:fldChar w:fldCharType="begin"/>
    </w:r>
    <w:r>
      <w:instrText>PAGE   \* MERGEFORMAT</w:instrText>
    </w:r>
    <w:r>
      <w:fldChar w:fldCharType="separate"/>
    </w:r>
    <w:r>
      <w:rPr>
        <w:noProof/>
      </w:rPr>
      <w:t>56</w:t>
    </w:r>
    <w: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53034B" w14:textId="77777777" w:rsidR="00A16DDB" w:rsidRDefault="00A16DDB" w:rsidP="009A6E23">
    <w:pPr>
      <w:pStyle w:val="Zpat"/>
      <w:jc w:val="center"/>
    </w:pPr>
    <w:r>
      <w:rPr>
        <w:noProof/>
      </w:rPr>
      <w:t>56</w:t>
    </w:r>
  </w:p>
  <w:p w14:paraId="25B22CF7" w14:textId="77777777" w:rsidR="00A16DDB" w:rsidRDefault="00A16DDB" w:rsidP="002E6FEE"/>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AA2A21" w14:textId="77777777" w:rsidR="00A16DDB" w:rsidRDefault="00A16DDB" w:rsidP="00BD1669">
    <w:pPr>
      <w:pStyle w:val="Zpat"/>
      <w:jc w:val="center"/>
    </w:pPr>
    <w:r>
      <w:rPr>
        <w:noProof/>
      </w:rPr>
      <w:t>56</w: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0D94B" w14:textId="77777777" w:rsidR="00A16DDB" w:rsidRDefault="00A16DDB" w:rsidP="009A6E23">
    <w:pPr>
      <w:pStyle w:val="Zpat"/>
      <w:jc w:val="center"/>
    </w:pPr>
    <w:r>
      <w:rPr>
        <w:noProof/>
      </w:rPr>
      <w:t>56</w:t>
    </w:r>
  </w:p>
  <w:p w14:paraId="390CEA4A" w14:textId="77777777" w:rsidR="00A16DDB" w:rsidRDefault="00A16DDB" w:rsidP="002E6FEE"/>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163AC5" w14:textId="77777777" w:rsidR="00A16DDB" w:rsidRDefault="00A16DDB" w:rsidP="000B3FFD">
    <w:pPr>
      <w:pStyle w:val="Zpat"/>
      <w:jc w:val="center"/>
    </w:pPr>
    <w:r>
      <w:fldChar w:fldCharType="begin"/>
    </w:r>
    <w:r>
      <w:instrText>PAGE   \* MERGEFORMAT</w:instrText>
    </w:r>
    <w:r>
      <w:fldChar w:fldCharType="separate"/>
    </w:r>
    <w:r>
      <w:rPr>
        <w:noProof/>
      </w:rPr>
      <w:t>154</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4B4A18" w14:textId="77777777" w:rsidR="00A16DDB" w:rsidRDefault="00A16DDB" w:rsidP="00BD1669">
    <w:pPr>
      <w:pStyle w:val="Zpat"/>
      <w:jc w:val="center"/>
    </w:pPr>
    <w:r>
      <w:fldChar w:fldCharType="begin"/>
    </w:r>
    <w:r>
      <w:instrText>PAGE   \* MERGEFORMAT</w:instrText>
    </w:r>
    <w:r>
      <w:fldChar w:fldCharType="separate"/>
    </w:r>
    <w:r>
      <w:rPr>
        <w:noProof/>
      </w:rPr>
      <w:t>23</w:t>
    </w:r>
    <w:r>
      <w:fldChar w:fldCharType="end"/>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50241669"/>
      <w:docPartObj>
        <w:docPartGallery w:val="Page Numbers (Bottom of Page)"/>
        <w:docPartUnique/>
      </w:docPartObj>
    </w:sdtPr>
    <w:sdtEndPr/>
    <w:sdtContent>
      <w:p w14:paraId="6670FB55" w14:textId="77777777" w:rsidR="0086054E" w:rsidRDefault="0086054E">
        <w:pPr>
          <w:pStyle w:val="Zpat"/>
          <w:jc w:val="center"/>
        </w:pPr>
        <w:r>
          <w:fldChar w:fldCharType="begin"/>
        </w:r>
        <w:r>
          <w:instrText>PAGE   \* MERGEFORMAT</w:instrText>
        </w:r>
        <w:r>
          <w:fldChar w:fldCharType="separate"/>
        </w:r>
        <w:r>
          <w:rPr>
            <w:lang w:val="cs-CZ"/>
          </w:rPr>
          <w:t>2</w:t>
        </w:r>
        <w:r>
          <w:fldChar w:fldCharType="end"/>
        </w:r>
      </w:p>
    </w:sdtContent>
  </w:sdt>
  <w:p w14:paraId="1766D528" w14:textId="77777777" w:rsidR="0086054E" w:rsidRDefault="0086054E">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AF582" w14:textId="77777777" w:rsidR="00A16DDB" w:rsidRDefault="00A16DDB" w:rsidP="00BD1669">
    <w:pPr>
      <w:pStyle w:val="Zpat"/>
      <w:jc w:val="center"/>
    </w:pPr>
    <w:r>
      <w:fldChar w:fldCharType="begin"/>
    </w:r>
    <w:r>
      <w:instrText>PAGE   \* MERGEFORMAT</w:instrText>
    </w:r>
    <w:r>
      <w:fldChar w:fldCharType="separate"/>
    </w:r>
    <w:r>
      <w:rPr>
        <w:noProof/>
      </w:rPr>
      <w:t>23</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0ED8E7" w14:textId="77777777" w:rsidR="00A16DDB" w:rsidRDefault="00A16DDB" w:rsidP="00BD1669">
    <w:pPr>
      <w:pStyle w:val="Zpat"/>
      <w:jc w:val="center"/>
    </w:pPr>
    <w:r>
      <w:fldChar w:fldCharType="begin"/>
    </w:r>
    <w:r>
      <w:instrText>PAGE   \* MERGEFORMAT</w:instrText>
    </w:r>
    <w:r>
      <w:fldChar w:fldCharType="separate"/>
    </w:r>
    <w:r>
      <w:rPr>
        <w:noProof/>
      </w:rPr>
      <w:t>56</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C94A8F" w14:textId="77777777" w:rsidR="00A16DDB" w:rsidRDefault="00A16DDB" w:rsidP="007E1DED">
    <w:pPr>
      <w:pStyle w:val="Zpat"/>
      <w:jc w:val="center"/>
    </w:pPr>
    <w:r>
      <w:fldChar w:fldCharType="begin"/>
    </w:r>
    <w:r>
      <w:instrText>PAGE   \* MERGEFORMAT</w:instrText>
    </w:r>
    <w:r>
      <w:fldChar w:fldCharType="separate"/>
    </w:r>
    <w:r>
      <w:rPr>
        <w:noProof/>
      </w:rPr>
      <w:t>56</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C58957" w14:textId="77777777" w:rsidR="00A16DDB" w:rsidRDefault="00A16DDB" w:rsidP="00BD1669">
    <w:pPr>
      <w:pStyle w:val="Zpat"/>
      <w:jc w:val="center"/>
    </w:pPr>
    <w:r>
      <w:fldChar w:fldCharType="begin"/>
    </w:r>
    <w:r>
      <w:instrText>PAGE   \* MERGEFORMAT</w:instrText>
    </w:r>
    <w:r>
      <w:fldChar w:fldCharType="separate"/>
    </w:r>
    <w:r>
      <w:rPr>
        <w:noProof/>
      </w:rPr>
      <w:t>56</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9E3F28" w14:textId="77777777" w:rsidR="00A16DDB" w:rsidRDefault="00A16DDB" w:rsidP="009A6E23">
    <w:pPr>
      <w:pStyle w:val="Zpat"/>
      <w:jc w:val="center"/>
    </w:pPr>
    <w:r>
      <w:fldChar w:fldCharType="begin"/>
    </w:r>
    <w:r>
      <w:instrText>PAGE   \* MERGEFORMAT</w:instrText>
    </w:r>
    <w:r>
      <w:fldChar w:fldCharType="separate"/>
    </w:r>
    <w:r>
      <w:rPr>
        <w:noProof/>
      </w:rPr>
      <w:t>56</w:t>
    </w:r>
    <w:r>
      <w:fldChar w:fldCharType="end"/>
    </w:r>
  </w:p>
  <w:p w14:paraId="4BE9B9B9" w14:textId="77777777" w:rsidR="00A16DDB" w:rsidRDefault="00A16DDB" w:rsidP="002E6FEE"/>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16FE24" w14:textId="77777777" w:rsidR="00A16DDB" w:rsidRDefault="00A16DDB" w:rsidP="009A6E23">
    <w:pPr>
      <w:pStyle w:val="Zpat"/>
      <w:jc w:val="center"/>
    </w:pPr>
    <w:r>
      <w:fldChar w:fldCharType="begin"/>
    </w:r>
    <w:r>
      <w:instrText>PAGE   \* MERGEFORMAT</w:instrText>
    </w:r>
    <w:r>
      <w:fldChar w:fldCharType="separate"/>
    </w:r>
    <w:r>
      <w:rPr>
        <w:noProof/>
      </w:rPr>
      <w:t>56</w:t>
    </w:r>
    <w:r>
      <w:fldChar w:fldCharType="end"/>
    </w:r>
  </w:p>
  <w:p w14:paraId="0B207004" w14:textId="77777777" w:rsidR="00A16DDB" w:rsidRDefault="00A16DDB" w:rsidP="002E6FEE"/>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66759" w14:textId="77777777" w:rsidR="00A16DDB" w:rsidRDefault="00A16DDB" w:rsidP="00BD1669">
    <w:pPr>
      <w:pStyle w:val="Zpat"/>
      <w:jc w:val="center"/>
    </w:pPr>
    <w:r>
      <w:rPr>
        <w:noProof/>
      </w:rPr>
      <w:t>56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E92A72" w14:textId="77777777" w:rsidR="008E0A31" w:rsidRDefault="008E0A31" w:rsidP="00B87E14">
      <w:r>
        <w:separator/>
      </w:r>
    </w:p>
  </w:footnote>
  <w:footnote w:type="continuationSeparator" w:id="0">
    <w:p w14:paraId="32379954" w14:textId="77777777" w:rsidR="008E0A31" w:rsidRDefault="008E0A31" w:rsidP="00B87E14">
      <w:r>
        <w:continuationSeparator/>
      </w:r>
    </w:p>
  </w:footnote>
  <w:footnote w:type="continuationNotice" w:id="1">
    <w:p w14:paraId="58CE1A2A" w14:textId="77777777" w:rsidR="008E0A31" w:rsidRDefault="008E0A31"/>
  </w:footnote>
  <w:footnote w:id="2">
    <w:p w14:paraId="0EDFB32E" w14:textId="336F104D" w:rsidR="00A16DDB" w:rsidRPr="005C5778" w:rsidRDefault="00A16DDB" w:rsidP="00A16DDB">
      <w:pPr>
        <w:spacing w:after="200" w:line="276" w:lineRule="auto"/>
        <w:rPr>
          <w:rFonts w:eastAsia="Times New Roman" w:cs="Arial"/>
          <w:i/>
          <w:sz w:val="20"/>
          <w:szCs w:val="24"/>
          <w:lang w:val="cs-CZ"/>
        </w:rPr>
      </w:pPr>
      <w:r w:rsidRPr="005C5778">
        <w:rPr>
          <w:rStyle w:val="Znakapoznpodarou"/>
          <w:i/>
          <w:lang w:val="cs-CZ"/>
        </w:rPr>
        <w:footnoteRef/>
      </w:r>
      <w:r w:rsidRPr="005C5778">
        <w:rPr>
          <w:i/>
          <w:lang w:val="cs-CZ"/>
        </w:rPr>
        <w:t xml:space="preserve"> </w:t>
      </w:r>
      <w:r w:rsidRPr="005C5778">
        <w:rPr>
          <w:rFonts w:eastAsia="Times New Roman" w:cs="Arial"/>
          <w:i/>
          <w:sz w:val="20"/>
          <w:szCs w:val="24"/>
          <w:lang w:val="cs-CZ"/>
        </w:rPr>
        <w:t>Strategie českého zemědělství do roku 2030 uvádí cílovou míru soběstačnosti v rozpětí 41</w:t>
      </w:r>
      <w:r w:rsidRPr="005C5778">
        <w:rPr>
          <w:rFonts w:eastAsia="Times New Roman" w:cs="Arial"/>
          <w:i/>
          <w:sz w:val="20"/>
          <w:szCs w:val="24"/>
          <w:lang w:val="cs-CZ"/>
        </w:rPr>
        <w:noBreakHyphen/>
        <w:t xml:space="preserve">72 % pro rok 2020 v případě ovoce – konzumních jablek, přičemž aktuální úroveň se pohybuje kolem 35-76 % v závislosti na klimatických podmínkách daného roku. V případě zeleniny 43 %, přičemž aktuální úroveň dosahuje 37,6 %. </w:t>
      </w:r>
    </w:p>
    <w:p w14:paraId="36E9B045" w14:textId="77777777" w:rsidR="00A16DDB" w:rsidRPr="005C5778" w:rsidRDefault="00A16DDB" w:rsidP="00A16DDB">
      <w:pPr>
        <w:rPr>
          <w:rFonts w:eastAsia="Times New Roman" w:cs="Arial"/>
          <w:i/>
          <w:szCs w:val="24"/>
          <w:lang w:val="cs-CZ"/>
        </w:rPr>
      </w:pPr>
    </w:p>
    <w:p w14:paraId="3E1C28A0" w14:textId="77777777" w:rsidR="00A16DDB" w:rsidRPr="00526F28" w:rsidRDefault="00A16DDB" w:rsidP="00A16DDB">
      <w:pPr>
        <w:pStyle w:val="Textpoznpodarou"/>
        <w:rPr>
          <w:i/>
        </w:rPr>
      </w:pPr>
    </w:p>
  </w:footnote>
  <w:footnote w:id="3">
    <w:p w14:paraId="594F48A2" w14:textId="77777777" w:rsidR="00A16DDB" w:rsidRPr="000D447D" w:rsidRDefault="00A16DDB" w:rsidP="00A16DDB">
      <w:pPr>
        <w:pStyle w:val="Textpoznpodarou"/>
        <w:rPr>
          <w:i/>
          <w:sz w:val="18"/>
          <w:szCs w:val="18"/>
        </w:rPr>
      </w:pPr>
      <w:r w:rsidRPr="000D447D">
        <w:rPr>
          <w:rStyle w:val="Znakapoznpodarou"/>
          <w:i/>
          <w:sz w:val="18"/>
          <w:szCs w:val="18"/>
        </w:rPr>
        <w:footnoteRef/>
      </w:r>
      <w:r w:rsidRPr="000D447D">
        <w:rPr>
          <w:i/>
          <w:sz w:val="18"/>
          <w:szCs w:val="18"/>
        </w:rPr>
        <w:t xml:space="preserve"> Naproti tomu průměrná doba životnosti sadů se při současných vysokých nárocích na výnos a intenzitu produkce zkracuje. Stromy se vyčerpají dříve, než by měly. Dřívější standartní doba životnosti sadů 25 let se zkracuje, v některých případech může nastat již po 15 letech a někdy i dříve. V tomto poměru (třetina produkčního období oproti dřívější pětině) se tedy jedná z pohledu pěstitele o dlouhou dobu.</w:t>
      </w:r>
    </w:p>
  </w:footnote>
  <w:footnote w:id="4">
    <w:p w14:paraId="51A245C5" w14:textId="77777777" w:rsidR="00A16DDB" w:rsidRPr="001C7136" w:rsidRDefault="00A16DDB" w:rsidP="00A16DDB">
      <w:pPr>
        <w:pStyle w:val="Textpoznpodarou"/>
        <w:rPr>
          <w:i/>
          <w:sz w:val="18"/>
          <w:szCs w:val="18"/>
        </w:rPr>
      </w:pPr>
      <w:r w:rsidRPr="001C7136">
        <w:rPr>
          <w:rStyle w:val="Znakapoznpodarou"/>
          <w:sz w:val="18"/>
          <w:szCs w:val="18"/>
        </w:rPr>
        <w:footnoteRef/>
      </w:r>
      <w:r w:rsidRPr="001C7136">
        <w:rPr>
          <w:sz w:val="18"/>
          <w:szCs w:val="18"/>
        </w:rPr>
        <w:t xml:space="preserve"> </w:t>
      </w:r>
      <w:r w:rsidRPr="001C7136">
        <w:rPr>
          <w:i/>
          <w:sz w:val="18"/>
          <w:szCs w:val="18"/>
        </w:rPr>
        <w:t>Detailnější informace o ekonomice jednotlivých druhů ovoce a zeleniny jsou uvedeny a hodnoceny v rámci zpracovaného 2. výstupu TÚ 28 (4236) Statistické sledování a ekonomická situace vybraných sektorů rostlinné a živočišné výroby podpořených v rámci 1. pilíře SZP, včetně sociálních aspektů.</w:t>
      </w:r>
    </w:p>
  </w:footnote>
  <w:footnote w:id="5">
    <w:p w14:paraId="595B6504" w14:textId="77777777" w:rsidR="00A16DDB" w:rsidRPr="00463626" w:rsidRDefault="00A16DDB" w:rsidP="00A16DDB">
      <w:pPr>
        <w:pStyle w:val="Textpoznpodarou"/>
        <w:rPr>
          <w:i/>
        </w:rPr>
      </w:pPr>
      <w:r w:rsidRPr="00463626">
        <w:rPr>
          <w:rStyle w:val="Znakapoznpodarou"/>
          <w:i/>
        </w:rPr>
        <w:footnoteRef/>
      </w:r>
      <w:r w:rsidRPr="00463626">
        <w:rPr>
          <w:i/>
        </w:rPr>
        <w:t xml:space="preserve"> </w:t>
      </w:r>
      <w:bookmarkStart w:id="51" w:name="_Hlk524296645"/>
      <w:r w:rsidRPr="00463626">
        <w:rPr>
          <w:i/>
        </w:rPr>
        <w:t>Propočty pracovní náročnosti jsou provedeny na bázi modelu Rent 4. Vlastní pracovní náročnost je odvozena od výše osobních nákladů na ha z. p. dané komodity a vybilancovaná na celý rozsah zemědělské produkce.</w:t>
      </w:r>
      <w:bookmarkEnd w:id="51"/>
    </w:p>
  </w:footnote>
  <w:footnote w:id="6">
    <w:p w14:paraId="223F2B1D" w14:textId="77777777" w:rsidR="00A16DDB" w:rsidRPr="005C5778" w:rsidRDefault="00A16DDB" w:rsidP="00A16DDB">
      <w:pPr>
        <w:spacing w:after="200" w:line="276" w:lineRule="auto"/>
        <w:rPr>
          <w:i/>
          <w:sz w:val="18"/>
          <w:szCs w:val="18"/>
          <w:lang w:val="cs-CZ"/>
        </w:rPr>
      </w:pPr>
      <w:r w:rsidRPr="005C5778">
        <w:rPr>
          <w:rStyle w:val="Znakapoznpodarou"/>
          <w:i/>
          <w:sz w:val="18"/>
          <w:szCs w:val="18"/>
          <w:lang w:val="cs-CZ"/>
        </w:rPr>
        <w:footnoteRef/>
      </w:r>
      <w:r w:rsidRPr="005C5778">
        <w:rPr>
          <w:i/>
          <w:sz w:val="18"/>
          <w:szCs w:val="18"/>
          <w:lang w:val="cs-CZ"/>
        </w:rPr>
        <w:t xml:space="preserve"> </w:t>
      </w:r>
      <w:r w:rsidRPr="005C5778">
        <w:rPr>
          <w:rFonts w:eastAsia="Times New Roman" w:cs="Arial"/>
          <w:i/>
          <w:sz w:val="18"/>
          <w:szCs w:val="18"/>
          <w:lang w:val="cs-CZ"/>
        </w:rPr>
        <w:t xml:space="preserve">Strategie českého zemědělství do roku 2030 uvádí cílovou míru soběstačnosti v případě vína ve výši 26 % pro rok 2020, přičemž aktuální úroveň dosahuje již 30,6 %. </w:t>
      </w:r>
    </w:p>
  </w:footnote>
  <w:footnote w:id="7">
    <w:p w14:paraId="6C65B726" w14:textId="77777777" w:rsidR="00A16DDB" w:rsidRPr="00875C81" w:rsidRDefault="00A16DDB" w:rsidP="00A16DDB">
      <w:pPr>
        <w:pStyle w:val="Textpoznpodarou"/>
        <w:rPr>
          <w:i/>
        </w:rPr>
      </w:pPr>
      <w:r w:rsidRPr="00875C81">
        <w:rPr>
          <w:rStyle w:val="Znakapoznpodarou"/>
          <w:i/>
        </w:rPr>
        <w:footnoteRef/>
      </w:r>
      <w:r w:rsidRPr="00875C81">
        <w:rPr>
          <w:i/>
        </w:rPr>
        <w:t xml:space="preserve"> Naproti t</w:t>
      </w:r>
      <w:r>
        <w:rPr>
          <w:i/>
        </w:rPr>
        <w:t>omu průměrná doba životnosti vinic</w:t>
      </w:r>
      <w:r w:rsidRPr="00875C81">
        <w:rPr>
          <w:i/>
        </w:rPr>
        <w:t xml:space="preserve"> se při současných vysokých nárocích na výnos a intenzitu produkce zkracuje. </w:t>
      </w:r>
      <w:r>
        <w:rPr>
          <w:i/>
        </w:rPr>
        <w:t>Keře</w:t>
      </w:r>
      <w:r w:rsidRPr="00875C81">
        <w:rPr>
          <w:i/>
        </w:rPr>
        <w:t xml:space="preserve"> se vyčerpají dříve, než by měly. Dřívější standartní doba životnosti </w:t>
      </w:r>
      <w:r>
        <w:rPr>
          <w:i/>
        </w:rPr>
        <w:t>vinic 40</w:t>
      </w:r>
      <w:r w:rsidRPr="00875C81">
        <w:rPr>
          <w:i/>
        </w:rPr>
        <w:t xml:space="preserve"> let se zkracuje, v některých případech může nastat j</w:t>
      </w:r>
      <w:r>
        <w:rPr>
          <w:i/>
        </w:rPr>
        <w:t>iž po 25</w:t>
      </w:r>
      <w:r w:rsidRPr="00875C81">
        <w:rPr>
          <w:i/>
        </w:rPr>
        <w:t xml:space="preserve"> letech a někdy i dříve. </w:t>
      </w:r>
    </w:p>
  </w:footnote>
  <w:footnote w:id="8">
    <w:p w14:paraId="15300ED0" w14:textId="77777777" w:rsidR="00A16DDB" w:rsidRPr="00AB4EA5" w:rsidRDefault="00A16DDB" w:rsidP="00A16DDB">
      <w:pPr>
        <w:pStyle w:val="Textpoznpodarou"/>
        <w:rPr>
          <w:i/>
        </w:rPr>
      </w:pPr>
      <w:r w:rsidRPr="00AB4EA5">
        <w:rPr>
          <w:rStyle w:val="Znakapoznpodarou"/>
          <w:i/>
        </w:rPr>
        <w:footnoteRef/>
      </w:r>
      <w:r w:rsidRPr="00AB4EA5">
        <w:rPr>
          <w:i/>
        </w:rPr>
        <w:t xml:space="preserve"> Výstup MTÚ 1/2018 </w:t>
      </w:r>
      <w:r w:rsidRPr="00526F28">
        <w:rPr>
          <w:i/>
        </w:rPr>
        <w:t>Nastavení paušálů u Programu podpor ve vinohradnictví a vinařství pro roky 2014-2018 pro ČR</w:t>
      </w:r>
    </w:p>
  </w:footnote>
  <w:footnote w:id="9">
    <w:p w14:paraId="6FB50B84" w14:textId="77777777" w:rsidR="00A16DDB" w:rsidRPr="007C30B5" w:rsidRDefault="00A16DDB" w:rsidP="00A16DDB">
      <w:pPr>
        <w:pStyle w:val="Textpoznpodarou"/>
        <w:rPr>
          <w:sz w:val="18"/>
          <w:szCs w:val="18"/>
        </w:rPr>
      </w:pPr>
      <w:r w:rsidRPr="007C30B5">
        <w:rPr>
          <w:rStyle w:val="Znakapoznpodarou"/>
          <w:sz w:val="18"/>
          <w:szCs w:val="18"/>
        </w:rPr>
        <w:footnoteRef/>
      </w:r>
      <w:r w:rsidRPr="007C30B5">
        <w:rPr>
          <w:sz w:val="18"/>
          <w:szCs w:val="18"/>
        </w:rPr>
        <w:t xml:space="preserve"> </w:t>
      </w:r>
      <w:r w:rsidRPr="007C30B5">
        <w:rPr>
          <w:i/>
          <w:sz w:val="18"/>
          <w:szCs w:val="18"/>
        </w:rPr>
        <w:t>Výběrové šetření o nákladech a výnosech vybraných zemědělských komodit ÚZEI již ekonomiku zpracování vinných hroznů nesleduje.</w:t>
      </w:r>
    </w:p>
  </w:footnote>
  <w:footnote w:id="10">
    <w:p w14:paraId="0F87AB83" w14:textId="77777777" w:rsidR="00A16DDB" w:rsidRPr="00463626" w:rsidRDefault="00A16DDB" w:rsidP="00A16DDB">
      <w:pPr>
        <w:pStyle w:val="Textpoznpodarou"/>
        <w:rPr>
          <w:i/>
        </w:rPr>
      </w:pPr>
      <w:r w:rsidRPr="00463626">
        <w:rPr>
          <w:rStyle w:val="Znakapoznpodarou"/>
          <w:i/>
        </w:rPr>
        <w:footnoteRef/>
      </w:r>
      <w:r w:rsidRPr="00463626">
        <w:rPr>
          <w:i/>
        </w:rPr>
        <w:t xml:space="preserve"> Propočty pracovní náročnosti jsou provedeny na bázi modelu Rent 4. Vlastní pracovní náročnost je odvozena od výše osobních nákladů na ha z. p. dané komodity a vybilancovaná na celý rozsah zemědělské produkce.</w:t>
      </w:r>
    </w:p>
  </w:footnote>
  <w:footnote w:id="11">
    <w:p w14:paraId="62CB6B13" w14:textId="77777777" w:rsidR="00A16DDB" w:rsidRPr="005C5778" w:rsidRDefault="00A16DDB" w:rsidP="00A16DDB">
      <w:pPr>
        <w:pStyle w:val="Textpoznpodarou"/>
        <w:rPr>
          <w:i/>
          <w:sz w:val="18"/>
          <w:szCs w:val="18"/>
        </w:rPr>
      </w:pPr>
      <w:r w:rsidRPr="005C5778">
        <w:rPr>
          <w:rStyle w:val="Znakapoznpodarou"/>
          <w:i/>
          <w:sz w:val="18"/>
          <w:szCs w:val="18"/>
        </w:rPr>
        <w:footnoteRef/>
      </w:r>
      <w:r w:rsidRPr="005C5778">
        <w:rPr>
          <w:i/>
          <w:sz w:val="18"/>
          <w:szCs w:val="18"/>
        </w:rPr>
        <w:t xml:space="preserve"> EU (5): Belgie, Francie, Německo, Nizozemsko, Velká Británie</w:t>
      </w:r>
    </w:p>
  </w:footnote>
  <w:footnote w:id="12">
    <w:p w14:paraId="30D7915E" w14:textId="40E0DB78" w:rsidR="00A16DDB" w:rsidRPr="005C5778" w:rsidRDefault="00A16DDB" w:rsidP="00A16DDB">
      <w:pPr>
        <w:spacing w:after="60"/>
        <w:rPr>
          <w:rFonts w:eastAsia="Times New Roman" w:cs="Arial"/>
          <w:i/>
          <w:szCs w:val="24"/>
          <w:lang w:val="cs-CZ"/>
        </w:rPr>
      </w:pPr>
      <w:r w:rsidRPr="005C5778">
        <w:rPr>
          <w:rStyle w:val="Znakapoznpodarou"/>
          <w:i/>
          <w:sz w:val="18"/>
          <w:szCs w:val="18"/>
          <w:lang w:val="cs-CZ"/>
        </w:rPr>
        <w:footnoteRef/>
      </w:r>
      <w:r w:rsidRPr="005C5778">
        <w:rPr>
          <w:rFonts w:cs="Times New Roman"/>
          <w:i/>
          <w:sz w:val="18"/>
          <w:szCs w:val="18"/>
          <w:lang w:val="cs-CZ"/>
        </w:rPr>
        <w:t xml:space="preserve"> </w:t>
      </w:r>
      <w:r w:rsidRPr="005C5778">
        <w:rPr>
          <w:rFonts w:eastAsia="Times New Roman" w:cs="Times New Roman"/>
          <w:i/>
          <w:sz w:val="18"/>
          <w:szCs w:val="18"/>
          <w:lang w:val="cs-CZ"/>
        </w:rPr>
        <w:t xml:space="preserve">Strategie českého zemědělství do roku 2030 uvádí cílovou míru soběstačnosti ve výši 85 % pro rok 2020 v případě brambor, přičemž aktuální úroveň dosahuje 80 %. Cíl pro rok 2030 ve výši 100 %, </w:t>
      </w:r>
      <w:r w:rsidRPr="005C5778">
        <w:rPr>
          <w:rFonts w:cs="Times New Roman"/>
          <w:i/>
          <w:sz w:val="18"/>
          <w:szCs w:val="18"/>
          <w:lang w:val="cs-CZ"/>
        </w:rPr>
        <w:t>pokud se nic nezmění</w:t>
      </w:r>
      <w:r w:rsidRPr="005C5778">
        <w:rPr>
          <w:rFonts w:eastAsia="Times New Roman" w:cs="Times New Roman"/>
          <w:i/>
          <w:sz w:val="18"/>
          <w:szCs w:val="18"/>
          <w:lang w:val="cs-CZ"/>
        </w:rPr>
        <w:t>, není realisticky naplnitelný.</w:t>
      </w:r>
    </w:p>
  </w:footnote>
  <w:footnote w:id="13">
    <w:p w14:paraId="58F09857" w14:textId="77777777" w:rsidR="00A16DDB" w:rsidRPr="005C5778" w:rsidRDefault="00A16DDB" w:rsidP="00A16DDB">
      <w:pPr>
        <w:pStyle w:val="Textpoznpodarou"/>
        <w:rPr>
          <w:i/>
          <w:sz w:val="18"/>
          <w:szCs w:val="18"/>
        </w:rPr>
      </w:pPr>
      <w:r w:rsidRPr="005C5778">
        <w:rPr>
          <w:rStyle w:val="Znakapoznpodarou"/>
          <w:i/>
          <w:sz w:val="18"/>
          <w:szCs w:val="18"/>
        </w:rPr>
        <w:footnoteRef/>
      </w:r>
      <w:r w:rsidRPr="005C5778">
        <w:rPr>
          <w:i/>
          <w:sz w:val="18"/>
          <w:szCs w:val="18"/>
        </w:rPr>
        <w:t xml:space="preserve"> Pramen: SZIF</w:t>
      </w:r>
    </w:p>
  </w:footnote>
  <w:footnote w:id="14">
    <w:p w14:paraId="21112F9A" w14:textId="77777777" w:rsidR="00A16DDB" w:rsidRPr="00D459E2" w:rsidRDefault="00A16DDB" w:rsidP="00A16DDB">
      <w:pPr>
        <w:pStyle w:val="Textpoznpodarou"/>
        <w:rPr>
          <w:rStyle w:val="Znakapoznpodarou"/>
          <w:i/>
          <w:sz w:val="18"/>
          <w:szCs w:val="18"/>
        </w:rPr>
      </w:pPr>
      <w:r w:rsidRPr="005C5778">
        <w:rPr>
          <w:i/>
          <w:sz w:val="18"/>
          <w:szCs w:val="18"/>
        </w:rPr>
        <w:footnoteRef/>
      </w:r>
      <w:r w:rsidRPr="005C5778">
        <w:rPr>
          <w:i/>
          <w:sz w:val="18"/>
          <w:szCs w:val="18"/>
        </w:rPr>
        <w:t xml:space="preserve"> Pramen</w:t>
      </w:r>
      <w:r w:rsidRPr="00D459E2">
        <w:rPr>
          <w:rStyle w:val="Znakapoznpodarou"/>
          <w:i/>
          <w:sz w:val="18"/>
          <w:szCs w:val="18"/>
        </w:rPr>
        <w:t xml:space="preserve">: </w:t>
      </w:r>
      <w:r w:rsidRPr="005C5778">
        <w:rPr>
          <w:i/>
          <w:sz w:val="18"/>
          <w:szCs w:val="18"/>
        </w:rPr>
        <w:t>ČBS – Český bramborářský svaz, z. s. Havlíčkův Brod</w:t>
      </w:r>
    </w:p>
  </w:footnote>
  <w:footnote w:id="15">
    <w:p w14:paraId="2B5BF34D" w14:textId="77777777" w:rsidR="00A16DDB" w:rsidRPr="005C5778" w:rsidRDefault="00A16DDB" w:rsidP="00A16DDB">
      <w:pPr>
        <w:pStyle w:val="Textpoznpodarou"/>
        <w:rPr>
          <w:i/>
          <w:sz w:val="18"/>
          <w:szCs w:val="18"/>
        </w:rPr>
      </w:pPr>
      <w:r w:rsidRPr="005C5778">
        <w:rPr>
          <w:rStyle w:val="Znakapoznpodarou"/>
          <w:i/>
          <w:sz w:val="18"/>
          <w:szCs w:val="18"/>
        </w:rPr>
        <w:footnoteRef/>
      </w:r>
      <w:r w:rsidRPr="005C5778">
        <w:rPr>
          <w:i/>
          <w:sz w:val="18"/>
          <w:szCs w:val="18"/>
        </w:rPr>
        <w:t xml:space="preserve"> Pramen: ČBS dotazníkové šetření ÚZEI 2018</w:t>
      </w:r>
    </w:p>
  </w:footnote>
  <w:footnote w:id="16">
    <w:p w14:paraId="019187F9" w14:textId="77777777" w:rsidR="00A16DDB" w:rsidRPr="0013720E" w:rsidRDefault="00A16DDB" w:rsidP="00A16DDB">
      <w:pPr>
        <w:pStyle w:val="Textpoznpodarou"/>
        <w:rPr>
          <w:i/>
          <w:szCs w:val="16"/>
        </w:rPr>
      </w:pPr>
      <w:r w:rsidRPr="005C5778">
        <w:rPr>
          <w:i/>
          <w:sz w:val="18"/>
          <w:szCs w:val="18"/>
          <w:vertAlign w:val="superscript"/>
        </w:rPr>
        <w:footnoteRef/>
      </w:r>
      <w:r w:rsidRPr="005C5778">
        <w:rPr>
          <w:i/>
          <w:sz w:val="18"/>
          <w:szCs w:val="18"/>
        </w:rPr>
        <w:t xml:space="preserve"> ČBS – Český bramborářský svaz, z. s. Havlíčkův Brod</w:t>
      </w:r>
    </w:p>
  </w:footnote>
  <w:footnote w:id="17">
    <w:p w14:paraId="471A1B5F" w14:textId="77777777" w:rsidR="00A16DDB" w:rsidRPr="009601C4" w:rsidRDefault="00A16DDB" w:rsidP="00A16DDB">
      <w:pPr>
        <w:pStyle w:val="Textpoznpodarou"/>
        <w:rPr>
          <w:i/>
          <w:sz w:val="18"/>
          <w:szCs w:val="18"/>
        </w:rPr>
      </w:pPr>
      <w:r w:rsidRPr="009601C4">
        <w:rPr>
          <w:rStyle w:val="Znakapoznpodarou"/>
          <w:sz w:val="18"/>
          <w:szCs w:val="18"/>
        </w:rPr>
        <w:footnoteRef/>
      </w:r>
      <w:r w:rsidRPr="009601C4">
        <w:rPr>
          <w:sz w:val="18"/>
          <w:szCs w:val="18"/>
        </w:rPr>
        <w:t xml:space="preserve"> </w:t>
      </w:r>
      <w:r w:rsidRPr="009601C4">
        <w:rPr>
          <w:i/>
          <w:sz w:val="18"/>
          <w:szCs w:val="18"/>
        </w:rPr>
        <w:t>Propočty pracovní náročnosti jsou provedeny na bázi modelu Rent 4. Vlastní pracovní náročnost je odvozena od výše osobních nákladů na ha z. p. dané komodity a vybilancovaná na celý rozsah zemědělské produkce.</w:t>
      </w:r>
    </w:p>
  </w:footnote>
  <w:footnote w:id="18">
    <w:p w14:paraId="374A6ED7" w14:textId="77777777" w:rsidR="00A16DDB" w:rsidRPr="00310526" w:rsidRDefault="00A16DDB" w:rsidP="00A16DDB">
      <w:pPr>
        <w:spacing w:after="60"/>
        <w:rPr>
          <w:rFonts w:eastAsia="Times New Roman" w:cs="Arial"/>
          <w:i/>
          <w:sz w:val="18"/>
          <w:szCs w:val="18"/>
          <w:lang w:val="cs-CZ"/>
        </w:rPr>
      </w:pPr>
      <w:r w:rsidRPr="00310526">
        <w:rPr>
          <w:rStyle w:val="Znakapoznpodarou"/>
          <w:sz w:val="18"/>
          <w:szCs w:val="18"/>
          <w:lang w:val="cs-CZ"/>
        </w:rPr>
        <w:footnoteRef/>
      </w:r>
      <w:r w:rsidRPr="00310526">
        <w:rPr>
          <w:i/>
          <w:sz w:val="18"/>
          <w:szCs w:val="18"/>
          <w:lang w:val="cs-CZ"/>
        </w:rPr>
        <w:t xml:space="preserve"> </w:t>
      </w:r>
      <w:r w:rsidRPr="00310526">
        <w:rPr>
          <w:rFonts w:eastAsia="Times New Roman" w:cs="Arial"/>
          <w:i/>
          <w:sz w:val="18"/>
          <w:szCs w:val="18"/>
          <w:lang w:val="cs-CZ"/>
        </w:rPr>
        <w:t xml:space="preserve">Strategie českého zemědělství do roku 2030 uvádí cílovou míru soběstačnosti ve výši pro rok 2030 ve výši 100 %, </w:t>
      </w:r>
      <w:r w:rsidRPr="00310526">
        <w:rPr>
          <w:i/>
          <w:sz w:val="18"/>
          <w:szCs w:val="18"/>
          <w:lang w:val="cs-CZ"/>
        </w:rPr>
        <w:t>pokud se nic nezmění</w:t>
      </w:r>
      <w:r w:rsidRPr="00310526">
        <w:rPr>
          <w:rFonts w:eastAsia="Times New Roman" w:cs="Arial"/>
          <w:i/>
          <w:sz w:val="18"/>
          <w:szCs w:val="18"/>
          <w:lang w:val="cs-CZ"/>
        </w:rPr>
        <w:t>. V případě cukru je stanovena plocha cukrové řepy na úrovni 62 tis. ha, přičemž odhadovaná aktuální plocha (2021/22) dosahuje 63 tis. ha, z toho na výrobu cukru 57,7 tis. ha.</w:t>
      </w:r>
    </w:p>
  </w:footnote>
  <w:footnote w:id="19">
    <w:p w14:paraId="3D8B0C24" w14:textId="77777777" w:rsidR="00A16DDB" w:rsidRDefault="00A16DDB" w:rsidP="00A16DDB">
      <w:pPr>
        <w:pStyle w:val="Textpoznpodarou"/>
      </w:pPr>
      <w:r>
        <w:rPr>
          <w:rStyle w:val="Znakapoznpodarou"/>
        </w:rPr>
        <w:footnoteRef/>
      </w:r>
      <w:r>
        <w:t xml:space="preserve"> Kurzy ČNB</w:t>
      </w:r>
    </w:p>
  </w:footnote>
  <w:footnote w:id="20">
    <w:p w14:paraId="1A5D9959" w14:textId="77777777" w:rsidR="00A16DDB" w:rsidRDefault="00A16DDB" w:rsidP="00A16DDB">
      <w:pPr>
        <w:pStyle w:val="Textpoznpodarou"/>
      </w:pPr>
      <w:r>
        <w:rPr>
          <w:rStyle w:val="Znakapoznpodarou"/>
        </w:rPr>
        <w:footnoteRef/>
      </w:r>
      <w:r>
        <w:t xml:space="preserve"> </w:t>
      </w:r>
      <w:r w:rsidRPr="00031B12">
        <w:rPr>
          <w:i/>
          <w:sz w:val="18"/>
          <w:szCs w:val="18"/>
        </w:rPr>
        <w:t>Pramen: SPC Čech, dotazníkové šetření ÚZEI 2018</w:t>
      </w:r>
    </w:p>
  </w:footnote>
  <w:footnote w:id="21">
    <w:p w14:paraId="13D09DC3" w14:textId="77777777" w:rsidR="00A16DDB" w:rsidRPr="00DD25F4" w:rsidRDefault="00A16DDB" w:rsidP="00A16DDB">
      <w:pPr>
        <w:pStyle w:val="Textpoznpodarou"/>
        <w:rPr>
          <w:sz w:val="16"/>
        </w:rPr>
      </w:pPr>
      <w:r w:rsidRPr="00432AD9">
        <w:rPr>
          <w:rStyle w:val="Znakapoznpodarou"/>
          <w:sz w:val="16"/>
          <w:szCs w:val="16"/>
        </w:rPr>
        <w:footnoteRef/>
      </w:r>
      <w:r w:rsidRPr="00432AD9">
        <w:rPr>
          <w:sz w:val="16"/>
          <w:szCs w:val="16"/>
        </w:rPr>
        <w:t xml:space="preserve"> </w:t>
      </w:r>
      <w:r w:rsidRPr="00454DBE">
        <w:rPr>
          <w:i/>
          <w:sz w:val="16"/>
          <w:szCs w:val="16"/>
        </w:rPr>
        <w:t>Pramen: SPC Čech, dotazníkové šetření ÚZEI 2018</w:t>
      </w:r>
    </w:p>
  </w:footnote>
  <w:footnote w:id="22">
    <w:p w14:paraId="697745EE" w14:textId="77777777" w:rsidR="00A16DDB" w:rsidRPr="007B2030" w:rsidRDefault="00A16DDB" w:rsidP="00A16DDB">
      <w:pPr>
        <w:pStyle w:val="Textpoznpodarou"/>
        <w:rPr>
          <w:sz w:val="18"/>
          <w:szCs w:val="18"/>
        </w:rPr>
      </w:pPr>
      <w:r w:rsidRPr="007B2030">
        <w:rPr>
          <w:rStyle w:val="Znakapoznpodarou"/>
          <w:sz w:val="18"/>
          <w:szCs w:val="18"/>
        </w:rPr>
        <w:footnoteRef/>
      </w:r>
      <w:r w:rsidRPr="007B2030">
        <w:rPr>
          <w:sz w:val="18"/>
          <w:szCs w:val="18"/>
        </w:rPr>
        <w:t xml:space="preserve"> </w:t>
      </w:r>
      <w:r w:rsidRPr="007B2030">
        <w:rPr>
          <w:i/>
          <w:sz w:val="18"/>
          <w:szCs w:val="18"/>
        </w:rPr>
        <w:t>Proteinové plodiny: hrách, bob, lupina, sója, vojtěška, jetel.</w:t>
      </w:r>
    </w:p>
  </w:footnote>
  <w:footnote w:id="23">
    <w:p w14:paraId="1FC2AACF" w14:textId="77777777" w:rsidR="00A16DDB" w:rsidRPr="007B2030" w:rsidRDefault="00A16DDB" w:rsidP="00A16DDB">
      <w:pPr>
        <w:pStyle w:val="PageHeading"/>
        <w:widowControl/>
        <w:spacing w:before="0" w:after="0"/>
        <w:jc w:val="both"/>
        <w:rPr>
          <w:rFonts w:ascii="Times New Roman" w:hAnsi="Times New Roman"/>
          <w:b w:val="0"/>
          <w:i/>
          <w:sz w:val="18"/>
          <w:szCs w:val="18"/>
        </w:rPr>
      </w:pPr>
      <w:r w:rsidRPr="007B2030">
        <w:rPr>
          <w:rStyle w:val="Znakapoznpodarou"/>
          <w:rFonts w:ascii="Times New Roman" w:eastAsia="Calibri" w:hAnsi="Times New Roman"/>
          <w:b w:val="0"/>
          <w:i/>
          <w:sz w:val="18"/>
          <w:szCs w:val="18"/>
        </w:rPr>
        <w:footnoteRef/>
      </w:r>
      <w:r w:rsidRPr="007B2030">
        <w:rPr>
          <w:rFonts w:ascii="Times New Roman" w:hAnsi="Times New Roman"/>
          <w:b w:val="0"/>
          <w:sz w:val="18"/>
          <w:szCs w:val="18"/>
        </w:rPr>
        <w:t xml:space="preserve"> </w:t>
      </w:r>
      <w:r w:rsidRPr="007B2030">
        <w:rPr>
          <w:rFonts w:ascii="Times New Roman" w:hAnsi="Times New Roman"/>
          <w:b w:val="0"/>
          <w:i/>
          <w:sz w:val="18"/>
          <w:szCs w:val="18"/>
        </w:rPr>
        <w:t>Návrh usnesení Evropského parlamentu o Evropské strategii na podporu bílkovinných plodin – podpora produkce bílkovinných plodin a luskovin v evropském odvětví zemědělství (2017/2116(INI)) ze dne 10.10.2017</w:t>
      </w:r>
    </w:p>
    <w:p w14:paraId="0A1F7788" w14:textId="77777777" w:rsidR="00A16DDB" w:rsidRPr="00D574BE" w:rsidRDefault="00A16DDB" w:rsidP="00A16DDB">
      <w:pPr>
        <w:pStyle w:val="Textpoznpodarou"/>
      </w:pPr>
    </w:p>
  </w:footnote>
  <w:footnote w:id="24">
    <w:p w14:paraId="4EB3A08A" w14:textId="77777777" w:rsidR="00A16DDB" w:rsidRPr="00355718" w:rsidRDefault="00A16DDB" w:rsidP="00A16DDB">
      <w:pPr>
        <w:pStyle w:val="Textpoznpodarou"/>
        <w:rPr>
          <w:sz w:val="18"/>
          <w:szCs w:val="18"/>
        </w:rPr>
      </w:pPr>
      <w:r w:rsidRPr="00355718">
        <w:rPr>
          <w:rStyle w:val="Znakapoznpodarou"/>
          <w:sz w:val="18"/>
          <w:szCs w:val="18"/>
        </w:rPr>
        <w:footnoteRef/>
      </w:r>
      <w:r w:rsidRPr="00355718">
        <w:rPr>
          <w:sz w:val="18"/>
          <w:szCs w:val="18"/>
        </w:rPr>
        <w:t xml:space="preserve"> </w:t>
      </w:r>
      <w:r w:rsidRPr="00355718">
        <w:rPr>
          <w:i/>
          <w:sz w:val="18"/>
          <w:szCs w:val="18"/>
        </w:rPr>
        <w:t>Nařízení Komise č. 503/2007 ze dne 8. května 2007.</w:t>
      </w:r>
    </w:p>
  </w:footnote>
  <w:footnote w:id="25">
    <w:p w14:paraId="5C229B4F" w14:textId="77777777" w:rsidR="00A16DDB" w:rsidRPr="00463626" w:rsidRDefault="00A16DDB" w:rsidP="00A16DDB">
      <w:pPr>
        <w:pStyle w:val="Textpoznpodarou"/>
        <w:rPr>
          <w:i/>
        </w:rPr>
      </w:pPr>
      <w:r w:rsidRPr="00355718">
        <w:rPr>
          <w:rStyle w:val="Znakapoznpodarou"/>
          <w:sz w:val="18"/>
          <w:szCs w:val="18"/>
        </w:rPr>
        <w:footnoteRef/>
      </w:r>
      <w:r w:rsidRPr="00355718">
        <w:rPr>
          <w:i/>
          <w:sz w:val="18"/>
          <w:szCs w:val="18"/>
        </w:rPr>
        <w:t xml:space="preserve"> Propočty pracovní náročnosti jsou provedeny na bázi modelu Rent 4. Vlastní pracovní náročnost je odvozena od výše osobních nákladů na ha z. p. dané komodity a vybilancovaná na celý rozsah zemědělské produkce.</w:t>
      </w:r>
    </w:p>
  </w:footnote>
  <w:footnote w:id="26">
    <w:p w14:paraId="36AD02FC" w14:textId="77777777" w:rsidR="00A16DDB" w:rsidRPr="004A5095" w:rsidRDefault="00A16DDB" w:rsidP="00A16DDB">
      <w:pPr>
        <w:pStyle w:val="Textpoznpodarou"/>
        <w:rPr>
          <w:i/>
          <w:sz w:val="18"/>
          <w:szCs w:val="18"/>
        </w:rPr>
      </w:pPr>
      <w:r w:rsidRPr="004A5095">
        <w:rPr>
          <w:rStyle w:val="Znakapoznpodarou"/>
          <w:i/>
          <w:sz w:val="18"/>
          <w:szCs w:val="18"/>
        </w:rPr>
        <w:footnoteRef/>
      </w:r>
      <w:r w:rsidRPr="004A5095">
        <w:rPr>
          <w:sz w:val="18"/>
          <w:szCs w:val="18"/>
        </w:rPr>
        <w:t xml:space="preserve"> </w:t>
      </w:r>
      <w:r w:rsidRPr="004A5095">
        <w:rPr>
          <w:i/>
          <w:sz w:val="18"/>
          <w:szCs w:val="18"/>
        </w:rPr>
        <w:t>J.Poláčková: Ekonomika pěstování konopí setého pro produkci vlákna v ČR, TÚ ÚZEI, 2008</w:t>
      </w:r>
      <w:r w:rsidRPr="004A5095">
        <w:rPr>
          <w:rFonts w:cs="Arial"/>
          <w:i/>
          <w:sz w:val="18"/>
          <w:szCs w:val="18"/>
        </w:rPr>
        <w:t>.</w:t>
      </w:r>
    </w:p>
  </w:footnote>
  <w:footnote w:id="27">
    <w:p w14:paraId="26585CDC" w14:textId="77777777" w:rsidR="00A16DDB" w:rsidRPr="00271D52" w:rsidRDefault="00A16DDB" w:rsidP="00A16DDB">
      <w:pPr>
        <w:pStyle w:val="Textpoznpodarou"/>
        <w:rPr>
          <w:sz w:val="18"/>
          <w:szCs w:val="18"/>
        </w:rPr>
      </w:pPr>
      <w:r>
        <w:rPr>
          <w:rStyle w:val="Znakapoznpodarou"/>
        </w:rPr>
        <w:footnoteRef/>
      </w:r>
      <w:r>
        <w:t xml:space="preserve"> </w:t>
      </w:r>
      <w:r w:rsidRPr="00837879">
        <w:rPr>
          <w:i/>
          <w:sz w:val="18"/>
          <w:szCs w:val="18"/>
        </w:rPr>
        <w:t>V metodice nejsou dokonale podchyceny příjmy za maso. Ve skupině podniků s podprůměrnými výsledky je výrazně více dojnic kombinovaného plemene než ve zbylých dvou skupinách.  Proto lze u zmíněné skupiny předpokládat vyšší příjmy za maso než ve zbylých dvou skupinách, a tím určitou kompenzaci horších výsledků v přepočtu na litr mléka.</w:t>
      </w:r>
    </w:p>
  </w:footnote>
  <w:footnote w:id="28">
    <w:p w14:paraId="26EF1933" w14:textId="77777777" w:rsidR="00A16DDB" w:rsidRPr="001D7BC9" w:rsidRDefault="00A16DDB" w:rsidP="00A16DDB">
      <w:pPr>
        <w:pStyle w:val="Odstavecseseznamem"/>
        <w:spacing w:after="120" w:line="240" w:lineRule="atLeast"/>
        <w:ind w:left="0"/>
        <w:rPr>
          <w:i/>
        </w:rPr>
      </w:pPr>
      <w:r w:rsidRPr="001D7BC9">
        <w:rPr>
          <w:rStyle w:val="Znakapoznpodarou"/>
          <w:i/>
        </w:rPr>
        <w:footnoteRef/>
      </w:r>
      <w:r w:rsidRPr="001D7BC9">
        <w:rPr>
          <w:i/>
        </w:rPr>
        <w:t xml:space="preserve"> </w:t>
      </w:r>
      <w:r w:rsidRPr="001D7BC9">
        <w:rPr>
          <w:i/>
          <w:sz w:val="18"/>
          <w:szCs w:val="18"/>
        </w:rPr>
        <w:t>AMA  Gütesiegel  je úředně uznaná značka kvality, která je spravována a kontrolována společností  Agrarmarkt Austria Marketing GesmbH.. Je chráněna jako registrovaná slovní a obrazová značka. Mohou jí být označeny potraviny, které překračují kvalitativní zákonné požadavky a jejichž původ je konkrétně vysledovatelný. AMA – Gütesiegel je nejznámější značkou kvality potravin v Rakousku. Je založena na třech pilířích – vysoká kvalita, dohledatelný původ a nezávislá kontrola. Zavedení systému sledování kvality navazuje na úkoly společnosti Agrarmarkt  Austria založené roku 1992 Spolkovým zákonem o zřízení agentury tržního pořádku „Agrarmarkt Austria“</w:t>
      </w:r>
      <w:r w:rsidRPr="001D7BC9">
        <w:rPr>
          <w:rStyle w:val="Znakapoznpodarou"/>
          <w:i/>
          <w:sz w:val="18"/>
          <w:szCs w:val="18"/>
        </w:rPr>
        <w:footnoteRef/>
      </w:r>
      <w:r w:rsidRPr="001D7BC9">
        <w:rPr>
          <w:i/>
          <w:sz w:val="18"/>
          <w:szCs w:val="18"/>
        </w:rPr>
        <w:t>, uvedené v tomto zákoně, kdy podle § 3 AMA naplňuje mimo jiné tyto následující úkoly: i) Opatření ke zvyšování kvality, zejména vývoj a zavádění směrnic kvality pro zemědělské produkty a z nich vyráběné zpracované produkty.) Podpora zemědělského marketingu. V roce 2015 se programu účastnilo zhruba 47 tis. zemědělců, 250 zpracovatelů a systém pokrýval zhruba 3 000 výrobků. </w:t>
      </w:r>
    </w:p>
  </w:footnote>
  <w:footnote w:id="29">
    <w:p w14:paraId="3DA672A0" w14:textId="77777777" w:rsidR="00A16DDB" w:rsidRPr="005C5778" w:rsidRDefault="00A16DDB" w:rsidP="00A16DDB">
      <w:pPr>
        <w:spacing w:after="120" w:line="240" w:lineRule="atLeast"/>
        <w:rPr>
          <w:i/>
          <w:sz w:val="18"/>
          <w:szCs w:val="18"/>
          <w:lang w:val="cs-CZ"/>
        </w:rPr>
      </w:pPr>
      <w:r w:rsidRPr="005C5778">
        <w:rPr>
          <w:rStyle w:val="Znakapoznpodarou"/>
          <w:i/>
          <w:lang w:val="cs-CZ"/>
        </w:rPr>
        <w:footnoteRef/>
      </w:r>
      <w:r w:rsidRPr="005C5778">
        <w:rPr>
          <w:i/>
          <w:lang w:val="cs-CZ"/>
        </w:rPr>
        <w:t xml:space="preserve"> </w:t>
      </w:r>
      <w:r w:rsidRPr="005C5778">
        <w:rPr>
          <w:i/>
          <w:sz w:val="18"/>
          <w:szCs w:val="18"/>
          <w:lang w:val="cs-CZ"/>
        </w:rPr>
        <w:t>QS je soukromá, ekonomicky řízená iniciativa, založená v Německu společností QS Qualität und Sicherheit GmbH, která byla založena v roce 2001 po krizi BSE. Od svého vzniku se QS považuje za alianci aktivní ochrany spotřebitele. Systém byl spuštěn 13. října 2001. Značka certifikace QS byla zapsána do rejstříku ochranných známek německého Úřadu pro patenty a Úřadu pro ochranné známky v Mnichově, dále Úřadem pro harmonizaci vnitřního trhu v Alicante a Světovým úřadem pro duševní vlastnictví (WIPO) v Ženevě a je chráněna zákonem o ochranných známkách. QS označuje Quality and food Safety – Kvalitu a bezpečnost potravin. Systém poskytuje komplexní záruku, která zahrnuje všechny úrovně potravinového řetězce, od prvovýroby, přes zpracovatele a prodej až po konečného spotřebitele (včetně přepravy, skladování). Označením certifikací QS ukazují</w:t>
      </w:r>
      <w:r w:rsidRPr="005C5778">
        <w:rPr>
          <w:i/>
          <w:lang w:val="cs-CZ"/>
        </w:rPr>
        <w:t xml:space="preserve"> </w:t>
      </w:r>
      <w:r w:rsidRPr="005C5778">
        <w:rPr>
          <w:i/>
          <w:sz w:val="18"/>
          <w:szCs w:val="18"/>
          <w:lang w:val="cs-CZ"/>
        </w:rPr>
        <w:t>účastníci tohoto programu, že produkují a prodávají své výrobky exkluzivně v souladu s požadavky programu QS.</w:t>
      </w:r>
    </w:p>
    <w:p w14:paraId="35882756" w14:textId="77777777" w:rsidR="00A16DDB" w:rsidRDefault="00A16DDB" w:rsidP="00A16DDB">
      <w:pPr>
        <w:pStyle w:val="Textpoznpodarou"/>
        <w:ind w:left="851"/>
      </w:pPr>
    </w:p>
  </w:footnote>
  <w:footnote w:id="30">
    <w:p w14:paraId="4359E575" w14:textId="77777777" w:rsidR="00A16DDB" w:rsidRPr="00264FBA" w:rsidRDefault="00A16DDB" w:rsidP="00A16DDB">
      <w:pPr>
        <w:pStyle w:val="Textpoznpodarou"/>
        <w:rPr>
          <w:i/>
        </w:rPr>
      </w:pPr>
      <w:r w:rsidRPr="00264FBA">
        <w:rPr>
          <w:rStyle w:val="Znakapoznpodarou"/>
          <w:i/>
        </w:rPr>
        <w:footnoteRef/>
      </w:r>
      <w:r w:rsidRPr="00264FBA">
        <w:rPr>
          <w:i/>
        </w:rPr>
        <w:t xml:space="preserve"> Dle údajů dotazníkového šetření masného zpracovatelského průmyslu</w:t>
      </w:r>
    </w:p>
  </w:footnote>
  <w:footnote w:id="31">
    <w:p w14:paraId="6AC4A3D3" w14:textId="77777777" w:rsidR="00A16DDB" w:rsidRDefault="00A16DDB" w:rsidP="00A16DDB">
      <w:pPr>
        <w:pStyle w:val="Textpoznpodarou"/>
      </w:pPr>
      <w:r w:rsidRPr="00264FBA">
        <w:rPr>
          <w:rStyle w:val="Znakapoznpodarou"/>
          <w:i/>
        </w:rPr>
        <w:footnoteRef/>
      </w:r>
      <w:r w:rsidRPr="00264FBA">
        <w:rPr>
          <w:i/>
        </w:rPr>
        <w:t xml:space="preserve"> Podniky s koncentrací vykrmovaného skotu nad 10 ks.</w:t>
      </w:r>
    </w:p>
  </w:footnote>
  <w:footnote w:id="32">
    <w:p w14:paraId="14CDCC31" w14:textId="77777777" w:rsidR="00A16DDB" w:rsidRPr="00FA5532" w:rsidRDefault="00A16DDB" w:rsidP="00A16DDB">
      <w:pPr>
        <w:pStyle w:val="Textpoznpodarou"/>
        <w:rPr>
          <w:i/>
        </w:rPr>
      </w:pPr>
      <w:r w:rsidRPr="00FA5532">
        <w:rPr>
          <w:rStyle w:val="Znakapoznpodarou"/>
          <w:i/>
        </w:rPr>
        <w:footnoteRef/>
      </w:r>
      <w:r w:rsidRPr="00FA5532">
        <w:rPr>
          <w:i/>
        </w:rPr>
        <w:t xml:space="preserve"> Údaje za respondenty – zemědělské podniky s výkrmem skotu dle šetření ÚZEI </w:t>
      </w:r>
    </w:p>
  </w:footnote>
  <w:footnote w:id="33">
    <w:p w14:paraId="361F34EA" w14:textId="77777777" w:rsidR="00A16DDB" w:rsidRPr="00207935" w:rsidRDefault="00A16DDB" w:rsidP="00A16DDB">
      <w:pPr>
        <w:pStyle w:val="Textpoznpodarou"/>
        <w:rPr>
          <w:i/>
          <w:sz w:val="18"/>
          <w:szCs w:val="18"/>
        </w:rPr>
      </w:pPr>
      <w:r>
        <w:rPr>
          <w:rStyle w:val="Znakapoznpodarou"/>
        </w:rPr>
        <w:footnoteRef/>
      </w:r>
      <w:r>
        <w:t xml:space="preserve"> </w:t>
      </w:r>
      <w:r w:rsidRPr="00207935">
        <w:rPr>
          <w:i/>
          <w:sz w:val="18"/>
          <w:szCs w:val="18"/>
        </w:rPr>
        <w:t>V rámci přímých plateb jsou od roku 2015 podporovány ze zdrojů EU vybrané citlivé sektory prostřednictvím dobrovolné podpory vázané na produkci (VCS). Jedná se pouze o taková odvětví zemědělské výroby, která čelí určitým obtížím, a přitom jsou obzvláště důležitá z hospodářských, sociálních nebo environmentálních důvodů. VCS navazuje na podporu vyplácenou v předchozích letech na citlivé komodity uplatňovanou podle čl. 68, nicméně je rozšířena o některá další odvětví rostlinné a živočišné výroby</w:t>
      </w:r>
    </w:p>
  </w:footnote>
  <w:footnote w:id="34">
    <w:p w14:paraId="663DC8ED" w14:textId="22294968" w:rsidR="00A16DDB" w:rsidRPr="00207935" w:rsidRDefault="00A16DDB" w:rsidP="00A16DDB">
      <w:pPr>
        <w:pStyle w:val="Textpoznpodarou"/>
        <w:rPr>
          <w:i/>
          <w:sz w:val="18"/>
          <w:szCs w:val="18"/>
        </w:rPr>
      </w:pPr>
      <w:r>
        <w:rPr>
          <w:rStyle w:val="Znakapoznpodarou"/>
        </w:rPr>
        <w:footnoteRef/>
      </w:r>
      <w:r>
        <w:t xml:space="preserve"> </w:t>
      </w:r>
      <w:r w:rsidRPr="00207935">
        <w:rPr>
          <w:i/>
          <w:sz w:val="18"/>
          <w:szCs w:val="18"/>
        </w:rPr>
        <w:t>Užitkovost – údaje podle ÚZEI Výběrové šetření o nákladech a výnosech zemědělských výrobků za rok 201</w:t>
      </w:r>
      <w:r>
        <w:rPr>
          <w:i/>
          <w:sz w:val="18"/>
          <w:szCs w:val="18"/>
        </w:rPr>
        <w:t>6</w:t>
      </w:r>
      <w:r w:rsidRPr="00207935">
        <w:rPr>
          <w:i/>
          <w:sz w:val="18"/>
          <w:szCs w:val="18"/>
        </w:rPr>
        <w:noBreakHyphen/>
        <w:t>201</w:t>
      </w:r>
      <w:r>
        <w:rPr>
          <w:i/>
          <w:sz w:val="18"/>
          <w:szCs w:val="18"/>
        </w:rPr>
        <w:t>9, odhad 2020.</w:t>
      </w:r>
    </w:p>
  </w:footnote>
  <w:footnote w:id="35">
    <w:p w14:paraId="6B5216B8" w14:textId="77777777" w:rsidR="00A16DDB" w:rsidRPr="00207935" w:rsidRDefault="00A16DDB" w:rsidP="00A16DDB">
      <w:pPr>
        <w:pStyle w:val="Textpoznpodarou"/>
        <w:rPr>
          <w:i/>
          <w:sz w:val="18"/>
          <w:szCs w:val="18"/>
        </w:rPr>
      </w:pPr>
      <w:r>
        <w:rPr>
          <w:rStyle w:val="Znakapoznpodarou"/>
        </w:rPr>
        <w:footnoteRef/>
      </w:r>
      <w:r>
        <w:t xml:space="preserve"> </w:t>
      </w:r>
      <w:r w:rsidRPr="00207935">
        <w:rPr>
          <w:i/>
          <w:sz w:val="18"/>
          <w:szCs w:val="18"/>
        </w:rPr>
        <w:t>Dle údajů ÚZEI z Výběrového šetření o nákladech a výnosech zemědělských výrobků za rok 2014-2017 za 1/3 nejlepších podniků</w:t>
      </w:r>
    </w:p>
  </w:footnote>
  <w:footnote w:id="36">
    <w:p w14:paraId="473E7CE4" w14:textId="77777777" w:rsidR="00A16DDB" w:rsidRPr="005C5778" w:rsidRDefault="00A16DDB" w:rsidP="00A16DDB">
      <w:pPr>
        <w:rPr>
          <w:i/>
          <w:sz w:val="18"/>
          <w:szCs w:val="18"/>
          <w:lang w:val="cs-CZ"/>
        </w:rPr>
      </w:pPr>
      <w:r w:rsidRPr="005C5778">
        <w:rPr>
          <w:rStyle w:val="Znakapoznpodarou"/>
          <w:i/>
          <w:sz w:val="18"/>
          <w:szCs w:val="18"/>
          <w:lang w:val="cs-CZ"/>
        </w:rPr>
        <w:footnoteRef/>
      </w:r>
      <w:r w:rsidRPr="005C5778">
        <w:rPr>
          <w:i/>
          <w:sz w:val="18"/>
          <w:szCs w:val="18"/>
          <w:lang w:val="cs-CZ"/>
        </w:rPr>
        <w:t xml:space="preserve"> CZV predikovány na základě odhadů cenového vývoje hovězího masa v EU podle zdroje: Agricultural outlook for markets and income 2018-2030</w:t>
      </w:r>
    </w:p>
    <w:p w14:paraId="434A0DF8" w14:textId="77777777" w:rsidR="00A16DDB" w:rsidRDefault="00A16DDB" w:rsidP="00A16DDB">
      <w:pPr>
        <w:pStyle w:val="Textpoznpodarou"/>
      </w:pPr>
    </w:p>
  </w:footnote>
  <w:footnote w:id="37">
    <w:p w14:paraId="0B06C674" w14:textId="77777777" w:rsidR="00A16DDB" w:rsidRPr="00691DB0" w:rsidRDefault="00A16DDB" w:rsidP="00A16DDB">
      <w:pPr>
        <w:pStyle w:val="Textpoznpodarou"/>
        <w:rPr>
          <w:i/>
        </w:rPr>
      </w:pPr>
      <w:r w:rsidRPr="00691DB0">
        <w:rPr>
          <w:rStyle w:val="Znakapoznpodarou"/>
          <w:i/>
        </w:rPr>
        <w:footnoteRef/>
      </w:r>
      <w:r w:rsidRPr="00691DB0">
        <w:rPr>
          <w:i/>
        </w:rPr>
        <w:t xml:space="preserve"> </w:t>
      </w:r>
      <w:r w:rsidRPr="00DA5045">
        <w:rPr>
          <w:i/>
          <w:sz w:val="18"/>
        </w:rPr>
        <w:t>Mezinárodní srovnání nákladů ve výkrmu prasat bylo zpracováno na základě podkladů z mezinárodní sítě InterPig, ve které je ČR členem od roku 2011. Data za ČR vycházejí z Výběrového šetření nákladů ÚZEI a výsledky představují průměrné hodnoty za 60-70 podniků.</w:t>
      </w:r>
    </w:p>
  </w:footnote>
  <w:footnote w:id="38">
    <w:p w14:paraId="1DF7FE13" w14:textId="77777777" w:rsidR="00A16DDB" w:rsidRPr="00FA5532" w:rsidRDefault="00A16DDB" w:rsidP="00A16DDB">
      <w:pPr>
        <w:pStyle w:val="Textpoznpodarou"/>
        <w:rPr>
          <w:i/>
          <w:sz w:val="18"/>
          <w:szCs w:val="18"/>
        </w:rPr>
      </w:pPr>
      <w:r w:rsidRPr="00FA5532">
        <w:rPr>
          <w:rStyle w:val="Znakapoznpodarou"/>
          <w:i/>
          <w:sz w:val="18"/>
          <w:szCs w:val="18"/>
        </w:rPr>
        <w:footnoteRef/>
      </w:r>
      <w:r>
        <w:rPr>
          <w:i/>
          <w:sz w:val="18"/>
          <w:szCs w:val="18"/>
        </w:rPr>
        <w:t xml:space="preserve"> </w:t>
      </w:r>
      <w:r w:rsidRPr="001A237E">
        <w:rPr>
          <w:i/>
          <w:sz w:val="18"/>
          <w:szCs w:val="18"/>
        </w:rPr>
        <w:t>V mezinárodní</w:t>
      </w:r>
      <w:r>
        <w:rPr>
          <w:i/>
          <w:sz w:val="18"/>
          <w:szCs w:val="18"/>
        </w:rPr>
        <w:t xml:space="preserve"> síti</w:t>
      </w:r>
      <w:r w:rsidRPr="001A237E">
        <w:rPr>
          <w:i/>
          <w:sz w:val="18"/>
          <w:szCs w:val="18"/>
        </w:rPr>
        <w:t> porovnání nákladů InterPig jsou náklady uváděny za všechny země v eurech. V případě zemí mimo eurozónu (ČR, Maďarsko, Dánsko) pak ovlivňuje</w:t>
      </w:r>
      <w:r>
        <w:rPr>
          <w:i/>
          <w:sz w:val="18"/>
          <w:szCs w:val="18"/>
        </w:rPr>
        <w:t xml:space="preserve"> </w:t>
      </w:r>
      <w:r w:rsidRPr="001A237E">
        <w:rPr>
          <w:i/>
          <w:sz w:val="18"/>
          <w:szCs w:val="18"/>
        </w:rPr>
        <w:t xml:space="preserve">jejich </w:t>
      </w:r>
      <w:r>
        <w:rPr>
          <w:i/>
          <w:sz w:val="18"/>
          <w:szCs w:val="18"/>
        </w:rPr>
        <w:t>úroveň</w:t>
      </w:r>
      <w:r w:rsidRPr="00FA5532">
        <w:rPr>
          <w:i/>
          <w:sz w:val="18"/>
          <w:szCs w:val="18"/>
        </w:rPr>
        <w:t xml:space="preserve"> i</w:t>
      </w:r>
      <w:r>
        <w:rPr>
          <w:i/>
          <w:sz w:val="18"/>
          <w:szCs w:val="18"/>
        </w:rPr>
        <w:t xml:space="preserve"> </w:t>
      </w:r>
      <w:r w:rsidRPr="00FA5532">
        <w:rPr>
          <w:i/>
          <w:sz w:val="18"/>
          <w:szCs w:val="18"/>
        </w:rPr>
        <w:t>kurz</w:t>
      </w:r>
      <w:r>
        <w:rPr>
          <w:i/>
          <w:sz w:val="18"/>
          <w:szCs w:val="18"/>
        </w:rPr>
        <w:t xml:space="preserve"> národní měny vůči euru.</w:t>
      </w:r>
    </w:p>
  </w:footnote>
  <w:footnote w:id="39">
    <w:p w14:paraId="4DDADFA4" w14:textId="77777777" w:rsidR="00A16DDB" w:rsidRPr="009E5D07" w:rsidRDefault="00A16DDB" w:rsidP="00A16DDB">
      <w:pPr>
        <w:pStyle w:val="Nadpis1"/>
        <w:spacing w:before="0"/>
        <w:rPr>
          <w:b w:val="0"/>
          <w:bCs w:val="0"/>
          <w:i/>
          <w:sz w:val="18"/>
        </w:rPr>
      </w:pPr>
      <w:r w:rsidRPr="009E5D07">
        <w:rPr>
          <w:rStyle w:val="Znakapoznpodarou"/>
          <w:b w:val="0"/>
          <w:bCs w:val="0"/>
          <w:i/>
          <w:sz w:val="18"/>
        </w:rPr>
        <w:footnoteRef/>
      </w:r>
      <w:r w:rsidRPr="009E5D07">
        <w:rPr>
          <w:b w:val="0"/>
          <w:bCs w:val="0"/>
        </w:rPr>
        <w:t xml:space="preserve"> </w:t>
      </w:r>
      <w:r w:rsidRPr="009E5D07">
        <w:rPr>
          <w:b w:val="0"/>
          <w:bCs w:val="0"/>
          <w:i/>
          <w:sz w:val="18"/>
        </w:rPr>
        <w:t xml:space="preserve">DGL - </w:t>
      </w:r>
      <w:r w:rsidRPr="009E5D07">
        <w:rPr>
          <w:b w:val="0"/>
          <w:bCs w:val="0"/>
          <w:i/>
          <w:sz w:val="18"/>
          <w:szCs w:val="18"/>
        </w:rPr>
        <w:t>LG e.V. Otevřená síť a profesionální hlas zemědělství, agropotravinářského průmyslu prostřednictvím svých znalostí, kvality a přenosu technologií podporuje pokrok v zemědělském, zemědělsko-potravinářském odvětví na celém světě a přispívá k udržitelnému zajištění celosvětového živobytí. Jako otevřená mezinárodní síť spolupracuje DLG s odborníky z celého světa na vývoji řešení orientovaných na budoucnost v oblasti výzev tohoto odvětví.</w:t>
      </w:r>
    </w:p>
    <w:p w14:paraId="60C26E05" w14:textId="77777777" w:rsidR="00A16DDB" w:rsidRDefault="00A16DDB" w:rsidP="00A16DDB">
      <w:pPr>
        <w:pStyle w:val="Textpoznpodarou"/>
      </w:pPr>
    </w:p>
  </w:footnote>
  <w:footnote w:id="40">
    <w:p w14:paraId="1E038EAF" w14:textId="77777777" w:rsidR="00A16DDB" w:rsidRPr="00162C17" w:rsidRDefault="00A16DDB" w:rsidP="00A16DDB">
      <w:pPr>
        <w:pStyle w:val="Textpoznpodarou"/>
        <w:rPr>
          <w:rFonts w:asciiTheme="minorHAnsi" w:hAnsiTheme="minorHAnsi"/>
          <w:i/>
        </w:rPr>
      </w:pPr>
      <w:r w:rsidRPr="00162C17">
        <w:rPr>
          <w:rStyle w:val="Znakapoznpodarou"/>
          <w:rFonts w:asciiTheme="minorHAnsi" w:hAnsiTheme="minorHAnsi"/>
        </w:rPr>
        <w:footnoteRef/>
      </w:r>
      <w:r w:rsidRPr="00162C17">
        <w:rPr>
          <w:rFonts w:asciiTheme="minorHAnsi" w:hAnsiTheme="minorHAnsi"/>
        </w:rPr>
        <w:t xml:space="preserve"> </w:t>
      </w:r>
      <w:r w:rsidRPr="00162C17">
        <w:rPr>
          <w:rFonts w:asciiTheme="minorHAnsi" w:hAnsiTheme="minorHAnsi"/>
          <w:i/>
        </w:rPr>
        <w:t>Ihr Prüfsystem für Lebensmittel (QS</w:t>
      </w:r>
      <w:r w:rsidRPr="00162C17">
        <w:rPr>
          <w:rFonts w:asciiTheme="minorHAnsi" w:hAnsiTheme="minorHAnsi"/>
          <w:i/>
        </w:rPr>
        <w:noBreakHyphen/>
        <w:t>Systém kvality potravin)</w:t>
      </w:r>
    </w:p>
  </w:footnote>
  <w:footnote w:id="41">
    <w:p w14:paraId="09859363" w14:textId="77777777" w:rsidR="00A16DDB" w:rsidRPr="009A1C4F" w:rsidRDefault="00A16DDB" w:rsidP="00A16DDB">
      <w:pPr>
        <w:ind w:left="360" w:hanging="360"/>
        <w:rPr>
          <w:i/>
          <w:iCs/>
          <w:sz w:val="18"/>
          <w:lang w:val="cs-CZ"/>
        </w:rPr>
      </w:pPr>
      <w:r w:rsidRPr="009A1C4F">
        <w:rPr>
          <w:rStyle w:val="Znakapoznpodarou"/>
          <w:i/>
          <w:iCs/>
          <w:lang w:val="cs-CZ"/>
        </w:rPr>
        <w:footnoteRef/>
      </w:r>
      <w:r w:rsidRPr="009A1C4F">
        <w:rPr>
          <w:i/>
          <w:iCs/>
          <w:lang w:val="cs-CZ"/>
        </w:rPr>
        <w:t xml:space="preserve"> </w:t>
      </w:r>
      <w:r w:rsidRPr="009A1C4F">
        <w:rPr>
          <w:i/>
          <w:iCs/>
          <w:sz w:val="18"/>
          <w:lang w:val="cs-CZ"/>
        </w:rPr>
        <w:t>Strategie resortu Ministerstva zemědělství České republiky s výhledem do roku 2030</w:t>
      </w:r>
    </w:p>
  </w:footnote>
  <w:footnote w:id="42">
    <w:p w14:paraId="6473FF33" w14:textId="77777777" w:rsidR="00A16DDB" w:rsidRPr="003A383D" w:rsidRDefault="00A16DDB" w:rsidP="00A16DDB">
      <w:pPr>
        <w:pStyle w:val="Textpoznpodarou"/>
        <w:rPr>
          <w:i/>
        </w:rPr>
      </w:pPr>
      <w:r w:rsidRPr="009A1C4F">
        <w:rPr>
          <w:rStyle w:val="Znakapoznpodarou"/>
          <w:i/>
          <w:iCs/>
        </w:rPr>
        <w:footnoteRef/>
      </w:r>
      <w:r w:rsidRPr="009A1C4F">
        <w:rPr>
          <w:i/>
          <w:iCs/>
        </w:rPr>
        <w:t xml:space="preserve"> </w:t>
      </w:r>
      <w:r w:rsidRPr="009A1C4F">
        <w:rPr>
          <w:i/>
          <w:iCs/>
          <w:sz w:val="18"/>
          <w:szCs w:val="18"/>
        </w:rPr>
        <w:t>Propočty pracovní náročnosti jsou provedeny na bázi modelu Rent 4. Vlastní pracovní náročnost je odvozena od výše osobních nákladů na ha z. p. dané komodity a vybilancovaná na celý rozsah zemědělské produkce.</w:t>
      </w:r>
    </w:p>
  </w:footnote>
  <w:footnote w:id="43">
    <w:p w14:paraId="5112373F" w14:textId="77777777" w:rsidR="00A16DDB" w:rsidRPr="00024FCF" w:rsidRDefault="00A16DDB" w:rsidP="00A16DDB">
      <w:pPr>
        <w:pStyle w:val="Textpoznpodarou"/>
        <w:rPr>
          <w:i/>
          <w:iCs/>
        </w:rPr>
      </w:pPr>
      <w:r w:rsidRPr="00024FCF">
        <w:rPr>
          <w:rStyle w:val="Znakapoznpodarou"/>
          <w:i/>
          <w:iCs/>
        </w:rPr>
        <w:footnoteRef/>
      </w:r>
      <w:r w:rsidRPr="00024FCF">
        <w:rPr>
          <w:i/>
          <w:iCs/>
        </w:rPr>
        <w:t xml:space="preserve"> Nařízení vlády č. 655/2004, v návaznosti na předpisy EU – NR (ES) č. 1257/199 a NK (ES) č. 817/2004 </w:t>
      </w:r>
    </w:p>
  </w:footnote>
  <w:footnote w:id="44">
    <w:p w14:paraId="42DE3F0F" w14:textId="6B600D33" w:rsidR="00A16DDB" w:rsidRPr="005C5778" w:rsidRDefault="00A16DDB" w:rsidP="00A16DDB">
      <w:pPr>
        <w:spacing w:after="200" w:line="276" w:lineRule="auto"/>
        <w:rPr>
          <w:rFonts w:eastAsia="Times New Roman" w:cs="Arial"/>
          <w:i/>
          <w:szCs w:val="24"/>
          <w:lang w:val="cs-CZ"/>
        </w:rPr>
      </w:pPr>
      <w:r w:rsidRPr="005C5778">
        <w:rPr>
          <w:rStyle w:val="Znakapoznpodarou"/>
          <w:i/>
          <w:lang w:val="cs-CZ"/>
        </w:rPr>
        <w:footnoteRef/>
      </w:r>
      <w:r w:rsidRPr="005C5778">
        <w:rPr>
          <w:i/>
          <w:lang w:val="cs-CZ"/>
        </w:rPr>
        <w:t xml:space="preserve"> </w:t>
      </w:r>
      <w:r w:rsidRPr="005C5778">
        <w:rPr>
          <w:rFonts w:eastAsia="Times New Roman" w:cs="Arial"/>
          <w:i/>
          <w:sz w:val="20"/>
          <w:szCs w:val="24"/>
          <w:lang w:val="cs-CZ"/>
        </w:rPr>
        <w:t>Strategie českého zemědělství do roku 2030 uvádí cílovou míru soběstačnosti ve výši 80 % pro rok 2020 v případě drůbežího masa, přičemž aktuální úroveň dosahuje 65 %. V případě vajec 85 %, přičemž aktuální úroveň dosahuje 90 %.</w:t>
      </w:r>
    </w:p>
    <w:p w14:paraId="6325EDC0" w14:textId="77777777" w:rsidR="00A16DDB" w:rsidRPr="00526F28" w:rsidRDefault="00A16DDB" w:rsidP="00A16DDB">
      <w:pPr>
        <w:pStyle w:val="Textpoznpodarou"/>
        <w:rPr>
          <w:i/>
        </w:rPr>
      </w:pPr>
    </w:p>
  </w:footnote>
  <w:footnote w:id="45">
    <w:p w14:paraId="411ECDA5" w14:textId="77777777" w:rsidR="00A16DDB" w:rsidRPr="007A4B6A" w:rsidRDefault="00A16DDB" w:rsidP="00A16DDB">
      <w:pPr>
        <w:pStyle w:val="Textpoznpodarou"/>
        <w:rPr>
          <w:i/>
        </w:rPr>
      </w:pPr>
      <w:r w:rsidRPr="007A4B6A">
        <w:rPr>
          <w:rStyle w:val="Znakapoznpodarou"/>
          <w:i/>
        </w:rPr>
        <w:footnoteRef/>
      </w:r>
      <w:r w:rsidRPr="007A4B6A">
        <w:rPr>
          <w:i/>
        </w:rPr>
        <w:t xml:space="preserve"> Suma podpor v odvětví drůbeže činí okolo 1 mld. Kč za rok 2018, což je odhadem 2,2 % z podpor do všech odvětví (při zahrnutí přímých plateb, VCS, PVP, PRV a národních dotačních titulů MZe). To odpovídá 15,9 % z hodnoty produkce drůbeže (v průměru za všechna odvětví je podíl podpor na produkci 36,3 %). </w:t>
      </w:r>
    </w:p>
  </w:footnote>
  <w:footnote w:id="46">
    <w:p w14:paraId="5C2E31B5" w14:textId="77777777" w:rsidR="00A16DDB" w:rsidRPr="003D0939" w:rsidRDefault="00A16DDB" w:rsidP="00A16DDB">
      <w:pPr>
        <w:pStyle w:val="Textpoznpodarou"/>
        <w:rPr>
          <w:i/>
        </w:rPr>
      </w:pPr>
      <w:r w:rsidRPr="003D0939">
        <w:rPr>
          <w:rStyle w:val="Znakapoznpodarou"/>
          <w:i/>
        </w:rPr>
        <w:footnoteRef/>
      </w:r>
      <w:r w:rsidRPr="003D0939">
        <w:rPr>
          <w:i/>
        </w:rPr>
        <w:t xml:space="preserve"> COMMISSION IMPLEMENTING REGULATION (EU) No 927/2012 of 9 October 2012 amending Annex I to Council Regulation (EEC) No 2658/87 on the tariff and statistical nomenclature and on the Common Customs Tariff</w:t>
      </w:r>
    </w:p>
  </w:footnote>
  <w:footnote w:id="47">
    <w:p w14:paraId="7335D786" w14:textId="77777777" w:rsidR="00A16DDB" w:rsidRPr="00F77E89" w:rsidRDefault="00A16DDB" w:rsidP="00A16DDB">
      <w:pPr>
        <w:pStyle w:val="Textpoznpodarou"/>
      </w:pPr>
      <w:r w:rsidRPr="00F77E89">
        <w:rPr>
          <w:rStyle w:val="Znakapoznpodarou"/>
        </w:rPr>
        <w:footnoteRef/>
      </w:r>
      <w:r w:rsidRPr="00F77E89">
        <w:rPr>
          <w:i/>
          <w:iCs/>
        </w:rPr>
        <w:t xml:space="preserve"> </w:t>
      </w:r>
      <w:hyperlink r:id="rId1" w:history="1">
        <w:r w:rsidRPr="00F77E89">
          <w:rPr>
            <w:rStyle w:val="Hypertextovodkaz"/>
            <w:i/>
            <w:iCs/>
          </w:rPr>
          <w:t>https://kenbenoit.net/assets/courses/ME104/logmodels2.pdf</w:t>
        </w:r>
      </w:hyperlink>
    </w:p>
  </w:footnote>
  <w:footnote w:id="48">
    <w:p w14:paraId="739A29A9" w14:textId="77777777" w:rsidR="00A16DDB" w:rsidRPr="005E0AFB" w:rsidRDefault="00A16DDB" w:rsidP="00A16DDB">
      <w:pPr>
        <w:pStyle w:val="Textpoznpodarou"/>
      </w:pPr>
      <w:r w:rsidRPr="00F77E89">
        <w:rPr>
          <w:rStyle w:val="Znakapoznpodarou"/>
        </w:rPr>
        <w:footnoteRef/>
      </w:r>
      <w:r w:rsidRPr="00F77E89">
        <w:rPr>
          <w:i/>
          <w:iCs/>
        </w:rPr>
        <w:t xml:space="preserve"> https://ec.europa.eu/info/food-farming-fisheries/farming/facts-and-figures/markets/outlook/medium-term_en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239A22" w14:textId="77777777" w:rsidR="00A16DDB" w:rsidRDefault="00A16DDB">
    <w:pPr>
      <w:pStyle w:val="Zhlav"/>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826687" w14:textId="77777777" w:rsidR="00A16DDB" w:rsidRDefault="00A16DDB">
    <w:pPr>
      <w:pStyle w:val="Zhlav"/>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94F76B" w14:textId="77777777" w:rsidR="00A16DDB" w:rsidRDefault="00A16DDB">
    <w:pPr>
      <w:pStyle w:val="Zhlav"/>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E7365D" w14:textId="77777777" w:rsidR="00A16DDB" w:rsidRDefault="00A16DDB">
    <w:pPr>
      <w:pStyle w:val="Zhlav"/>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3FF93D" w14:textId="77777777" w:rsidR="00A16DDB" w:rsidRDefault="00A16DDB">
    <w:pPr>
      <w:pStyle w:val="Zhlav"/>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AC5C9" w14:textId="77777777" w:rsidR="00A16DDB" w:rsidRDefault="00A16DDB">
    <w:pPr>
      <w:pStyle w:val="Zhlav"/>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E22613" w14:textId="77777777" w:rsidR="00A16DDB" w:rsidRDefault="00A16DDB">
    <w:pPr>
      <w:pStyle w:val="Zhlav"/>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088D09" w14:textId="0B4B433D" w:rsidR="0086054E" w:rsidRPr="00B87E14" w:rsidRDefault="0086054E" w:rsidP="00B87E14">
    <w:pPr>
      <w:pStyle w:val="Zhlav"/>
      <w:tabs>
        <w:tab w:val="clear" w:pos="4513"/>
      </w:tabs>
      <w:rPr>
        <w:lang w:val="cs-CZ"/>
      </w:rPr>
    </w:pPr>
    <w:r>
      <w:rPr>
        <w:lang w:val="cs-CZ"/>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03CDC" w14:textId="77777777" w:rsidR="00A16DDB" w:rsidRDefault="00A16DDB">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695773" w14:textId="77777777" w:rsidR="00A16DDB" w:rsidRDefault="00A16DDB">
    <w:pPr>
      <w:pStyle w:val="Zhlav"/>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6E6B74" w14:textId="77777777" w:rsidR="00A16DDB" w:rsidRDefault="00A16DDB">
    <w:pPr>
      <w:pStyle w:val="Zhlav"/>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585B4B" w14:textId="77777777" w:rsidR="00A16DDB" w:rsidRDefault="00A16DDB">
    <w:pPr>
      <w:pStyle w:val="Zhlav"/>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B82276" w14:textId="77777777" w:rsidR="00A16DDB" w:rsidRDefault="00A16DDB">
    <w:pPr>
      <w:pStyle w:val="Zhlav"/>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81B3DF" w14:textId="77777777" w:rsidR="00A16DDB" w:rsidRDefault="00A16DDB">
    <w:pPr>
      <w:pStyle w:val="Zhlav"/>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1600E4" w14:textId="77777777" w:rsidR="00A16DDB" w:rsidRDefault="00A16DDB">
    <w:pPr>
      <w:pStyle w:val="Zhlav"/>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16E83F" w14:textId="77777777" w:rsidR="00A16DDB" w:rsidRDefault="00A16DDB">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4A3526"/>
    <w:multiLevelType w:val="hybridMultilevel"/>
    <w:tmpl w:val="4154C0E6"/>
    <w:lvl w:ilvl="0" w:tplc="1BE81C2C">
      <w:start w:val="1"/>
      <w:numFmt w:val="lowerLetter"/>
      <w:lvlText w:val="%1)"/>
      <w:lvlJc w:val="left"/>
      <w:pPr>
        <w:ind w:left="720"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D873579"/>
    <w:multiLevelType w:val="hybridMultilevel"/>
    <w:tmpl w:val="381C0204"/>
    <w:lvl w:ilvl="0" w:tplc="04050017">
      <w:start w:val="1"/>
      <w:numFmt w:val="lowerLetter"/>
      <w:lvlText w:val="%1)"/>
      <w:lvlJc w:val="left"/>
      <w:pPr>
        <w:ind w:left="1287" w:hanging="360"/>
      </w:pPr>
    </w:lvl>
    <w:lvl w:ilvl="1" w:tplc="04050019" w:tentative="1">
      <w:start w:val="1"/>
      <w:numFmt w:val="lowerLetter"/>
      <w:lvlText w:val="%2."/>
      <w:lvlJc w:val="left"/>
      <w:pPr>
        <w:ind w:left="2007" w:hanging="360"/>
      </w:pPr>
    </w:lvl>
    <w:lvl w:ilvl="2" w:tplc="0405001B" w:tentative="1">
      <w:start w:val="1"/>
      <w:numFmt w:val="lowerRoman"/>
      <w:lvlText w:val="%3."/>
      <w:lvlJc w:val="right"/>
      <w:pPr>
        <w:ind w:left="2727" w:hanging="180"/>
      </w:pPr>
    </w:lvl>
    <w:lvl w:ilvl="3" w:tplc="0405000F" w:tentative="1">
      <w:start w:val="1"/>
      <w:numFmt w:val="decimal"/>
      <w:lvlText w:val="%4."/>
      <w:lvlJc w:val="left"/>
      <w:pPr>
        <w:ind w:left="3447" w:hanging="360"/>
      </w:pPr>
    </w:lvl>
    <w:lvl w:ilvl="4" w:tplc="04050019" w:tentative="1">
      <w:start w:val="1"/>
      <w:numFmt w:val="lowerLetter"/>
      <w:lvlText w:val="%5."/>
      <w:lvlJc w:val="left"/>
      <w:pPr>
        <w:ind w:left="4167" w:hanging="360"/>
      </w:pPr>
    </w:lvl>
    <w:lvl w:ilvl="5" w:tplc="0405001B" w:tentative="1">
      <w:start w:val="1"/>
      <w:numFmt w:val="lowerRoman"/>
      <w:lvlText w:val="%6."/>
      <w:lvlJc w:val="right"/>
      <w:pPr>
        <w:ind w:left="4887" w:hanging="180"/>
      </w:pPr>
    </w:lvl>
    <w:lvl w:ilvl="6" w:tplc="0405000F" w:tentative="1">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2" w15:restartNumberingAfterBreak="0">
    <w:nsid w:val="0F5676B5"/>
    <w:multiLevelType w:val="hybridMultilevel"/>
    <w:tmpl w:val="ED0EC324"/>
    <w:lvl w:ilvl="0" w:tplc="CC427364">
      <w:start w:val="1"/>
      <w:numFmt w:val="decimal"/>
      <w:pStyle w:val="UZEINadpis3st"/>
      <w:lvlText w:val="1.1.%1"/>
      <w:lvlJc w:val="left"/>
      <w:pPr>
        <w:ind w:left="1287" w:hanging="360"/>
      </w:pPr>
      <w:rPr>
        <w:rFonts w:hint="default"/>
        <w:color w:val="auto"/>
        <w:sz w:val="24"/>
        <w:u w:val="none" w:color="FFFFFF" w:themeColor="background1"/>
      </w:rPr>
    </w:lvl>
    <w:lvl w:ilvl="1" w:tplc="04050019" w:tentative="1">
      <w:start w:val="1"/>
      <w:numFmt w:val="lowerLetter"/>
      <w:lvlText w:val="%2."/>
      <w:lvlJc w:val="left"/>
      <w:pPr>
        <w:ind w:left="2007" w:hanging="360"/>
      </w:pPr>
    </w:lvl>
    <w:lvl w:ilvl="2" w:tplc="0405001B" w:tentative="1">
      <w:start w:val="1"/>
      <w:numFmt w:val="lowerRoman"/>
      <w:lvlText w:val="%3."/>
      <w:lvlJc w:val="right"/>
      <w:pPr>
        <w:ind w:left="2727" w:hanging="180"/>
      </w:pPr>
    </w:lvl>
    <w:lvl w:ilvl="3" w:tplc="0405000F" w:tentative="1">
      <w:start w:val="1"/>
      <w:numFmt w:val="decimal"/>
      <w:lvlText w:val="%4."/>
      <w:lvlJc w:val="left"/>
      <w:pPr>
        <w:ind w:left="3447" w:hanging="360"/>
      </w:pPr>
    </w:lvl>
    <w:lvl w:ilvl="4" w:tplc="04050019" w:tentative="1">
      <w:start w:val="1"/>
      <w:numFmt w:val="lowerLetter"/>
      <w:lvlText w:val="%5."/>
      <w:lvlJc w:val="left"/>
      <w:pPr>
        <w:ind w:left="4167" w:hanging="360"/>
      </w:pPr>
    </w:lvl>
    <w:lvl w:ilvl="5" w:tplc="0405001B" w:tentative="1">
      <w:start w:val="1"/>
      <w:numFmt w:val="lowerRoman"/>
      <w:lvlText w:val="%6."/>
      <w:lvlJc w:val="right"/>
      <w:pPr>
        <w:ind w:left="4887" w:hanging="180"/>
      </w:pPr>
    </w:lvl>
    <w:lvl w:ilvl="6" w:tplc="0405000F" w:tentative="1">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3" w15:restartNumberingAfterBreak="0">
    <w:nsid w:val="10C922BF"/>
    <w:multiLevelType w:val="hybridMultilevel"/>
    <w:tmpl w:val="641E3C3A"/>
    <w:lvl w:ilvl="0" w:tplc="04050017">
      <w:start w:val="1"/>
      <w:numFmt w:val="lowerLetter"/>
      <w:lvlText w:val="%1)"/>
      <w:lvlJc w:val="left"/>
      <w:pPr>
        <w:ind w:left="720" w:hanging="360"/>
      </w:pPr>
      <w:rPr>
        <w:rFont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4" w15:restartNumberingAfterBreak="0">
    <w:nsid w:val="1CF403BB"/>
    <w:multiLevelType w:val="hybridMultilevel"/>
    <w:tmpl w:val="73D42DE2"/>
    <w:lvl w:ilvl="0" w:tplc="04050003">
      <w:start w:val="1"/>
      <w:numFmt w:val="bullet"/>
      <w:lvlText w:val="o"/>
      <w:lvlJc w:val="left"/>
      <w:pPr>
        <w:ind w:left="1440" w:hanging="360"/>
      </w:pPr>
      <w:rPr>
        <w:rFonts w:ascii="Courier New" w:hAnsi="Courier New" w:cs="Courier New"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 w15:restartNumberingAfterBreak="0">
    <w:nsid w:val="26AC3D26"/>
    <w:multiLevelType w:val="multilevel"/>
    <w:tmpl w:val="31D4EA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1FD6A76"/>
    <w:multiLevelType w:val="hybridMultilevel"/>
    <w:tmpl w:val="44EC8EDC"/>
    <w:lvl w:ilvl="0" w:tplc="2F9010D6">
      <w:start w:val="1"/>
      <w:numFmt w:val="bullet"/>
      <w:pStyle w:val="UZEIOdrky"/>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7" w15:restartNumberingAfterBreak="0">
    <w:nsid w:val="33C37F5C"/>
    <w:multiLevelType w:val="multilevel"/>
    <w:tmpl w:val="1006F2E2"/>
    <w:lvl w:ilvl="0">
      <w:start w:val="1"/>
      <w:numFmt w:val="decimal"/>
      <w:pStyle w:val="Nadpis1"/>
      <w:lvlText w:val="%1"/>
      <w:lvlJc w:val="left"/>
      <w:pPr>
        <w:ind w:left="432" w:hanging="432"/>
      </w:pPr>
      <w:rPr>
        <w:rFonts w:hint="default"/>
      </w:rPr>
    </w:lvl>
    <w:lvl w:ilvl="1">
      <w:start w:val="1"/>
      <w:numFmt w:val="decimal"/>
      <w:pStyle w:val="Nadpis2"/>
      <w:lvlText w:val="%1.%2"/>
      <w:lvlJc w:val="left"/>
      <w:pPr>
        <w:ind w:left="576" w:hanging="576"/>
      </w:pPr>
      <w:rPr>
        <w:rFonts w:hint="default"/>
      </w:rPr>
    </w:lvl>
    <w:lvl w:ilvl="2">
      <w:start w:val="1"/>
      <w:numFmt w:val="decimal"/>
      <w:pStyle w:val="Nadpis3"/>
      <w:lvlText w:val="%1.%2.%3"/>
      <w:lvlJc w:val="left"/>
      <w:pPr>
        <w:ind w:left="720" w:hanging="720"/>
      </w:pPr>
      <w:rPr>
        <w:rFonts w:hint="default"/>
      </w:rPr>
    </w:lvl>
    <w:lvl w:ilvl="3">
      <w:start w:val="1"/>
      <w:numFmt w:val="decimal"/>
      <w:pStyle w:val="Nadpis4"/>
      <w:lvlText w:val="%1.%2.%3.%4"/>
      <w:lvlJc w:val="left"/>
      <w:pPr>
        <w:ind w:left="864" w:hanging="864"/>
      </w:pPr>
      <w:rPr>
        <w:rFonts w:hint="default"/>
      </w:rPr>
    </w:lvl>
    <w:lvl w:ilvl="4">
      <w:start w:val="1"/>
      <w:numFmt w:val="decimal"/>
      <w:pStyle w:val="Nadpis5"/>
      <w:lvlText w:val="%1.%2.%3.%4.%5"/>
      <w:lvlJc w:val="left"/>
      <w:pPr>
        <w:ind w:left="1008" w:hanging="1008"/>
      </w:pPr>
      <w:rPr>
        <w:rFonts w:hint="default"/>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abstractNum w:abstractNumId="8" w15:restartNumberingAfterBreak="0">
    <w:nsid w:val="3F5D0FD2"/>
    <w:multiLevelType w:val="hybridMultilevel"/>
    <w:tmpl w:val="17BC103E"/>
    <w:lvl w:ilvl="0" w:tplc="04050003">
      <w:start w:val="1"/>
      <w:numFmt w:val="bullet"/>
      <w:lvlText w:val="o"/>
      <w:lvlJc w:val="left"/>
      <w:pPr>
        <w:ind w:left="1440" w:hanging="360"/>
      </w:pPr>
      <w:rPr>
        <w:rFonts w:ascii="Courier New" w:hAnsi="Courier New" w:cs="Courier New" w:hint="default"/>
      </w:rPr>
    </w:lvl>
    <w:lvl w:ilvl="1" w:tplc="04050003" w:tentative="1">
      <w:start w:val="1"/>
      <w:numFmt w:val="bullet"/>
      <w:lvlText w:val="o"/>
      <w:lvlJc w:val="left"/>
      <w:pPr>
        <w:tabs>
          <w:tab w:val="num" w:pos="2007"/>
        </w:tabs>
        <w:ind w:left="2007" w:hanging="360"/>
      </w:pPr>
      <w:rPr>
        <w:rFonts w:ascii="Courier New" w:hAnsi="Courier New" w:cs="Courier New" w:hint="default"/>
      </w:rPr>
    </w:lvl>
    <w:lvl w:ilvl="2" w:tplc="04050005" w:tentative="1">
      <w:start w:val="1"/>
      <w:numFmt w:val="bullet"/>
      <w:lvlText w:val=""/>
      <w:lvlJc w:val="left"/>
      <w:pPr>
        <w:tabs>
          <w:tab w:val="num" w:pos="2727"/>
        </w:tabs>
        <w:ind w:left="2727" w:hanging="360"/>
      </w:pPr>
      <w:rPr>
        <w:rFonts w:ascii="Wingdings" w:hAnsi="Wingdings" w:hint="default"/>
      </w:rPr>
    </w:lvl>
    <w:lvl w:ilvl="3" w:tplc="04050001" w:tentative="1">
      <w:start w:val="1"/>
      <w:numFmt w:val="bullet"/>
      <w:lvlText w:val=""/>
      <w:lvlJc w:val="left"/>
      <w:pPr>
        <w:tabs>
          <w:tab w:val="num" w:pos="3447"/>
        </w:tabs>
        <w:ind w:left="3447" w:hanging="360"/>
      </w:pPr>
      <w:rPr>
        <w:rFonts w:ascii="Symbol" w:hAnsi="Symbol" w:hint="default"/>
      </w:rPr>
    </w:lvl>
    <w:lvl w:ilvl="4" w:tplc="04050003" w:tentative="1">
      <w:start w:val="1"/>
      <w:numFmt w:val="bullet"/>
      <w:lvlText w:val="o"/>
      <w:lvlJc w:val="left"/>
      <w:pPr>
        <w:tabs>
          <w:tab w:val="num" w:pos="4167"/>
        </w:tabs>
        <w:ind w:left="4167" w:hanging="360"/>
      </w:pPr>
      <w:rPr>
        <w:rFonts w:ascii="Courier New" w:hAnsi="Courier New" w:cs="Courier New" w:hint="default"/>
      </w:rPr>
    </w:lvl>
    <w:lvl w:ilvl="5" w:tplc="04050005" w:tentative="1">
      <w:start w:val="1"/>
      <w:numFmt w:val="bullet"/>
      <w:lvlText w:val=""/>
      <w:lvlJc w:val="left"/>
      <w:pPr>
        <w:tabs>
          <w:tab w:val="num" w:pos="4887"/>
        </w:tabs>
        <w:ind w:left="4887" w:hanging="360"/>
      </w:pPr>
      <w:rPr>
        <w:rFonts w:ascii="Wingdings" w:hAnsi="Wingdings" w:hint="default"/>
      </w:rPr>
    </w:lvl>
    <w:lvl w:ilvl="6" w:tplc="04050001" w:tentative="1">
      <w:start w:val="1"/>
      <w:numFmt w:val="bullet"/>
      <w:lvlText w:val=""/>
      <w:lvlJc w:val="left"/>
      <w:pPr>
        <w:tabs>
          <w:tab w:val="num" w:pos="5607"/>
        </w:tabs>
        <w:ind w:left="5607" w:hanging="360"/>
      </w:pPr>
      <w:rPr>
        <w:rFonts w:ascii="Symbol" w:hAnsi="Symbol" w:hint="default"/>
      </w:rPr>
    </w:lvl>
    <w:lvl w:ilvl="7" w:tplc="04050003" w:tentative="1">
      <w:start w:val="1"/>
      <w:numFmt w:val="bullet"/>
      <w:lvlText w:val="o"/>
      <w:lvlJc w:val="left"/>
      <w:pPr>
        <w:tabs>
          <w:tab w:val="num" w:pos="6327"/>
        </w:tabs>
        <w:ind w:left="6327" w:hanging="360"/>
      </w:pPr>
      <w:rPr>
        <w:rFonts w:ascii="Courier New" w:hAnsi="Courier New" w:cs="Courier New" w:hint="default"/>
      </w:rPr>
    </w:lvl>
    <w:lvl w:ilvl="8" w:tplc="04050005" w:tentative="1">
      <w:start w:val="1"/>
      <w:numFmt w:val="bullet"/>
      <w:lvlText w:val=""/>
      <w:lvlJc w:val="left"/>
      <w:pPr>
        <w:tabs>
          <w:tab w:val="num" w:pos="7047"/>
        </w:tabs>
        <w:ind w:left="7047" w:hanging="360"/>
      </w:pPr>
      <w:rPr>
        <w:rFonts w:ascii="Wingdings" w:hAnsi="Wingdings" w:hint="default"/>
      </w:rPr>
    </w:lvl>
  </w:abstractNum>
  <w:abstractNum w:abstractNumId="9" w15:restartNumberingAfterBreak="0">
    <w:nsid w:val="3F8064F0"/>
    <w:multiLevelType w:val="hybridMultilevel"/>
    <w:tmpl w:val="40B48CB6"/>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40425330"/>
    <w:multiLevelType w:val="hybridMultilevel"/>
    <w:tmpl w:val="3CD8A1AA"/>
    <w:lvl w:ilvl="0" w:tplc="97949C64">
      <w:start w:val="1"/>
      <w:numFmt w:val="decimal"/>
      <w:pStyle w:val="UZEITaB"/>
      <w:lvlText w:val="Tabulka %1"/>
      <w:lvlJc w:val="left"/>
      <w:pPr>
        <w:ind w:left="1004" w:hanging="284"/>
      </w:pPr>
      <w:rPr>
        <w:rFonts w:hint="default"/>
      </w:r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11" w15:restartNumberingAfterBreak="0">
    <w:nsid w:val="5285045C"/>
    <w:multiLevelType w:val="hybridMultilevel"/>
    <w:tmpl w:val="C2803790"/>
    <w:lvl w:ilvl="0" w:tplc="04050003">
      <w:start w:val="1"/>
      <w:numFmt w:val="bullet"/>
      <w:lvlText w:val="o"/>
      <w:lvlJc w:val="left"/>
      <w:pPr>
        <w:ind w:left="1440" w:hanging="360"/>
      </w:pPr>
      <w:rPr>
        <w:rFonts w:ascii="Courier New" w:hAnsi="Courier New" w:cs="Courier New"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2" w15:restartNumberingAfterBreak="0">
    <w:nsid w:val="59F6793E"/>
    <w:multiLevelType w:val="hybridMultilevel"/>
    <w:tmpl w:val="06343682"/>
    <w:lvl w:ilvl="0" w:tplc="04050003">
      <w:start w:val="1"/>
      <w:numFmt w:val="bullet"/>
      <w:lvlText w:val="o"/>
      <w:lvlJc w:val="left"/>
      <w:pPr>
        <w:ind w:left="1440" w:hanging="360"/>
      </w:pPr>
      <w:rPr>
        <w:rFonts w:ascii="Courier New" w:hAnsi="Courier New" w:cs="Courier New"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3" w15:restartNumberingAfterBreak="0">
    <w:nsid w:val="5DDC0B92"/>
    <w:multiLevelType w:val="hybridMultilevel"/>
    <w:tmpl w:val="E22A19EC"/>
    <w:lvl w:ilvl="0" w:tplc="B77CABDE">
      <w:start w:val="2"/>
      <w:numFmt w:val="bullet"/>
      <w:lvlText w:val="-"/>
      <w:lvlJc w:val="left"/>
      <w:pPr>
        <w:ind w:left="410" w:hanging="360"/>
      </w:pPr>
      <w:rPr>
        <w:rFonts w:ascii="Arial" w:eastAsia="Times New Roman" w:hAnsi="Arial" w:cs="Arial" w:hint="default"/>
        <w:b/>
      </w:rPr>
    </w:lvl>
    <w:lvl w:ilvl="1" w:tplc="04050003" w:tentative="1">
      <w:start w:val="1"/>
      <w:numFmt w:val="bullet"/>
      <w:lvlText w:val="o"/>
      <w:lvlJc w:val="left"/>
      <w:pPr>
        <w:ind w:left="1130" w:hanging="360"/>
      </w:pPr>
      <w:rPr>
        <w:rFonts w:ascii="Courier New" w:hAnsi="Courier New" w:cs="Courier New" w:hint="default"/>
      </w:rPr>
    </w:lvl>
    <w:lvl w:ilvl="2" w:tplc="04050005" w:tentative="1">
      <w:start w:val="1"/>
      <w:numFmt w:val="bullet"/>
      <w:lvlText w:val=""/>
      <w:lvlJc w:val="left"/>
      <w:pPr>
        <w:ind w:left="1850" w:hanging="360"/>
      </w:pPr>
      <w:rPr>
        <w:rFonts w:ascii="Wingdings" w:hAnsi="Wingdings" w:hint="default"/>
      </w:rPr>
    </w:lvl>
    <w:lvl w:ilvl="3" w:tplc="04050001" w:tentative="1">
      <w:start w:val="1"/>
      <w:numFmt w:val="bullet"/>
      <w:lvlText w:val=""/>
      <w:lvlJc w:val="left"/>
      <w:pPr>
        <w:ind w:left="2570" w:hanging="360"/>
      </w:pPr>
      <w:rPr>
        <w:rFonts w:ascii="Symbol" w:hAnsi="Symbol" w:hint="default"/>
      </w:rPr>
    </w:lvl>
    <w:lvl w:ilvl="4" w:tplc="04050003" w:tentative="1">
      <w:start w:val="1"/>
      <w:numFmt w:val="bullet"/>
      <w:lvlText w:val="o"/>
      <w:lvlJc w:val="left"/>
      <w:pPr>
        <w:ind w:left="3290" w:hanging="360"/>
      </w:pPr>
      <w:rPr>
        <w:rFonts w:ascii="Courier New" w:hAnsi="Courier New" w:cs="Courier New" w:hint="default"/>
      </w:rPr>
    </w:lvl>
    <w:lvl w:ilvl="5" w:tplc="04050005" w:tentative="1">
      <w:start w:val="1"/>
      <w:numFmt w:val="bullet"/>
      <w:lvlText w:val=""/>
      <w:lvlJc w:val="left"/>
      <w:pPr>
        <w:ind w:left="4010" w:hanging="360"/>
      </w:pPr>
      <w:rPr>
        <w:rFonts w:ascii="Wingdings" w:hAnsi="Wingdings" w:hint="default"/>
      </w:rPr>
    </w:lvl>
    <w:lvl w:ilvl="6" w:tplc="04050001" w:tentative="1">
      <w:start w:val="1"/>
      <w:numFmt w:val="bullet"/>
      <w:lvlText w:val=""/>
      <w:lvlJc w:val="left"/>
      <w:pPr>
        <w:ind w:left="4730" w:hanging="360"/>
      </w:pPr>
      <w:rPr>
        <w:rFonts w:ascii="Symbol" w:hAnsi="Symbol" w:hint="default"/>
      </w:rPr>
    </w:lvl>
    <w:lvl w:ilvl="7" w:tplc="04050003" w:tentative="1">
      <w:start w:val="1"/>
      <w:numFmt w:val="bullet"/>
      <w:lvlText w:val="o"/>
      <w:lvlJc w:val="left"/>
      <w:pPr>
        <w:ind w:left="5450" w:hanging="360"/>
      </w:pPr>
      <w:rPr>
        <w:rFonts w:ascii="Courier New" w:hAnsi="Courier New" w:cs="Courier New" w:hint="default"/>
      </w:rPr>
    </w:lvl>
    <w:lvl w:ilvl="8" w:tplc="04050005" w:tentative="1">
      <w:start w:val="1"/>
      <w:numFmt w:val="bullet"/>
      <w:lvlText w:val=""/>
      <w:lvlJc w:val="left"/>
      <w:pPr>
        <w:ind w:left="6170" w:hanging="360"/>
      </w:pPr>
      <w:rPr>
        <w:rFonts w:ascii="Wingdings" w:hAnsi="Wingdings" w:hint="default"/>
      </w:rPr>
    </w:lvl>
  </w:abstractNum>
  <w:abstractNum w:abstractNumId="14" w15:restartNumberingAfterBreak="0">
    <w:nsid w:val="5F811F43"/>
    <w:multiLevelType w:val="hybridMultilevel"/>
    <w:tmpl w:val="1E1EC324"/>
    <w:lvl w:ilvl="0" w:tplc="04050011">
      <w:start w:val="1"/>
      <w:numFmt w:val="decimal"/>
      <w:lvlText w:val="%1)"/>
      <w:lvlJc w:val="left"/>
      <w:pPr>
        <w:ind w:left="720" w:hanging="360"/>
      </w:pPr>
      <w:rPr>
        <w:rFont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5" w15:restartNumberingAfterBreak="0">
    <w:nsid w:val="634D3F02"/>
    <w:multiLevelType w:val="hybridMultilevel"/>
    <w:tmpl w:val="2C1800EE"/>
    <w:lvl w:ilvl="0" w:tplc="FA703388">
      <w:start w:val="1"/>
      <w:numFmt w:val="decimal"/>
      <w:pStyle w:val="UZEIGraf"/>
      <w:lvlText w:val="Graf %1"/>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63A03A84"/>
    <w:multiLevelType w:val="multilevel"/>
    <w:tmpl w:val="8CD07CB2"/>
    <w:lvl w:ilvl="0">
      <w:start w:val="1"/>
      <w:numFmt w:val="decimal"/>
      <w:lvlText w:val="%1"/>
      <w:lvlJc w:val="left"/>
      <w:pPr>
        <w:ind w:left="922" w:hanging="432"/>
      </w:pPr>
      <w:rPr>
        <w:rFonts w:hint="default"/>
        <w:color w:val="auto"/>
      </w:rPr>
    </w:lvl>
    <w:lvl w:ilvl="1">
      <w:start w:val="1"/>
      <w:numFmt w:val="decimal"/>
      <w:pStyle w:val="UZEINadpis2st"/>
      <w:lvlText w:val="1.%2"/>
      <w:lvlJc w:val="left"/>
      <w:pPr>
        <w:ind w:left="1066" w:hanging="576"/>
      </w:pPr>
      <w:rPr>
        <w:rFonts w:hint="default"/>
        <w:color w:val="auto"/>
        <w:sz w:val="24"/>
      </w:rPr>
    </w:lvl>
    <w:lvl w:ilvl="2">
      <w:start w:val="1"/>
      <w:numFmt w:val="decimal"/>
      <w:lvlText w:val="%1.%2.%3"/>
      <w:lvlJc w:val="left"/>
      <w:pPr>
        <w:ind w:left="1210" w:hanging="720"/>
      </w:pPr>
    </w:lvl>
    <w:lvl w:ilvl="3">
      <w:start w:val="1"/>
      <w:numFmt w:val="decimal"/>
      <w:lvlText w:val="%1.%2.%3.%4"/>
      <w:lvlJc w:val="left"/>
      <w:pPr>
        <w:ind w:left="1354" w:hanging="864"/>
      </w:pPr>
    </w:lvl>
    <w:lvl w:ilvl="4">
      <w:start w:val="1"/>
      <w:numFmt w:val="decimal"/>
      <w:lvlText w:val="%1.%2.%3.%4.%5"/>
      <w:lvlJc w:val="left"/>
      <w:pPr>
        <w:ind w:left="1498" w:hanging="1008"/>
      </w:pPr>
    </w:lvl>
    <w:lvl w:ilvl="5">
      <w:start w:val="1"/>
      <w:numFmt w:val="decimal"/>
      <w:lvlText w:val="%1.%2.%3.%4.%5.%6"/>
      <w:lvlJc w:val="left"/>
      <w:pPr>
        <w:ind w:left="1642" w:hanging="1152"/>
      </w:pPr>
    </w:lvl>
    <w:lvl w:ilvl="6">
      <w:start w:val="1"/>
      <w:numFmt w:val="decimal"/>
      <w:lvlText w:val="%1.%2.%3.%4.%5.%6.%7"/>
      <w:lvlJc w:val="left"/>
      <w:pPr>
        <w:ind w:left="1786" w:hanging="1296"/>
      </w:pPr>
    </w:lvl>
    <w:lvl w:ilvl="7">
      <w:start w:val="1"/>
      <w:numFmt w:val="decimal"/>
      <w:lvlText w:val="%1.%2.%3.%4.%5.%6.%7.%8"/>
      <w:lvlJc w:val="left"/>
      <w:pPr>
        <w:ind w:left="1930" w:hanging="1440"/>
      </w:pPr>
    </w:lvl>
    <w:lvl w:ilvl="8">
      <w:start w:val="1"/>
      <w:numFmt w:val="decimal"/>
      <w:lvlText w:val="%1.%2.%3.%4.%5.%6.%7.%8.%9"/>
      <w:lvlJc w:val="left"/>
      <w:pPr>
        <w:ind w:left="2074" w:hanging="1584"/>
      </w:pPr>
    </w:lvl>
  </w:abstractNum>
  <w:abstractNum w:abstractNumId="17" w15:restartNumberingAfterBreak="0">
    <w:nsid w:val="73AB3797"/>
    <w:multiLevelType w:val="hybridMultilevel"/>
    <w:tmpl w:val="345040C6"/>
    <w:lvl w:ilvl="0" w:tplc="E5C2D2F8">
      <w:start w:val="1"/>
      <w:numFmt w:val="decimal"/>
      <w:lvlText w:val="%1)"/>
      <w:lvlJc w:val="left"/>
      <w:pPr>
        <w:ind w:left="1069" w:hanging="360"/>
      </w:pPr>
      <w:rPr>
        <w:rFonts w:hint="default"/>
      </w:rPr>
    </w:lvl>
    <w:lvl w:ilvl="1" w:tplc="04050019" w:tentative="1">
      <w:start w:val="1"/>
      <w:numFmt w:val="lowerLetter"/>
      <w:lvlText w:val="%2."/>
      <w:lvlJc w:val="left"/>
      <w:pPr>
        <w:ind w:left="1789" w:hanging="360"/>
      </w:pPr>
    </w:lvl>
    <w:lvl w:ilvl="2" w:tplc="0405001B" w:tentative="1">
      <w:start w:val="1"/>
      <w:numFmt w:val="lowerRoman"/>
      <w:lvlText w:val="%3."/>
      <w:lvlJc w:val="right"/>
      <w:pPr>
        <w:ind w:left="2509" w:hanging="180"/>
      </w:pPr>
    </w:lvl>
    <w:lvl w:ilvl="3" w:tplc="0405000F" w:tentative="1">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abstractNum w:abstractNumId="18" w15:restartNumberingAfterBreak="0">
    <w:nsid w:val="7DE03CB9"/>
    <w:multiLevelType w:val="hybridMultilevel"/>
    <w:tmpl w:val="24227820"/>
    <w:lvl w:ilvl="0" w:tplc="CA46876E">
      <w:start w:val="1"/>
      <w:numFmt w:val="decimal"/>
      <w:pStyle w:val="UZEIObr"/>
      <w:lvlText w:val="Obrázek %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6"/>
  </w:num>
  <w:num w:numId="2">
    <w:abstractNumId w:val="15"/>
  </w:num>
  <w:num w:numId="3">
    <w:abstractNumId w:val="10"/>
  </w:num>
  <w:num w:numId="4">
    <w:abstractNumId w:val="18"/>
  </w:num>
  <w:num w:numId="5">
    <w:abstractNumId w:val="2"/>
  </w:num>
  <w:num w:numId="6">
    <w:abstractNumId w:val="16"/>
  </w:num>
  <w:num w:numId="7">
    <w:abstractNumId w:val="13"/>
  </w:num>
  <w:num w:numId="8">
    <w:abstractNumId w:val="1"/>
  </w:num>
  <w:num w:numId="9">
    <w:abstractNumId w:val="17"/>
  </w:num>
  <w:num w:numId="10">
    <w:abstractNumId w:val="5"/>
  </w:num>
  <w:num w:numId="11">
    <w:abstractNumId w:val="7"/>
  </w:num>
  <w:num w:numId="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
  </w:num>
  <w:num w:numId="16">
    <w:abstractNumId w:val="14"/>
  </w:num>
  <w:num w:numId="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num>
  <w:num w:numId="25">
    <w:abstractNumId w:val="12"/>
  </w:num>
  <w:num w:numId="26">
    <w:abstractNumId w:val="11"/>
  </w:num>
  <w:num w:numId="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8"/>
  </w:num>
  <w:num w:numId="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0"/>
  </w:num>
  <w:num w:numId="34">
    <w:abstractNumId w:val="9"/>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7E14"/>
    <w:rsid w:val="0000288B"/>
    <w:rsid w:val="0000432D"/>
    <w:rsid w:val="000120F7"/>
    <w:rsid w:val="00020219"/>
    <w:rsid w:val="00021744"/>
    <w:rsid w:val="0002779D"/>
    <w:rsid w:val="0003405A"/>
    <w:rsid w:val="0003417E"/>
    <w:rsid w:val="00034B70"/>
    <w:rsid w:val="000563E5"/>
    <w:rsid w:val="000625A1"/>
    <w:rsid w:val="0007022C"/>
    <w:rsid w:val="00073C13"/>
    <w:rsid w:val="00076581"/>
    <w:rsid w:val="00082AE3"/>
    <w:rsid w:val="00082D5A"/>
    <w:rsid w:val="000A1E5A"/>
    <w:rsid w:val="000A4E38"/>
    <w:rsid w:val="000B4470"/>
    <w:rsid w:val="000B44F1"/>
    <w:rsid w:val="000D447D"/>
    <w:rsid w:val="000E3988"/>
    <w:rsid w:val="000F1F84"/>
    <w:rsid w:val="000F24C6"/>
    <w:rsid w:val="000F7485"/>
    <w:rsid w:val="00103F69"/>
    <w:rsid w:val="00112542"/>
    <w:rsid w:val="00115152"/>
    <w:rsid w:val="00120330"/>
    <w:rsid w:val="00130FD1"/>
    <w:rsid w:val="001314DB"/>
    <w:rsid w:val="001335A6"/>
    <w:rsid w:val="001367BD"/>
    <w:rsid w:val="001410C8"/>
    <w:rsid w:val="00141692"/>
    <w:rsid w:val="00142A9F"/>
    <w:rsid w:val="0014631C"/>
    <w:rsid w:val="0015020D"/>
    <w:rsid w:val="00151AF1"/>
    <w:rsid w:val="00154018"/>
    <w:rsid w:val="00157A1E"/>
    <w:rsid w:val="00163472"/>
    <w:rsid w:val="00164CBE"/>
    <w:rsid w:val="0017024E"/>
    <w:rsid w:val="00185EDD"/>
    <w:rsid w:val="0019408F"/>
    <w:rsid w:val="001B4DB9"/>
    <w:rsid w:val="001C63C7"/>
    <w:rsid w:val="001C6EA0"/>
    <w:rsid w:val="001C7136"/>
    <w:rsid w:val="001D1976"/>
    <w:rsid w:val="001D6639"/>
    <w:rsid w:val="001E083A"/>
    <w:rsid w:val="001E771B"/>
    <w:rsid w:val="001E7906"/>
    <w:rsid w:val="001F016C"/>
    <w:rsid w:val="00231F37"/>
    <w:rsid w:val="00234921"/>
    <w:rsid w:val="00237DFB"/>
    <w:rsid w:val="00245B6E"/>
    <w:rsid w:val="00266986"/>
    <w:rsid w:val="0026735D"/>
    <w:rsid w:val="002777C5"/>
    <w:rsid w:val="0028471D"/>
    <w:rsid w:val="002857F1"/>
    <w:rsid w:val="00297CD8"/>
    <w:rsid w:val="002A021F"/>
    <w:rsid w:val="002A4C32"/>
    <w:rsid w:val="002B354C"/>
    <w:rsid w:val="002B411B"/>
    <w:rsid w:val="002B7246"/>
    <w:rsid w:val="002C00C9"/>
    <w:rsid w:val="002D2FC9"/>
    <w:rsid w:val="002D33D2"/>
    <w:rsid w:val="002D5780"/>
    <w:rsid w:val="002D5D15"/>
    <w:rsid w:val="002E17B7"/>
    <w:rsid w:val="002E65B3"/>
    <w:rsid w:val="002F2C20"/>
    <w:rsid w:val="002F33E1"/>
    <w:rsid w:val="002F40B9"/>
    <w:rsid w:val="00301EFD"/>
    <w:rsid w:val="00310526"/>
    <w:rsid w:val="0031504D"/>
    <w:rsid w:val="00331440"/>
    <w:rsid w:val="00353CF0"/>
    <w:rsid w:val="00355718"/>
    <w:rsid w:val="003570A6"/>
    <w:rsid w:val="00383E11"/>
    <w:rsid w:val="003A3B75"/>
    <w:rsid w:val="003B0485"/>
    <w:rsid w:val="003B1F45"/>
    <w:rsid w:val="003B644E"/>
    <w:rsid w:val="003B78F3"/>
    <w:rsid w:val="003C257C"/>
    <w:rsid w:val="003C2914"/>
    <w:rsid w:val="003C5728"/>
    <w:rsid w:val="003D3D8C"/>
    <w:rsid w:val="003D58EA"/>
    <w:rsid w:val="003E2323"/>
    <w:rsid w:val="003E7A0A"/>
    <w:rsid w:val="003F2F64"/>
    <w:rsid w:val="00436AD8"/>
    <w:rsid w:val="00436D62"/>
    <w:rsid w:val="00445C7A"/>
    <w:rsid w:val="00447717"/>
    <w:rsid w:val="004502EF"/>
    <w:rsid w:val="004643E9"/>
    <w:rsid w:val="00467D08"/>
    <w:rsid w:val="00467F54"/>
    <w:rsid w:val="004747F2"/>
    <w:rsid w:val="00477EC6"/>
    <w:rsid w:val="004829AE"/>
    <w:rsid w:val="00483879"/>
    <w:rsid w:val="004839C3"/>
    <w:rsid w:val="004A5095"/>
    <w:rsid w:val="004A5CFF"/>
    <w:rsid w:val="004A616C"/>
    <w:rsid w:val="004A7243"/>
    <w:rsid w:val="004B1580"/>
    <w:rsid w:val="004C6086"/>
    <w:rsid w:val="004D11CD"/>
    <w:rsid w:val="004D6908"/>
    <w:rsid w:val="004E065B"/>
    <w:rsid w:val="004E216F"/>
    <w:rsid w:val="004F16FD"/>
    <w:rsid w:val="004F37D3"/>
    <w:rsid w:val="00500CAA"/>
    <w:rsid w:val="005023D1"/>
    <w:rsid w:val="00511FA4"/>
    <w:rsid w:val="0051278E"/>
    <w:rsid w:val="00516294"/>
    <w:rsid w:val="00523AC4"/>
    <w:rsid w:val="00524CF4"/>
    <w:rsid w:val="00527861"/>
    <w:rsid w:val="00531FDA"/>
    <w:rsid w:val="005415F3"/>
    <w:rsid w:val="00551481"/>
    <w:rsid w:val="0055361F"/>
    <w:rsid w:val="00556ADE"/>
    <w:rsid w:val="00561985"/>
    <w:rsid w:val="00572587"/>
    <w:rsid w:val="00580B07"/>
    <w:rsid w:val="005839C4"/>
    <w:rsid w:val="00583D56"/>
    <w:rsid w:val="0059250E"/>
    <w:rsid w:val="005A2A38"/>
    <w:rsid w:val="005B5895"/>
    <w:rsid w:val="005B5B5D"/>
    <w:rsid w:val="005C2408"/>
    <w:rsid w:val="005C5778"/>
    <w:rsid w:val="005C5AD9"/>
    <w:rsid w:val="005C7D0A"/>
    <w:rsid w:val="005E1966"/>
    <w:rsid w:val="005E7D09"/>
    <w:rsid w:val="005F13AA"/>
    <w:rsid w:val="00610397"/>
    <w:rsid w:val="0062006F"/>
    <w:rsid w:val="00625455"/>
    <w:rsid w:val="0062705D"/>
    <w:rsid w:val="00627641"/>
    <w:rsid w:val="00633E4A"/>
    <w:rsid w:val="00640914"/>
    <w:rsid w:val="0064752C"/>
    <w:rsid w:val="0065083F"/>
    <w:rsid w:val="00654DD7"/>
    <w:rsid w:val="00660D6A"/>
    <w:rsid w:val="006660D2"/>
    <w:rsid w:val="006752D6"/>
    <w:rsid w:val="00676C5D"/>
    <w:rsid w:val="00681339"/>
    <w:rsid w:val="0068225B"/>
    <w:rsid w:val="006826AD"/>
    <w:rsid w:val="00685BB7"/>
    <w:rsid w:val="00693A2B"/>
    <w:rsid w:val="006A0789"/>
    <w:rsid w:val="006A0EB3"/>
    <w:rsid w:val="006A2D3B"/>
    <w:rsid w:val="006A53A9"/>
    <w:rsid w:val="006A7C56"/>
    <w:rsid w:val="006B1A85"/>
    <w:rsid w:val="006C247D"/>
    <w:rsid w:val="006C4C29"/>
    <w:rsid w:val="006C727D"/>
    <w:rsid w:val="006E278C"/>
    <w:rsid w:val="006E47F1"/>
    <w:rsid w:val="006E6AE7"/>
    <w:rsid w:val="006F1E2C"/>
    <w:rsid w:val="007012B3"/>
    <w:rsid w:val="0071129E"/>
    <w:rsid w:val="00712635"/>
    <w:rsid w:val="00715A59"/>
    <w:rsid w:val="00736E95"/>
    <w:rsid w:val="00737350"/>
    <w:rsid w:val="007506B1"/>
    <w:rsid w:val="00753A9A"/>
    <w:rsid w:val="00755F54"/>
    <w:rsid w:val="007560F1"/>
    <w:rsid w:val="00764116"/>
    <w:rsid w:val="0076419E"/>
    <w:rsid w:val="007800CC"/>
    <w:rsid w:val="00784A04"/>
    <w:rsid w:val="007A0B29"/>
    <w:rsid w:val="007A20D6"/>
    <w:rsid w:val="007A2BA4"/>
    <w:rsid w:val="007A768F"/>
    <w:rsid w:val="007B2030"/>
    <w:rsid w:val="007B3F55"/>
    <w:rsid w:val="007C29A2"/>
    <w:rsid w:val="007C30B5"/>
    <w:rsid w:val="007C40A1"/>
    <w:rsid w:val="007C634C"/>
    <w:rsid w:val="007E7D43"/>
    <w:rsid w:val="007F5D36"/>
    <w:rsid w:val="007F68ED"/>
    <w:rsid w:val="007F6BA1"/>
    <w:rsid w:val="00826843"/>
    <w:rsid w:val="008317C6"/>
    <w:rsid w:val="008364F7"/>
    <w:rsid w:val="00841A26"/>
    <w:rsid w:val="008433E7"/>
    <w:rsid w:val="00856E96"/>
    <w:rsid w:val="0086054E"/>
    <w:rsid w:val="00860B6F"/>
    <w:rsid w:val="0086264F"/>
    <w:rsid w:val="00864C5E"/>
    <w:rsid w:val="008660FE"/>
    <w:rsid w:val="00875ED7"/>
    <w:rsid w:val="0087790C"/>
    <w:rsid w:val="00883E5A"/>
    <w:rsid w:val="00884CA1"/>
    <w:rsid w:val="00890F29"/>
    <w:rsid w:val="00892B35"/>
    <w:rsid w:val="00892DB5"/>
    <w:rsid w:val="008935AC"/>
    <w:rsid w:val="008A1AA0"/>
    <w:rsid w:val="008C417F"/>
    <w:rsid w:val="008E0A31"/>
    <w:rsid w:val="008E1893"/>
    <w:rsid w:val="008E56F9"/>
    <w:rsid w:val="008F0213"/>
    <w:rsid w:val="00900AB1"/>
    <w:rsid w:val="009048BB"/>
    <w:rsid w:val="009169B4"/>
    <w:rsid w:val="00936051"/>
    <w:rsid w:val="00944337"/>
    <w:rsid w:val="009470FF"/>
    <w:rsid w:val="00957724"/>
    <w:rsid w:val="009601C4"/>
    <w:rsid w:val="0097226E"/>
    <w:rsid w:val="0097269C"/>
    <w:rsid w:val="00980628"/>
    <w:rsid w:val="00985124"/>
    <w:rsid w:val="00987820"/>
    <w:rsid w:val="009A1C4F"/>
    <w:rsid w:val="009A2967"/>
    <w:rsid w:val="009B0936"/>
    <w:rsid w:val="009B7557"/>
    <w:rsid w:val="009D5BBC"/>
    <w:rsid w:val="009D66E5"/>
    <w:rsid w:val="009D7357"/>
    <w:rsid w:val="009E0DDD"/>
    <w:rsid w:val="009E0FED"/>
    <w:rsid w:val="009E5D07"/>
    <w:rsid w:val="009F39BD"/>
    <w:rsid w:val="009F7E68"/>
    <w:rsid w:val="00A02646"/>
    <w:rsid w:val="00A03B66"/>
    <w:rsid w:val="00A0481C"/>
    <w:rsid w:val="00A10E5C"/>
    <w:rsid w:val="00A11169"/>
    <w:rsid w:val="00A12F9A"/>
    <w:rsid w:val="00A139F2"/>
    <w:rsid w:val="00A16DDB"/>
    <w:rsid w:val="00A16ECF"/>
    <w:rsid w:val="00A21648"/>
    <w:rsid w:val="00A239CB"/>
    <w:rsid w:val="00A250FE"/>
    <w:rsid w:val="00A35485"/>
    <w:rsid w:val="00A37B3C"/>
    <w:rsid w:val="00A44409"/>
    <w:rsid w:val="00A44EFA"/>
    <w:rsid w:val="00A56BB6"/>
    <w:rsid w:val="00A62FC4"/>
    <w:rsid w:val="00A66C3E"/>
    <w:rsid w:val="00A707C6"/>
    <w:rsid w:val="00A865A0"/>
    <w:rsid w:val="00A91275"/>
    <w:rsid w:val="00A942F5"/>
    <w:rsid w:val="00AA0662"/>
    <w:rsid w:val="00AA124D"/>
    <w:rsid w:val="00AA593D"/>
    <w:rsid w:val="00AA63B9"/>
    <w:rsid w:val="00AB13D0"/>
    <w:rsid w:val="00AB39A0"/>
    <w:rsid w:val="00AB435B"/>
    <w:rsid w:val="00AB564E"/>
    <w:rsid w:val="00AB62EB"/>
    <w:rsid w:val="00AB79C2"/>
    <w:rsid w:val="00AB7C32"/>
    <w:rsid w:val="00AB7E67"/>
    <w:rsid w:val="00AD3576"/>
    <w:rsid w:val="00AD7D6B"/>
    <w:rsid w:val="00B01CE9"/>
    <w:rsid w:val="00B10832"/>
    <w:rsid w:val="00B125B8"/>
    <w:rsid w:val="00B2211C"/>
    <w:rsid w:val="00B23C07"/>
    <w:rsid w:val="00B3112E"/>
    <w:rsid w:val="00B31130"/>
    <w:rsid w:val="00B32C07"/>
    <w:rsid w:val="00B33A1F"/>
    <w:rsid w:val="00B35613"/>
    <w:rsid w:val="00B36C72"/>
    <w:rsid w:val="00B41B70"/>
    <w:rsid w:val="00B431E0"/>
    <w:rsid w:val="00B50ECB"/>
    <w:rsid w:val="00B532B5"/>
    <w:rsid w:val="00B6034F"/>
    <w:rsid w:val="00B63111"/>
    <w:rsid w:val="00B66A14"/>
    <w:rsid w:val="00B72342"/>
    <w:rsid w:val="00B725A8"/>
    <w:rsid w:val="00B732F2"/>
    <w:rsid w:val="00B76A61"/>
    <w:rsid w:val="00B87E14"/>
    <w:rsid w:val="00B90F45"/>
    <w:rsid w:val="00BA3366"/>
    <w:rsid w:val="00BA33FF"/>
    <w:rsid w:val="00BB4FF8"/>
    <w:rsid w:val="00BC51CC"/>
    <w:rsid w:val="00BD0A73"/>
    <w:rsid w:val="00BD57CE"/>
    <w:rsid w:val="00BE11B5"/>
    <w:rsid w:val="00BE77E8"/>
    <w:rsid w:val="00BF01D5"/>
    <w:rsid w:val="00BF3637"/>
    <w:rsid w:val="00BF5B98"/>
    <w:rsid w:val="00C03E08"/>
    <w:rsid w:val="00C06675"/>
    <w:rsid w:val="00C104D5"/>
    <w:rsid w:val="00C11CEA"/>
    <w:rsid w:val="00C12022"/>
    <w:rsid w:val="00C2148F"/>
    <w:rsid w:val="00C25690"/>
    <w:rsid w:val="00C2596B"/>
    <w:rsid w:val="00C32436"/>
    <w:rsid w:val="00C32636"/>
    <w:rsid w:val="00C35E53"/>
    <w:rsid w:val="00C36606"/>
    <w:rsid w:val="00C551C1"/>
    <w:rsid w:val="00C624B3"/>
    <w:rsid w:val="00C644E9"/>
    <w:rsid w:val="00C65942"/>
    <w:rsid w:val="00C67A0F"/>
    <w:rsid w:val="00C77415"/>
    <w:rsid w:val="00C80140"/>
    <w:rsid w:val="00C82CBD"/>
    <w:rsid w:val="00C84E3A"/>
    <w:rsid w:val="00C87045"/>
    <w:rsid w:val="00C91401"/>
    <w:rsid w:val="00C93915"/>
    <w:rsid w:val="00C957CA"/>
    <w:rsid w:val="00CA2783"/>
    <w:rsid w:val="00CA30F8"/>
    <w:rsid w:val="00CA3E6F"/>
    <w:rsid w:val="00CB0F87"/>
    <w:rsid w:val="00CC4B63"/>
    <w:rsid w:val="00CD28B0"/>
    <w:rsid w:val="00CD7BC4"/>
    <w:rsid w:val="00CE74C6"/>
    <w:rsid w:val="00CF2B9C"/>
    <w:rsid w:val="00CF4AEF"/>
    <w:rsid w:val="00D2190C"/>
    <w:rsid w:val="00D32FF5"/>
    <w:rsid w:val="00D35880"/>
    <w:rsid w:val="00D43DD0"/>
    <w:rsid w:val="00D45604"/>
    <w:rsid w:val="00D461BE"/>
    <w:rsid w:val="00D538FB"/>
    <w:rsid w:val="00D76351"/>
    <w:rsid w:val="00D81379"/>
    <w:rsid w:val="00D818D6"/>
    <w:rsid w:val="00D832A5"/>
    <w:rsid w:val="00D84F23"/>
    <w:rsid w:val="00D92D4B"/>
    <w:rsid w:val="00D95127"/>
    <w:rsid w:val="00DA133D"/>
    <w:rsid w:val="00DC1459"/>
    <w:rsid w:val="00DC55E0"/>
    <w:rsid w:val="00DC6FCB"/>
    <w:rsid w:val="00DE47B6"/>
    <w:rsid w:val="00DE560B"/>
    <w:rsid w:val="00DE7D57"/>
    <w:rsid w:val="00DF2B9D"/>
    <w:rsid w:val="00DF3585"/>
    <w:rsid w:val="00E04264"/>
    <w:rsid w:val="00E07272"/>
    <w:rsid w:val="00E27551"/>
    <w:rsid w:val="00E34AE4"/>
    <w:rsid w:val="00E40087"/>
    <w:rsid w:val="00E454C2"/>
    <w:rsid w:val="00E47661"/>
    <w:rsid w:val="00E52B0E"/>
    <w:rsid w:val="00E666BE"/>
    <w:rsid w:val="00E6701E"/>
    <w:rsid w:val="00E70C51"/>
    <w:rsid w:val="00E75B9A"/>
    <w:rsid w:val="00E7660B"/>
    <w:rsid w:val="00E8445A"/>
    <w:rsid w:val="00E928F7"/>
    <w:rsid w:val="00E95B82"/>
    <w:rsid w:val="00EA377A"/>
    <w:rsid w:val="00EB4E2F"/>
    <w:rsid w:val="00EB743D"/>
    <w:rsid w:val="00EC7259"/>
    <w:rsid w:val="00EC7887"/>
    <w:rsid w:val="00ED1960"/>
    <w:rsid w:val="00ED196E"/>
    <w:rsid w:val="00ED6797"/>
    <w:rsid w:val="00EE1453"/>
    <w:rsid w:val="00EE56D0"/>
    <w:rsid w:val="00EE6983"/>
    <w:rsid w:val="00EE733F"/>
    <w:rsid w:val="00EF44D6"/>
    <w:rsid w:val="00F0724C"/>
    <w:rsid w:val="00F12EBD"/>
    <w:rsid w:val="00F21B5B"/>
    <w:rsid w:val="00F254D5"/>
    <w:rsid w:val="00F45B5D"/>
    <w:rsid w:val="00F46382"/>
    <w:rsid w:val="00F520E8"/>
    <w:rsid w:val="00F53496"/>
    <w:rsid w:val="00F76D54"/>
    <w:rsid w:val="00F807F5"/>
    <w:rsid w:val="00F85510"/>
    <w:rsid w:val="00F8731F"/>
    <w:rsid w:val="00F94185"/>
    <w:rsid w:val="00F9624D"/>
    <w:rsid w:val="00F9691D"/>
    <w:rsid w:val="00F9766F"/>
    <w:rsid w:val="00FB195F"/>
    <w:rsid w:val="00FB49AD"/>
    <w:rsid w:val="00FB6146"/>
    <w:rsid w:val="00FE1255"/>
    <w:rsid w:val="00FE1ED5"/>
    <w:rsid w:val="00FE2789"/>
    <w:rsid w:val="00FF31EB"/>
    <w:rsid w:val="1F26134E"/>
    <w:rsid w:val="63F241C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D0CF9A"/>
  <w15:chartTrackingRefBased/>
  <w15:docId w15:val="{013C613D-C564-FA4B-AE46-F10EBE18AA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BF5B98"/>
    <w:pPr>
      <w:spacing w:after="0" w:line="240" w:lineRule="auto"/>
      <w:jc w:val="both"/>
    </w:pPr>
    <w:rPr>
      <w:rFonts w:ascii="Times New Roman" w:hAnsi="Times New Roman"/>
      <w:sz w:val="24"/>
    </w:rPr>
  </w:style>
  <w:style w:type="paragraph" w:styleId="Nadpis1">
    <w:name w:val="heading 1"/>
    <w:aliases w:val="A Nadpis 1"/>
    <w:basedOn w:val="Normln"/>
    <w:next w:val="Normln"/>
    <w:link w:val="Nadpis1Char"/>
    <w:uiPriority w:val="9"/>
    <w:qFormat/>
    <w:rsid w:val="00B66A14"/>
    <w:pPr>
      <w:keepNext/>
      <w:keepLines/>
      <w:numPr>
        <w:numId w:val="11"/>
      </w:numPr>
      <w:spacing w:before="120" w:after="120"/>
      <w:outlineLvl w:val="0"/>
    </w:pPr>
    <w:rPr>
      <w:rFonts w:eastAsiaTheme="majorEastAsia" w:cs="Times New Roman"/>
      <w:b/>
      <w:bCs/>
      <w:sz w:val="28"/>
      <w:szCs w:val="32"/>
      <w:lang w:val="cs-CZ"/>
    </w:rPr>
  </w:style>
  <w:style w:type="paragraph" w:styleId="Nadpis2">
    <w:name w:val="heading 2"/>
    <w:aliases w:val="A Nadpis 2"/>
    <w:basedOn w:val="Normln"/>
    <w:next w:val="Normln"/>
    <w:link w:val="Nadpis2Char"/>
    <w:uiPriority w:val="9"/>
    <w:unhideWhenUsed/>
    <w:qFormat/>
    <w:rsid w:val="00B66A14"/>
    <w:pPr>
      <w:keepNext/>
      <w:keepLines/>
      <w:numPr>
        <w:ilvl w:val="1"/>
        <w:numId w:val="11"/>
      </w:numPr>
      <w:spacing w:before="120" w:after="120"/>
      <w:outlineLvl w:val="1"/>
    </w:pPr>
    <w:rPr>
      <w:rFonts w:eastAsiaTheme="majorEastAsia" w:cs="Times New Roman"/>
      <w:b/>
      <w:bCs/>
      <w:sz w:val="26"/>
      <w:szCs w:val="28"/>
      <w:lang w:val="cs-CZ"/>
    </w:rPr>
  </w:style>
  <w:style w:type="paragraph" w:styleId="Nadpis3">
    <w:name w:val="heading 3"/>
    <w:aliases w:val="A Nadpis 3"/>
    <w:basedOn w:val="Normln"/>
    <w:next w:val="Normln"/>
    <w:link w:val="Nadpis3Char"/>
    <w:uiPriority w:val="9"/>
    <w:unhideWhenUsed/>
    <w:qFormat/>
    <w:rsid w:val="00B66A14"/>
    <w:pPr>
      <w:keepNext/>
      <w:keepLines/>
      <w:numPr>
        <w:ilvl w:val="2"/>
        <w:numId w:val="11"/>
      </w:numPr>
      <w:spacing w:before="120" w:after="120"/>
      <w:outlineLvl w:val="2"/>
    </w:pPr>
    <w:rPr>
      <w:rFonts w:eastAsiaTheme="majorEastAsia" w:cstheme="majorBidi"/>
      <w:b/>
      <w:bCs/>
      <w:szCs w:val="26"/>
    </w:rPr>
  </w:style>
  <w:style w:type="paragraph" w:styleId="Nadpis4">
    <w:name w:val="heading 4"/>
    <w:basedOn w:val="Normln"/>
    <w:next w:val="Normln"/>
    <w:link w:val="Nadpis4Char"/>
    <w:uiPriority w:val="9"/>
    <w:unhideWhenUsed/>
    <w:qFormat/>
    <w:rsid w:val="00B66A14"/>
    <w:pPr>
      <w:keepNext/>
      <w:keepLines/>
      <w:numPr>
        <w:ilvl w:val="3"/>
        <w:numId w:val="11"/>
      </w:numPr>
      <w:spacing w:before="40"/>
      <w:outlineLvl w:val="3"/>
    </w:pPr>
    <w:rPr>
      <w:rFonts w:asciiTheme="majorHAnsi" w:eastAsiaTheme="majorEastAsia" w:hAnsiTheme="majorHAnsi" w:cstheme="majorBidi"/>
      <w:i/>
      <w:iCs/>
      <w:color w:val="2F5496" w:themeColor="accent1" w:themeShade="BF"/>
    </w:rPr>
  </w:style>
  <w:style w:type="paragraph" w:styleId="Nadpis5">
    <w:name w:val="heading 5"/>
    <w:basedOn w:val="Normln"/>
    <w:next w:val="Normln"/>
    <w:link w:val="Nadpis5Char"/>
    <w:unhideWhenUsed/>
    <w:qFormat/>
    <w:rsid w:val="00B66A14"/>
    <w:pPr>
      <w:keepNext/>
      <w:keepLines/>
      <w:numPr>
        <w:ilvl w:val="4"/>
        <w:numId w:val="11"/>
      </w:numPr>
      <w:spacing w:before="40" w:after="120" w:line="276" w:lineRule="auto"/>
      <w:outlineLvl w:val="4"/>
    </w:pPr>
    <w:rPr>
      <w:rFonts w:ascii="Arial" w:eastAsiaTheme="majorEastAsia" w:hAnsi="Arial" w:cstheme="majorBidi"/>
      <w:sz w:val="28"/>
      <w:szCs w:val="24"/>
      <w:lang w:val="cs-CZ"/>
    </w:rPr>
  </w:style>
  <w:style w:type="paragraph" w:styleId="Nadpis6">
    <w:name w:val="heading 6"/>
    <w:basedOn w:val="Normln"/>
    <w:next w:val="Normln"/>
    <w:link w:val="Nadpis6Char"/>
    <w:uiPriority w:val="9"/>
    <w:semiHidden/>
    <w:unhideWhenUsed/>
    <w:qFormat/>
    <w:rsid w:val="00B66A14"/>
    <w:pPr>
      <w:keepNext/>
      <w:keepLines/>
      <w:numPr>
        <w:ilvl w:val="5"/>
        <w:numId w:val="11"/>
      </w:numPr>
      <w:spacing w:before="40"/>
      <w:outlineLvl w:val="5"/>
    </w:pPr>
    <w:rPr>
      <w:rFonts w:eastAsiaTheme="majorEastAsia" w:cstheme="majorBidi"/>
      <w:b/>
      <w:i/>
      <w:color w:val="385623" w:themeColor="accent6" w:themeShade="80"/>
    </w:rPr>
  </w:style>
  <w:style w:type="paragraph" w:styleId="Nadpis7">
    <w:name w:val="heading 7"/>
    <w:basedOn w:val="Normln"/>
    <w:next w:val="Normln"/>
    <w:link w:val="Nadpis7Char"/>
    <w:unhideWhenUsed/>
    <w:qFormat/>
    <w:rsid w:val="00B66A14"/>
    <w:pPr>
      <w:keepNext/>
      <w:keepLines/>
      <w:numPr>
        <w:ilvl w:val="6"/>
        <w:numId w:val="11"/>
      </w:numPr>
      <w:spacing w:before="240" w:after="120" w:line="276" w:lineRule="auto"/>
      <w:jc w:val="center"/>
      <w:outlineLvl w:val="6"/>
    </w:pPr>
    <w:rPr>
      <w:rFonts w:eastAsiaTheme="majorEastAsia" w:cstheme="majorBidi"/>
      <w:i/>
      <w:iCs/>
      <w:color w:val="525252" w:themeColor="accent3" w:themeShade="80"/>
      <w:szCs w:val="24"/>
      <w:lang w:val="cs-CZ"/>
    </w:rPr>
  </w:style>
  <w:style w:type="paragraph" w:styleId="Nadpis8">
    <w:name w:val="heading 8"/>
    <w:basedOn w:val="Normln"/>
    <w:next w:val="Normln"/>
    <w:link w:val="Nadpis8Char"/>
    <w:uiPriority w:val="9"/>
    <w:semiHidden/>
    <w:unhideWhenUsed/>
    <w:qFormat/>
    <w:rsid w:val="00B66A14"/>
    <w:pPr>
      <w:keepNext/>
      <w:keepLines/>
      <w:numPr>
        <w:ilvl w:val="7"/>
        <w:numId w:val="11"/>
      </w:numPr>
      <w:spacing w:before="4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B66A14"/>
    <w:pPr>
      <w:keepNext/>
      <w:keepLines/>
      <w:numPr>
        <w:ilvl w:val="8"/>
        <w:numId w:val="1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ormaltextrun">
    <w:name w:val="normaltextrun"/>
    <w:basedOn w:val="Standardnpsmoodstavce"/>
    <w:rsid w:val="00B87E14"/>
  </w:style>
  <w:style w:type="paragraph" w:styleId="Textbubliny">
    <w:name w:val="Balloon Text"/>
    <w:basedOn w:val="Normln"/>
    <w:link w:val="TextbublinyChar"/>
    <w:uiPriority w:val="99"/>
    <w:semiHidden/>
    <w:unhideWhenUsed/>
    <w:rsid w:val="00B87E14"/>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B87E14"/>
    <w:rPr>
      <w:rFonts w:ascii="Segoe UI" w:hAnsi="Segoe UI" w:cs="Segoe UI"/>
      <w:sz w:val="18"/>
      <w:szCs w:val="18"/>
    </w:rPr>
  </w:style>
  <w:style w:type="character" w:customStyle="1" w:styleId="Nadpis5Char">
    <w:name w:val="Nadpis 5 Char"/>
    <w:basedOn w:val="Standardnpsmoodstavce"/>
    <w:link w:val="Nadpis5"/>
    <w:rsid w:val="00B87E14"/>
    <w:rPr>
      <w:rFonts w:ascii="Arial" w:eastAsiaTheme="majorEastAsia" w:hAnsi="Arial" w:cstheme="majorBidi"/>
      <w:sz w:val="28"/>
      <w:szCs w:val="24"/>
      <w:lang w:val="cs-CZ"/>
    </w:rPr>
  </w:style>
  <w:style w:type="character" w:customStyle="1" w:styleId="Nadpis7Char">
    <w:name w:val="Nadpis 7 Char"/>
    <w:basedOn w:val="Standardnpsmoodstavce"/>
    <w:link w:val="Nadpis7"/>
    <w:rsid w:val="00B87E14"/>
    <w:rPr>
      <w:rFonts w:ascii="Times New Roman" w:eastAsiaTheme="majorEastAsia" w:hAnsi="Times New Roman" w:cstheme="majorBidi"/>
      <w:i/>
      <w:iCs/>
      <w:color w:val="525252" w:themeColor="accent3" w:themeShade="80"/>
      <w:sz w:val="24"/>
      <w:szCs w:val="24"/>
      <w:lang w:val="cs-CZ"/>
    </w:rPr>
  </w:style>
  <w:style w:type="paragraph" w:styleId="Odstavecseseznamem">
    <w:name w:val="List Paragraph"/>
    <w:aliases w:val="List Paragraph compact,Normal bullet 2,Paragraphe de liste 2,Reference list,Bullet list,Numbered List,List Paragraph1,1st level - Bullet List Paragraph,Lettre d'introduction,Paragraph,Bullet EY,List Paragraph11,Normal bullet 21,Nad"/>
    <w:basedOn w:val="Normln"/>
    <w:link w:val="OdstavecseseznamemChar"/>
    <w:qFormat/>
    <w:rsid w:val="00164CBE"/>
    <w:pPr>
      <w:spacing w:line="276" w:lineRule="auto"/>
      <w:ind w:left="720"/>
      <w:contextualSpacing/>
    </w:pPr>
    <w:rPr>
      <w:rFonts w:eastAsia="Calibri" w:cs="Times New Roman"/>
      <w:szCs w:val="24"/>
      <w:lang w:val="cs-CZ"/>
    </w:rPr>
  </w:style>
  <w:style w:type="paragraph" w:styleId="Textpoznpodarou">
    <w:name w:val="footnote text"/>
    <w:aliases w:val="Char1,Schriftart: 9 pt,Schriftart: 10 pt,Schriftart: 8 pt,Text poznámky pod čiarou 007,Footnote,Fußnotentextf,Geneva 9,Font: Geneva 9,Boston 10,f,pozn. pod čarou,Text pozn. pod čarou1,Char Char Char1,Footnote Text Char1,o, Char1,fn"/>
    <w:basedOn w:val="Normln"/>
    <w:link w:val="TextpoznpodarouChar"/>
    <w:uiPriority w:val="99"/>
    <w:qFormat/>
    <w:rsid w:val="00B87E14"/>
    <w:rPr>
      <w:rFonts w:eastAsia="Calibri" w:cs="Times New Roman"/>
      <w:sz w:val="20"/>
      <w:szCs w:val="20"/>
      <w:lang w:val="cs-CZ"/>
    </w:rPr>
  </w:style>
  <w:style w:type="character" w:customStyle="1" w:styleId="TextpoznpodarouChar">
    <w:name w:val="Text pozn. pod čarou Char"/>
    <w:aliases w:val="Char1 Char,Schriftart: 9 pt Char,Schriftart: 10 pt Char,Schriftart: 8 pt Char,Text poznámky pod čiarou 007 Char,Footnote Char,Fußnotentextf Char,Geneva 9 Char,Font: Geneva 9 Char,Boston 10 Char,f Char,pozn. pod čarou Char"/>
    <w:basedOn w:val="Standardnpsmoodstavce"/>
    <w:link w:val="Textpoznpodarou"/>
    <w:uiPriority w:val="99"/>
    <w:qFormat/>
    <w:rsid w:val="00B87E14"/>
    <w:rPr>
      <w:rFonts w:ascii="Times New Roman" w:eastAsia="Calibri" w:hAnsi="Times New Roman" w:cs="Times New Roman"/>
      <w:sz w:val="20"/>
      <w:szCs w:val="20"/>
      <w:lang w:val="cs-CZ"/>
    </w:rPr>
  </w:style>
  <w:style w:type="character" w:styleId="Znakapoznpodarou">
    <w:name w:val="footnote reference"/>
    <w:aliases w:val="PGI Fußnote Ziffer,BVI fnr,Footnote symbol,Footnote Reference Superscript,Appel note de bas de p,Appel note de bas de page,Légende,Char Car Car Car Car,Voetnootverwijzing,Légende;Char Car Car Car Car,Légende.Char Car Car Car Car"/>
    <w:basedOn w:val="Standardnpsmoodstavce"/>
    <w:uiPriority w:val="99"/>
    <w:qFormat/>
    <w:rsid w:val="00B87E14"/>
    <w:rPr>
      <w:rFonts w:cs="Times New Roman"/>
      <w:vertAlign w:val="superscript"/>
    </w:rPr>
  </w:style>
  <w:style w:type="character" w:styleId="Odkaznakoment">
    <w:name w:val="annotation reference"/>
    <w:basedOn w:val="Standardnpsmoodstavce"/>
    <w:uiPriority w:val="99"/>
    <w:unhideWhenUsed/>
    <w:rsid w:val="00B87E14"/>
    <w:rPr>
      <w:sz w:val="16"/>
      <w:szCs w:val="16"/>
    </w:rPr>
  </w:style>
  <w:style w:type="paragraph" w:styleId="Textkomente">
    <w:name w:val="annotation text"/>
    <w:basedOn w:val="Normln"/>
    <w:link w:val="TextkomenteChar"/>
    <w:uiPriority w:val="99"/>
    <w:unhideWhenUsed/>
    <w:rsid w:val="00B87E14"/>
    <w:pPr>
      <w:spacing w:after="120"/>
    </w:pPr>
    <w:rPr>
      <w:rFonts w:eastAsia="Calibri" w:cs="Times New Roman"/>
      <w:sz w:val="20"/>
      <w:szCs w:val="20"/>
      <w:lang w:val="cs-CZ"/>
    </w:rPr>
  </w:style>
  <w:style w:type="character" w:customStyle="1" w:styleId="TextkomenteChar">
    <w:name w:val="Text komentáře Char"/>
    <w:basedOn w:val="Standardnpsmoodstavce"/>
    <w:link w:val="Textkomente"/>
    <w:uiPriority w:val="99"/>
    <w:rsid w:val="00B87E14"/>
    <w:rPr>
      <w:rFonts w:ascii="Times New Roman" w:eastAsia="Calibri" w:hAnsi="Times New Roman" w:cs="Times New Roman"/>
      <w:sz w:val="20"/>
      <w:szCs w:val="20"/>
      <w:lang w:val="cs-CZ"/>
    </w:rPr>
  </w:style>
  <w:style w:type="paragraph" w:customStyle="1" w:styleId="ManualNumPar1">
    <w:name w:val="Manual NumPar 1"/>
    <w:basedOn w:val="Normln"/>
    <w:next w:val="Normln"/>
    <w:rsid w:val="00B87E14"/>
    <w:pPr>
      <w:spacing w:before="120" w:after="120"/>
      <w:ind w:left="850" w:hanging="850"/>
    </w:pPr>
    <w:rPr>
      <w:rFonts w:cs="Times New Roman"/>
      <w:lang w:val="cs-CZ"/>
    </w:rPr>
  </w:style>
  <w:style w:type="paragraph" w:customStyle="1" w:styleId="Titrearticle">
    <w:name w:val="Titre article"/>
    <w:basedOn w:val="Normln"/>
    <w:next w:val="Normln"/>
    <w:rsid w:val="00B87E14"/>
    <w:pPr>
      <w:keepNext/>
      <w:spacing w:before="360" w:after="120"/>
      <w:jc w:val="center"/>
    </w:pPr>
    <w:rPr>
      <w:rFonts w:cs="Times New Roman"/>
      <w:i/>
      <w:lang w:val="cs-CZ"/>
    </w:rPr>
  </w:style>
  <w:style w:type="paragraph" w:customStyle="1" w:styleId="Point1">
    <w:name w:val="Point 1"/>
    <w:basedOn w:val="Normln"/>
    <w:rsid w:val="00B87E14"/>
    <w:pPr>
      <w:spacing w:before="120" w:after="120"/>
      <w:ind w:left="1417" w:hanging="567"/>
    </w:pPr>
    <w:rPr>
      <w:rFonts w:cs="Times New Roman"/>
      <w:lang w:val="cs-CZ"/>
    </w:rPr>
  </w:style>
  <w:style w:type="paragraph" w:customStyle="1" w:styleId="ManualConsidrant">
    <w:name w:val="Manual Considérant"/>
    <w:basedOn w:val="Normln"/>
    <w:rsid w:val="00B87E14"/>
    <w:pPr>
      <w:spacing w:before="120" w:after="120"/>
      <w:ind w:left="709" w:hanging="709"/>
    </w:pPr>
    <w:rPr>
      <w:rFonts w:cs="Times New Roman"/>
      <w:lang w:val="cs-CZ"/>
    </w:rPr>
  </w:style>
  <w:style w:type="paragraph" w:customStyle="1" w:styleId="Point2">
    <w:name w:val="Point 2"/>
    <w:basedOn w:val="Normln"/>
    <w:rsid w:val="00B87E14"/>
    <w:pPr>
      <w:spacing w:before="120" w:after="120"/>
      <w:ind w:left="1984" w:hanging="567"/>
    </w:pPr>
    <w:rPr>
      <w:rFonts w:cs="Times New Roman"/>
      <w:lang w:val="cs-CZ"/>
    </w:rPr>
  </w:style>
  <w:style w:type="paragraph" w:customStyle="1" w:styleId="Text1">
    <w:name w:val="Text 1"/>
    <w:basedOn w:val="Normln"/>
    <w:rsid w:val="00B87E14"/>
    <w:pPr>
      <w:spacing w:before="120" w:after="120"/>
      <w:ind w:left="850"/>
    </w:pPr>
    <w:rPr>
      <w:rFonts w:cs="Times New Roman"/>
      <w:szCs w:val="24"/>
    </w:rPr>
  </w:style>
  <w:style w:type="character" w:styleId="Siln">
    <w:name w:val="Strong"/>
    <w:basedOn w:val="Standardnpsmoodstavce"/>
    <w:uiPriority w:val="22"/>
    <w:qFormat/>
    <w:rsid w:val="00B87E14"/>
    <w:rPr>
      <w:b/>
      <w:bCs/>
    </w:rPr>
  </w:style>
  <w:style w:type="character" w:customStyle="1" w:styleId="OdstavecseseznamemChar">
    <w:name w:val="Odstavec se seznamem Char"/>
    <w:aliases w:val="List Paragraph compact Char,Normal bullet 2 Char,Paragraphe de liste 2 Char,Reference list Char,Bullet list Char,Numbered List Char,List Paragraph1 Char,1st level - Bullet List Paragraph Char,Lettre d'introduction Char,Nad Char"/>
    <w:link w:val="Odstavecseseznamem"/>
    <w:qFormat/>
    <w:locked/>
    <w:rsid w:val="00164CBE"/>
    <w:rPr>
      <w:rFonts w:ascii="Times New Roman" w:eastAsia="Calibri" w:hAnsi="Times New Roman" w:cs="Times New Roman"/>
      <w:sz w:val="24"/>
      <w:szCs w:val="24"/>
      <w:lang w:val="cs-CZ"/>
    </w:rPr>
  </w:style>
  <w:style w:type="paragraph" w:styleId="Zhlav">
    <w:name w:val="header"/>
    <w:basedOn w:val="Normln"/>
    <w:link w:val="ZhlavChar"/>
    <w:uiPriority w:val="99"/>
    <w:unhideWhenUsed/>
    <w:rsid w:val="00B87E14"/>
    <w:pPr>
      <w:tabs>
        <w:tab w:val="center" w:pos="4513"/>
        <w:tab w:val="right" w:pos="9026"/>
      </w:tabs>
    </w:pPr>
  </w:style>
  <w:style w:type="character" w:customStyle="1" w:styleId="ZhlavChar">
    <w:name w:val="Záhlaví Char"/>
    <w:basedOn w:val="Standardnpsmoodstavce"/>
    <w:link w:val="Zhlav"/>
    <w:uiPriority w:val="99"/>
    <w:rsid w:val="00B87E14"/>
    <w:rPr>
      <w:rFonts w:ascii="Times New Roman" w:hAnsi="Times New Roman"/>
      <w:sz w:val="24"/>
    </w:rPr>
  </w:style>
  <w:style w:type="paragraph" w:styleId="Zpat">
    <w:name w:val="footer"/>
    <w:basedOn w:val="Normln"/>
    <w:link w:val="ZpatChar"/>
    <w:uiPriority w:val="99"/>
    <w:unhideWhenUsed/>
    <w:rsid w:val="00B87E14"/>
    <w:pPr>
      <w:tabs>
        <w:tab w:val="center" w:pos="4513"/>
        <w:tab w:val="right" w:pos="9026"/>
      </w:tabs>
    </w:pPr>
  </w:style>
  <w:style w:type="character" w:customStyle="1" w:styleId="ZpatChar">
    <w:name w:val="Zápatí Char"/>
    <w:basedOn w:val="Standardnpsmoodstavce"/>
    <w:link w:val="Zpat"/>
    <w:uiPriority w:val="99"/>
    <w:rsid w:val="00B87E14"/>
    <w:rPr>
      <w:rFonts w:ascii="Times New Roman" w:hAnsi="Times New Roman"/>
      <w:sz w:val="24"/>
    </w:rPr>
  </w:style>
  <w:style w:type="character" w:customStyle="1" w:styleId="Nadpis1Char">
    <w:name w:val="Nadpis 1 Char"/>
    <w:aliases w:val="A Nadpis 1 Char"/>
    <w:basedOn w:val="Standardnpsmoodstavce"/>
    <w:link w:val="Nadpis1"/>
    <w:uiPriority w:val="9"/>
    <w:rsid w:val="00A139F2"/>
    <w:rPr>
      <w:rFonts w:ascii="Times New Roman" w:eastAsiaTheme="majorEastAsia" w:hAnsi="Times New Roman" w:cs="Times New Roman"/>
      <w:b/>
      <w:bCs/>
      <w:sz w:val="28"/>
      <w:szCs w:val="32"/>
      <w:lang w:val="cs-CZ"/>
    </w:rPr>
  </w:style>
  <w:style w:type="character" w:customStyle="1" w:styleId="Nadpis2Char">
    <w:name w:val="Nadpis 2 Char"/>
    <w:aliases w:val="A Nadpis 2 Char"/>
    <w:basedOn w:val="Standardnpsmoodstavce"/>
    <w:link w:val="Nadpis2"/>
    <w:uiPriority w:val="9"/>
    <w:rsid w:val="00A139F2"/>
    <w:rPr>
      <w:rFonts w:ascii="Times New Roman" w:eastAsiaTheme="majorEastAsia" w:hAnsi="Times New Roman" w:cs="Times New Roman"/>
      <w:b/>
      <w:bCs/>
      <w:sz w:val="26"/>
      <w:szCs w:val="28"/>
      <w:lang w:val="cs-CZ"/>
    </w:rPr>
  </w:style>
  <w:style w:type="character" w:customStyle="1" w:styleId="Nadpis3Char">
    <w:name w:val="Nadpis 3 Char"/>
    <w:aliases w:val="A Nadpis 3 Char"/>
    <w:basedOn w:val="Standardnpsmoodstavce"/>
    <w:link w:val="Nadpis3"/>
    <w:uiPriority w:val="9"/>
    <w:rsid w:val="00A139F2"/>
    <w:rPr>
      <w:rFonts w:ascii="Times New Roman" w:eastAsiaTheme="majorEastAsia" w:hAnsi="Times New Roman" w:cstheme="majorBidi"/>
      <w:b/>
      <w:bCs/>
      <w:sz w:val="24"/>
      <w:szCs w:val="26"/>
    </w:rPr>
  </w:style>
  <w:style w:type="paragraph" w:styleId="Nadpisobsahu">
    <w:name w:val="TOC Heading"/>
    <w:basedOn w:val="Nadpis1"/>
    <w:next w:val="Normln"/>
    <w:uiPriority w:val="39"/>
    <w:unhideWhenUsed/>
    <w:qFormat/>
    <w:rsid w:val="0000288B"/>
    <w:pPr>
      <w:spacing w:line="259" w:lineRule="auto"/>
      <w:jc w:val="left"/>
      <w:outlineLvl w:val="9"/>
    </w:pPr>
    <w:rPr>
      <w:rFonts w:asciiTheme="majorHAnsi" w:hAnsiTheme="majorHAnsi" w:cstheme="majorBidi"/>
      <w:b w:val="0"/>
      <w:bCs w:val="0"/>
      <w:color w:val="2F5496" w:themeColor="accent1" w:themeShade="BF"/>
      <w:lang w:eastAsia="cs-CZ"/>
    </w:rPr>
  </w:style>
  <w:style w:type="paragraph" w:styleId="Obsah1">
    <w:name w:val="toc 1"/>
    <w:basedOn w:val="Normln"/>
    <w:next w:val="Normln"/>
    <w:autoRedefine/>
    <w:uiPriority w:val="39"/>
    <w:unhideWhenUsed/>
    <w:rsid w:val="00483879"/>
    <w:pPr>
      <w:spacing w:before="120" w:after="120"/>
      <w:jc w:val="left"/>
    </w:pPr>
    <w:rPr>
      <w:b/>
      <w:bCs/>
      <w:caps/>
      <w:sz w:val="20"/>
      <w:szCs w:val="20"/>
    </w:rPr>
  </w:style>
  <w:style w:type="paragraph" w:styleId="Obsah3">
    <w:name w:val="toc 3"/>
    <w:basedOn w:val="Normln"/>
    <w:next w:val="Normln"/>
    <w:autoRedefine/>
    <w:uiPriority w:val="39"/>
    <w:unhideWhenUsed/>
    <w:rsid w:val="00483879"/>
    <w:pPr>
      <w:ind w:left="480"/>
      <w:jc w:val="left"/>
    </w:pPr>
    <w:rPr>
      <w:i/>
      <w:iCs/>
      <w:sz w:val="20"/>
      <w:szCs w:val="20"/>
    </w:rPr>
  </w:style>
  <w:style w:type="character" w:styleId="Hypertextovodkaz">
    <w:name w:val="Hyperlink"/>
    <w:basedOn w:val="Standardnpsmoodstavce"/>
    <w:uiPriority w:val="99"/>
    <w:unhideWhenUsed/>
    <w:rsid w:val="0000288B"/>
    <w:rPr>
      <w:color w:val="0563C1" w:themeColor="hyperlink"/>
      <w:u w:val="single"/>
    </w:rPr>
  </w:style>
  <w:style w:type="character" w:customStyle="1" w:styleId="Nadpis6Char">
    <w:name w:val="Nadpis 6 Char"/>
    <w:basedOn w:val="Standardnpsmoodstavce"/>
    <w:link w:val="Nadpis6"/>
    <w:uiPriority w:val="9"/>
    <w:semiHidden/>
    <w:rsid w:val="00034B70"/>
    <w:rPr>
      <w:rFonts w:ascii="Times New Roman" w:eastAsiaTheme="majorEastAsia" w:hAnsi="Times New Roman" w:cstheme="majorBidi"/>
      <w:b/>
      <w:i/>
      <w:color w:val="385623" w:themeColor="accent6" w:themeShade="80"/>
      <w:sz w:val="24"/>
    </w:rPr>
  </w:style>
  <w:style w:type="paragraph" w:styleId="Titulek">
    <w:name w:val="caption"/>
    <w:basedOn w:val="Normln"/>
    <w:next w:val="Normln"/>
    <w:link w:val="TitulekChar"/>
    <w:qFormat/>
    <w:rsid w:val="0000288B"/>
    <w:pPr>
      <w:keepNext/>
      <w:spacing w:after="120"/>
    </w:pPr>
    <w:rPr>
      <w:rFonts w:eastAsia="Calibri" w:cs="Times New Roman"/>
      <w:b/>
      <w:bCs/>
      <w:szCs w:val="20"/>
      <w:lang w:val="cs-CZ"/>
    </w:rPr>
  </w:style>
  <w:style w:type="paragraph" w:customStyle="1" w:styleId="Zdroj">
    <w:name w:val="Zdroj"/>
    <w:basedOn w:val="Normln"/>
    <w:qFormat/>
    <w:rsid w:val="0000288B"/>
    <w:pPr>
      <w:spacing w:after="120"/>
    </w:pPr>
    <w:rPr>
      <w:rFonts w:eastAsia="Calibri" w:cs="Times New Roman"/>
      <w:i/>
      <w:iCs/>
      <w:sz w:val="20"/>
      <w:szCs w:val="24"/>
      <w:lang w:val="cs-CZ"/>
    </w:rPr>
  </w:style>
  <w:style w:type="table" w:styleId="Tmavtabulkasmkou5zvraznn3">
    <w:name w:val="Grid Table 5 Dark Accent 3"/>
    <w:basedOn w:val="Normlntabulka"/>
    <w:uiPriority w:val="50"/>
    <w:rsid w:val="0000288B"/>
    <w:pPr>
      <w:spacing w:after="0" w:line="240" w:lineRule="auto"/>
    </w:pPr>
    <w:rPr>
      <w:rFonts w:ascii="Calibri" w:eastAsia="Calibri" w:hAnsi="Calibri" w:cs="Times New Roman"/>
      <w:lang w:val="cs-CZ" w:eastAsia="cs-CZ"/>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Default">
    <w:name w:val="Default"/>
    <w:rsid w:val="0000288B"/>
    <w:pPr>
      <w:autoSpaceDE w:val="0"/>
      <w:autoSpaceDN w:val="0"/>
      <w:adjustRightInd w:val="0"/>
      <w:spacing w:after="0" w:line="240" w:lineRule="auto"/>
    </w:pPr>
    <w:rPr>
      <w:rFonts w:ascii="Times New Roman" w:eastAsiaTheme="minorEastAsia" w:hAnsi="Times New Roman" w:cs="Times New Roman"/>
      <w:color w:val="000000"/>
      <w:sz w:val="24"/>
      <w:szCs w:val="24"/>
      <w:lang w:val="cs-CZ"/>
    </w:rPr>
  </w:style>
  <w:style w:type="paragraph" w:styleId="Obsah2">
    <w:name w:val="toc 2"/>
    <w:basedOn w:val="Normln"/>
    <w:next w:val="Normln"/>
    <w:autoRedefine/>
    <w:uiPriority w:val="39"/>
    <w:unhideWhenUsed/>
    <w:rsid w:val="00483879"/>
    <w:pPr>
      <w:ind w:left="240"/>
      <w:jc w:val="left"/>
    </w:pPr>
    <w:rPr>
      <w:smallCaps/>
      <w:sz w:val="20"/>
      <w:szCs w:val="20"/>
    </w:rPr>
  </w:style>
  <w:style w:type="paragraph" w:styleId="Pedmtkomente">
    <w:name w:val="annotation subject"/>
    <w:basedOn w:val="Textkomente"/>
    <w:next w:val="Textkomente"/>
    <w:link w:val="PedmtkomenteChar"/>
    <w:uiPriority w:val="99"/>
    <w:semiHidden/>
    <w:unhideWhenUsed/>
    <w:rsid w:val="00CF4AEF"/>
    <w:pPr>
      <w:spacing w:after="0"/>
    </w:pPr>
    <w:rPr>
      <w:rFonts w:eastAsiaTheme="minorHAnsi" w:cstheme="minorBidi"/>
      <w:b/>
      <w:bCs/>
      <w:lang w:val="en-GB"/>
    </w:rPr>
  </w:style>
  <w:style w:type="character" w:customStyle="1" w:styleId="PedmtkomenteChar">
    <w:name w:val="Předmět komentáře Char"/>
    <w:basedOn w:val="TextkomenteChar"/>
    <w:link w:val="Pedmtkomente"/>
    <w:uiPriority w:val="99"/>
    <w:semiHidden/>
    <w:rsid w:val="00CF4AEF"/>
    <w:rPr>
      <w:rFonts w:ascii="Times New Roman" w:eastAsia="Calibri" w:hAnsi="Times New Roman" w:cs="Times New Roman"/>
      <w:b/>
      <w:bCs/>
      <w:sz w:val="20"/>
      <w:szCs w:val="20"/>
      <w:lang w:val="cs-CZ"/>
    </w:rPr>
  </w:style>
  <w:style w:type="character" w:customStyle="1" w:styleId="shorttext">
    <w:name w:val="short_text"/>
    <w:basedOn w:val="Standardnpsmoodstavce"/>
    <w:rsid w:val="00130FD1"/>
  </w:style>
  <w:style w:type="character" w:styleId="PromnnHTML">
    <w:name w:val="HTML Variable"/>
    <w:basedOn w:val="Standardnpsmoodstavce"/>
    <w:uiPriority w:val="99"/>
    <w:semiHidden/>
    <w:unhideWhenUsed/>
    <w:rsid w:val="00130FD1"/>
    <w:rPr>
      <w:i/>
      <w:iCs/>
    </w:rPr>
  </w:style>
  <w:style w:type="paragraph" w:customStyle="1" w:styleId="TabPramZprac">
    <w:name w:val="TabPramZprac"/>
    <w:basedOn w:val="Normln"/>
    <w:next w:val="Normln"/>
    <w:link w:val="TabPramZpracChar"/>
    <w:rsid w:val="00130FD1"/>
    <w:pPr>
      <w:keepNext/>
      <w:ind w:left="851" w:hanging="851"/>
    </w:pPr>
    <w:rPr>
      <w:rFonts w:ascii="Arial" w:eastAsia="Times New Roman" w:hAnsi="Arial" w:cs="Arial"/>
      <w:i/>
      <w:iCs/>
      <w:sz w:val="16"/>
      <w:szCs w:val="15"/>
      <w:lang w:val="x-none" w:eastAsia="x-none"/>
    </w:rPr>
  </w:style>
  <w:style w:type="character" w:customStyle="1" w:styleId="TabPramZpracChar">
    <w:name w:val="TabPramZprac Char"/>
    <w:link w:val="TabPramZprac"/>
    <w:rsid w:val="00130FD1"/>
    <w:rPr>
      <w:rFonts w:ascii="Arial" w:eastAsia="Times New Roman" w:hAnsi="Arial" w:cs="Arial"/>
      <w:i/>
      <w:iCs/>
      <w:sz w:val="16"/>
      <w:szCs w:val="15"/>
      <w:lang w:val="x-none" w:eastAsia="x-none"/>
    </w:rPr>
  </w:style>
  <w:style w:type="character" w:customStyle="1" w:styleId="Nadpis4Char">
    <w:name w:val="Nadpis 4 Char"/>
    <w:basedOn w:val="Standardnpsmoodstavce"/>
    <w:link w:val="Nadpis4"/>
    <w:uiPriority w:val="9"/>
    <w:rsid w:val="006752D6"/>
    <w:rPr>
      <w:rFonts w:asciiTheme="majorHAnsi" w:eastAsiaTheme="majorEastAsia" w:hAnsiTheme="majorHAnsi" w:cstheme="majorBidi"/>
      <w:i/>
      <w:iCs/>
      <w:color w:val="2F5496" w:themeColor="accent1" w:themeShade="BF"/>
      <w:sz w:val="24"/>
    </w:rPr>
  </w:style>
  <w:style w:type="character" w:customStyle="1" w:styleId="Nadpis8Char">
    <w:name w:val="Nadpis 8 Char"/>
    <w:basedOn w:val="Standardnpsmoodstavce"/>
    <w:link w:val="Nadpis8"/>
    <w:uiPriority w:val="9"/>
    <w:semiHidden/>
    <w:rsid w:val="006752D6"/>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Standardnpsmoodstavce"/>
    <w:link w:val="Nadpis9"/>
    <w:uiPriority w:val="9"/>
    <w:semiHidden/>
    <w:rsid w:val="006752D6"/>
    <w:rPr>
      <w:rFonts w:asciiTheme="majorHAnsi" w:eastAsiaTheme="majorEastAsia" w:hAnsiTheme="majorHAnsi" w:cstheme="majorBidi"/>
      <w:i/>
      <w:iCs/>
      <w:color w:val="272727" w:themeColor="text1" w:themeTint="D8"/>
      <w:sz w:val="21"/>
      <w:szCs w:val="21"/>
    </w:rPr>
  </w:style>
  <w:style w:type="paragraph" w:styleId="Podnadpis">
    <w:name w:val="Subtitle"/>
    <w:basedOn w:val="Normln"/>
    <w:next w:val="Normln"/>
    <w:link w:val="PodnadpisChar"/>
    <w:uiPriority w:val="11"/>
    <w:qFormat/>
    <w:rsid w:val="00C35E53"/>
    <w:pPr>
      <w:numPr>
        <w:ilvl w:val="1"/>
      </w:numPr>
      <w:spacing w:after="160"/>
      <w:jc w:val="center"/>
    </w:pPr>
    <w:rPr>
      <w:rFonts w:eastAsiaTheme="minorEastAsia"/>
      <w:i/>
      <w:noProof/>
      <w:color w:val="000000" w:themeColor="text1"/>
      <w:spacing w:val="15"/>
    </w:rPr>
  </w:style>
  <w:style w:type="character" w:customStyle="1" w:styleId="PodnadpisChar">
    <w:name w:val="Podnadpis Char"/>
    <w:basedOn w:val="Standardnpsmoodstavce"/>
    <w:link w:val="Podnadpis"/>
    <w:uiPriority w:val="11"/>
    <w:rsid w:val="00C35E53"/>
    <w:rPr>
      <w:rFonts w:ascii="Times New Roman" w:eastAsiaTheme="minorEastAsia" w:hAnsi="Times New Roman"/>
      <w:i/>
      <w:noProof/>
      <w:color w:val="000000" w:themeColor="text1"/>
      <w:spacing w:val="15"/>
      <w:sz w:val="24"/>
    </w:rPr>
  </w:style>
  <w:style w:type="paragraph" w:customStyle="1" w:styleId="UZEINadpis1st">
    <w:name w:val="UZEI Nadpis 1.st"/>
    <w:basedOn w:val="Nadpis1"/>
    <w:link w:val="UZEINadpis1stChar"/>
    <w:qFormat/>
    <w:rsid w:val="006660D2"/>
    <w:pPr>
      <w:spacing w:after="0" w:line="300" w:lineRule="atLeast"/>
    </w:pPr>
    <w:rPr>
      <w:rFonts w:cstheme="majorBidi"/>
      <w:bCs w:val="0"/>
      <w:color w:val="000000" w:themeColor="text1"/>
      <w:lang w:eastAsia="cs-CZ"/>
    </w:rPr>
  </w:style>
  <w:style w:type="paragraph" w:customStyle="1" w:styleId="UZEINadpis2st">
    <w:name w:val="UZEI Nadpis 2.st"/>
    <w:basedOn w:val="Nadpis2"/>
    <w:link w:val="UZEINadpis2stChar"/>
    <w:qFormat/>
    <w:rsid w:val="00784A04"/>
    <w:pPr>
      <w:numPr>
        <w:numId w:val="6"/>
      </w:numPr>
      <w:spacing w:line="300" w:lineRule="atLeast"/>
    </w:pPr>
    <w:rPr>
      <w:rFonts w:cstheme="majorBidi"/>
      <w:bCs w:val="0"/>
      <w:color w:val="000000" w:themeColor="text1"/>
      <w:szCs w:val="26"/>
      <w:lang w:eastAsia="cs-CZ"/>
    </w:rPr>
  </w:style>
  <w:style w:type="character" w:customStyle="1" w:styleId="UZEINadpis1stChar">
    <w:name w:val="UZEI Nadpis 1.st Char"/>
    <w:basedOn w:val="Nadpis1Char"/>
    <w:link w:val="UZEINadpis1st"/>
    <w:rsid w:val="006660D2"/>
    <w:rPr>
      <w:rFonts w:ascii="Times New Roman" w:eastAsiaTheme="majorEastAsia" w:hAnsi="Times New Roman" w:cstheme="majorBidi"/>
      <w:b/>
      <w:bCs w:val="0"/>
      <w:color w:val="000000" w:themeColor="text1"/>
      <w:sz w:val="28"/>
      <w:szCs w:val="32"/>
      <w:lang w:val="cs-CZ" w:eastAsia="cs-CZ"/>
    </w:rPr>
  </w:style>
  <w:style w:type="paragraph" w:customStyle="1" w:styleId="UZEINadpis3st">
    <w:name w:val="UZEI Nadpis 3.st"/>
    <w:basedOn w:val="Nadpis3"/>
    <w:link w:val="UZEINadpis3stChar"/>
    <w:qFormat/>
    <w:rsid w:val="006660D2"/>
    <w:pPr>
      <w:numPr>
        <w:ilvl w:val="0"/>
        <w:numId w:val="5"/>
      </w:numPr>
      <w:spacing w:line="300" w:lineRule="atLeast"/>
      <w:ind w:hanging="578"/>
    </w:pPr>
    <w:rPr>
      <w:bCs w:val="0"/>
      <w:i/>
      <w:color w:val="000000" w:themeColor="text1"/>
      <w:szCs w:val="24"/>
      <w:lang w:val="cs-CZ" w:eastAsia="cs-CZ"/>
    </w:rPr>
  </w:style>
  <w:style w:type="character" w:customStyle="1" w:styleId="UZEINadpis2stChar">
    <w:name w:val="UZEI Nadpis 2.st Char"/>
    <w:basedOn w:val="Nadpis2Char"/>
    <w:link w:val="UZEINadpis2st"/>
    <w:rsid w:val="006660D2"/>
    <w:rPr>
      <w:rFonts w:ascii="Times New Roman" w:eastAsiaTheme="majorEastAsia" w:hAnsi="Times New Roman" w:cstheme="majorBidi"/>
      <w:b/>
      <w:bCs w:val="0"/>
      <w:color w:val="000000" w:themeColor="text1"/>
      <w:sz w:val="26"/>
      <w:szCs w:val="26"/>
      <w:lang w:val="cs-CZ" w:eastAsia="cs-CZ"/>
    </w:rPr>
  </w:style>
  <w:style w:type="paragraph" w:customStyle="1" w:styleId="UZEINormaln">
    <w:name w:val="UZEI Normalní"/>
    <w:basedOn w:val="Normln"/>
    <w:link w:val="UZEINormalnChar"/>
    <w:qFormat/>
    <w:rsid w:val="0031504D"/>
    <w:pPr>
      <w:spacing w:before="120" w:after="120"/>
    </w:pPr>
    <w:rPr>
      <w:rFonts w:eastAsia="Times New Roman" w:cstheme="minorHAnsi"/>
      <w:szCs w:val="24"/>
      <w:lang w:val="cs-CZ" w:eastAsia="cs-CZ"/>
    </w:rPr>
  </w:style>
  <w:style w:type="character" w:customStyle="1" w:styleId="UZEINadpis3stChar">
    <w:name w:val="UZEI Nadpis 3.st Char"/>
    <w:basedOn w:val="Nadpis3Char"/>
    <w:link w:val="UZEINadpis3st"/>
    <w:rsid w:val="006660D2"/>
    <w:rPr>
      <w:rFonts w:ascii="Times New Roman" w:eastAsiaTheme="majorEastAsia" w:hAnsi="Times New Roman" w:cstheme="majorBidi"/>
      <w:b/>
      <w:bCs w:val="0"/>
      <w:i/>
      <w:color w:val="000000" w:themeColor="text1"/>
      <w:sz w:val="24"/>
      <w:szCs w:val="24"/>
      <w:lang w:val="cs-CZ" w:eastAsia="cs-CZ"/>
    </w:rPr>
  </w:style>
  <w:style w:type="paragraph" w:customStyle="1" w:styleId="UZEIOdrky">
    <w:name w:val="UZEI Odrážky"/>
    <w:basedOn w:val="Normln"/>
    <w:link w:val="UZEIOdrkyChar"/>
    <w:qFormat/>
    <w:rsid w:val="00BA3366"/>
    <w:pPr>
      <w:numPr>
        <w:numId w:val="1"/>
      </w:numPr>
      <w:autoSpaceDE w:val="0"/>
      <w:autoSpaceDN w:val="0"/>
      <w:spacing w:before="60" w:after="60"/>
    </w:pPr>
    <w:rPr>
      <w:rFonts w:eastAsia="Times New Roman" w:cs="Calibri"/>
      <w:color w:val="000000"/>
      <w:szCs w:val="24"/>
      <w:lang w:val="cs-CZ"/>
    </w:rPr>
  </w:style>
  <w:style w:type="character" w:customStyle="1" w:styleId="UZEINormalnChar">
    <w:name w:val="UZEI Normalní Char"/>
    <w:basedOn w:val="Standardnpsmoodstavce"/>
    <w:link w:val="UZEINormaln"/>
    <w:rsid w:val="0031504D"/>
    <w:rPr>
      <w:rFonts w:ascii="Times New Roman" w:eastAsia="Times New Roman" w:hAnsi="Times New Roman" w:cstheme="minorHAnsi"/>
      <w:sz w:val="24"/>
      <w:szCs w:val="24"/>
      <w:lang w:val="cs-CZ" w:eastAsia="cs-CZ"/>
    </w:rPr>
  </w:style>
  <w:style w:type="paragraph" w:customStyle="1" w:styleId="UZEINadpis4st">
    <w:name w:val="UZEI Nadpis 4.st"/>
    <w:basedOn w:val="Normln"/>
    <w:link w:val="UZEINadpis4stChar"/>
    <w:qFormat/>
    <w:rsid w:val="006660D2"/>
    <w:pPr>
      <w:spacing w:before="120" w:after="120" w:line="300" w:lineRule="atLeast"/>
    </w:pPr>
    <w:rPr>
      <w:rFonts w:eastAsia="Times New Roman" w:cs="Arial"/>
      <w:b/>
      <w:bCs/>
      <w:szCs w:val="24"/>
      <w:lang w:val="cs-CZ" w:eastAsia="cs-CZ"/>
    </w:rPr>
  </w:style>
  <w:style w:type="character" w:customStyle="1" w:styleId="UZEIOdrkyChar">
    <w:name w:val="UZEI Odrážky Char"/>
    <w:basedOn w:val="Standardnpsmoodstavce"/>
    <w:link w:val="UZEIOdrky"/>
    <w:rsid w:val="00BA3366"/>
    <w:rPr>
      <w:rFonts w:ascii="Times New Roman" w:eastAsia="Times New Roman" w:hAnsi="Times New Roman" w:cs="Calibri"/>
      <w:color w:val="000000"/>
      <w:sz w:val="24"/>
      <w:szCs w:val="24"/>
      <w:lang w:val="cs-CZ"/>
    </w:rPr>
  </w:style>
  <w:style w:type="character" w:customStyle="1" w:styleId="UZEINadpis4stChar">
    <w:name w:val="UZEI Nadpis 4.st Char"/>
    <w:basedOn w:val="Standardnpsmoodstavce"/>
    <w:link w:val="UZEINadpis4st"/>
    <w:rsid w:val="006660D2"/>
    <w:rPr>
      <w:rFonts w:ascii="Times New Roman" w:eastAsia="Times New Roman" w:hAnsi="Times New Roman" w:cs="Arial"/>
      <w:b/>
      <w:bCs/>
      <w:sz w:val="24"/>
      <w:szCs w:val="24"/>
      <w:lang w:val="cs-CZ" w:eastAsia="cs-CZ"/>
    </w:rPr>
  </w:style>
  <w:style w:type="paragraph" w:customStyle="1" w:styleId="UZEILiteratura">
    <w:name w:val="UZEI Literatura"/>
    <w:basedOn w:val="Normln"/>
    <w:link w:val="UZEILiteraturaChar"/>
    <w:qFormat/>
    <w:rsid w:val="006660D2"/>
    <w:pPr>
      <w:spacing w:before="120" w:after="180" w:line="300" w:lineRule="atLeast"/>
    </w:pPr>
    <w:rPr>
      <w:rFonts w:eastAsia="Times New Roman" w:cstheme="minorHAnsi"/>
      <w:sz w:val="20"/>
      <w:szCs w:val="20"/>
      <w:lang w:val="cs-CZ" w:eastAsia="cs-CZ"/>
    </w:rPr>
  </w:style>
  <w:style w:type="character" w:customStyle="1" w:styleId="UZEILiteraturaChar">
    <w:name w:val="UZEI Literatura Char"/>
    <w:basedOn w:val="Standardnpsmoodstavce"/>
    <w:link w:val="UZEILiteratura"/>
    <w:rsid w:val="006660D2"/>
    <w:rPr>
      <w:rFonts w:ascii="Times New Roman" w:eastAsia="Times New Roman" w:hAnsi="Times New Roman" w:cstheme="minorHAnsi"/>
      <w:sz w:val="20"/>
      <w:szCs w:val="20"/>
      <w:lang w:val="cs-CZ" w:eastAsia="cs-CZ"/>
    </w:rPr>
  </w:style>
  <w:style w:type="paragraph" w:customStyle="1" w:styleId="UZEIZdroj">
    <w:name w:val="UZEI Zdroj"/>
    <w:basedOn w:val="Normln"/>
    <w:qFormat/>
    <w:rsid w:val="006660D2"/>
    <w:pPr>
      <w:spacing w:after="120"/>
    </w:pPr>
    <w:rPr>
      <w:rFonts w:eastAsia="Calibri" w:cs="Times New Roman"/>
      <w:i/>
      <w:iCs/>
      <w:sz w:val="20"/>
      <w:szCs w:val="24"/>
      <w:lang w:val="cs-CZ"/>
    </w:rPr>
  </w:style>
  <w:style w:type="paragraph" w:customStyle="1" w:styleId="UZEIGraf">
    <w:name w:val="UZEI Graf"/>
    <w:basedOn w:val="Normln"/>
    <w:link w:val="UZEIGrafChar"/>
    <w:qFormat/>
    <w:rsid w:val="006660D2"/>
    <w:pPr>
      <w:numPr>
        <w:numId w:val="2"/>
      </w:numPr>
      <w:spacing w:before="60" w:line="300" w:lineRule="atLeast"/>
      <w:ind w:left="0" w:firstLine="0"/>
    </w:pPr>
    <w:rPr>
      <w:rFonts w:eastAsia="Times New Roman" w:cs="Arial"/>
      <w:b/>
      <w:sz w:val="20"/>
      <w:szCs w:val="20"/>
      <w:lang w:val="cs-CZ" w:eastAsia="cs-CZ"/>
    </w:rPr>
  </w:style>
  <w:style w:type="paragraph" w:customStyle="1" w:styleId="UZEINadpis1stbezsla">
    <w:name w:val="UZEI Nadpis 1. st.  bez čísla"/>
    <w:basedOn w:val="UZEINadpis1st"/>
    <w:link w:val="UZEINadpis1stbezslaChar"/>
    <w:autoRedefine/>
    <w:qFormat/>
    <w:rsid w:val="00DE7D57"/>
    <w:pPr>
      <w:numPr>
        <w:numId w:val="0"/>
      </w:numPr>
    </w:pPr>
  </w:style>
  <w:style w:type="character" w:customStyle="1" w:styleId="UZEIGrafChar">
    <w:name w:val="UZEI Graf Char"/>
    <w:basedOn w:val="UZEILiteraturaChar"/>
    <w:link w:val="UZEIGraf"/>
    <w:rsid w:val="006660D2"/>
    <w:rPr>
      <w:rFonts w:ascii="Times New Roman" w:eastAsia="Times New Roman" w:hAnsi="Times New Roman" w:cs="Arial"/>
      <w:b/>
      <w:sz w:val="20"/>
      <w:szCs w:val="20"/>
      <w:lang w:val="cs-CZ" w:eastAsia="cs-CZ"/>
    </w:rPr>
  </w:style>
  <w:style w:type="paragraph" w:customStyle="1" w:styleId="UZEINadpis2stbezsla">
    <w:name w:val="UZEI Nadpis 2. st bez čísla"/>
    <w:basedOn w:val="UZEINadpis2st"/>
    <w:link w:val="UZEINadpis2stbezslaChar"/>
    <w:qFormat/>
    <w:rsid w:val="006660D2"/>
    <w:pPr>
      <w:ind w:left="0" w:firstLine="0"/>
    </w:pPr>
  </w:style>
  <w:style w:type="character" w:customStyle="1" w:styleId="UZEINadpis1stbezslaChar">
    <w:name w:val="UZEI Nadpis 1. st.  bez čísla Char"/>
    <w:basedOn w:val="UZEIGrafChar"/>
    <w:link w:val="UZEINadpis1stbezsla"/>
    <w:rsid w:val="00DE7D57"/>
    <w:rPr>
      <w:rFonts w:ascii="Times New Roman" w:eastAsiaTheme="majorEastAsia" w:hAnsi="Times New Roman" w:cstheme="majorBidi"/>
      <w:b/>
      <w:color w:val="000000" w:themeColor="text1"/>
      <w:sz w:val="28"/>
      <w:szCs w:val="32"/>
      <w:lang w:val="cs-CZ" w:eastAsia="cs-CZ"/>
    </w:rPr>
  </w:style>
  <w:style w:type="character" w:customStyle="1" w:styleId="UZEINadpis2stbezslaChar">
    <w:name w:val="UZEI Nadpis 2. st bez čísla Char"/>
    <w:basedOn w:val="Standardnpsmoodstavce"/>
    <w:link w:val="UZEINadpis2stbezsla"/>
    <w:rsid w:val="006660D2"/>
    <w:rPr>
      <w:rFonts w:ascii="Times New Roman" w:eastAsiaTheme="majorEastAsia" w:hAnsi="Times New Roman" w:cstheme="majorBidi"/>
      <w:b/>
      <w:color w:val="000000" w:themeColor="text1"/>
      <w:sz w:val="26"/>
      <w:szCs w:val="26"/>
      <w:lang w:val="cs-CZ" w:eastAsia="cs-CZ"/>
    </w:rPr>
  </w:style>
  <w:style w:type="paragraph" w:customStyle="1" w:styleId="UZEITaB">
    <w:name w:val="UZEI TaB"/>
    <w:basedOn w:val="UZEIGraf"/>
    <w:link w:val="UZEITaBChar"/>
    <w:qFormat/>
    <w:rsid w:val="0087790C"/>
    <w:pPr>
      <w:numPr>
        <w:numId w:val="3"/>
      </w:numPr>
      <w:ind w:left="993" w:hanging="993"/>
      <w:jc w:val="left"/>
    </w:pPr>
    <w:rPr>
      <w:color w:val="000000" w:themeColor="text1"/>
    </w:rPr>
  </w:style>
  <w:style w:type="paragraph" w:customStyle="1" w:styleId="UZEIObr">
    <w:name w:val="UZEI Obr"/>
    <w:basedOn w:val="UZEIGraf"/>
    <w:link w:val="UZEIObrChar"/>
    <w:qFormat/>
    <w:rsid w:val="00E04264"/>
    <w:pPr>
      <w:numPr>
        <w:numId w:val="4"/>
      </w:numPr>
      <w:ind w:left="0" w:firstLine="0"/>
    </w:pPr>
    <w:rPr>
      <w:noProof/>
    </w:rPr>
  </w:style>
  <w:style w:type="character" w:customStyle="1" w:styleId="UZEITaBChar">
    <w:name w:val="UZEI TaB Char"/>
    <w:basedOn w:val="UZEINadpis2stbezslaChar"/>
    <w:link w:val="UZEITaB"/>
    <w:rsid w:val="0087790C"/>
    <w:rPr>
      <w:rFonts w:ascii="Times New Roman" w:eastAsia="Times New Roman" w:hAnsi="Times New Roman" w:cs="Arial"/>
      <w:b/>
      <w:color w:val="000000" w:themeColor="text1"/>
      <w:sz w:val="20"/>
      <w:szCs w:val="20"/>
      <w:lang w:val="cs-CZ" w:eastAsia="cs-CZ"/>
    </w:rPr>
  </w:style>
  <w:style w:type="character" w:customStyle="1" w:styleId="UZEIObrChar">
    <w:name w:val="UZEI Obr Char"/>
    <w:basedOn w:val="UZEINormalnChar"/>
    <w:link w:val="UZEIObr"/>
    <w:rsid w:val="00E04264"/>
    <w:rPr>
      <w:rFonts w:ascii="Times New Roman" w:eastAsia="Times New Roman" w:hAnsi="Times New Roman" w:cs="Arial"/>
      <w:b/>
      <w:noProof/>
      <w:sz w:val="20"/>
      <w:szCs w:val="20"/>
      <w:lang w:val="cs-CZ" w:eastAsia="cs-CZ"/>
    </w:rPr>
  </w:style>
  <w:style w:type="paragraph" w:customStyle="1" w:styleId="st-nazev">
    <w:name w:val="st-nazev"/>
    <w:basedOn w:val="Normln"/>
    <w:next w:val="Normln"/>
    <w:rsid w:val="00D81379"/>
    <w:pPr>
      <w:spacing w:before="5640"/>
      <w:jc w:val="center"/>
    </w:pPr>
    <w:rPr>
      <w:rFonts w:ascii="Arial" w:eastAsia="Times New Roman" w:hAnsi="Arial" w:cs="Times New Roman"/>
      <w:b/>
      <w:sz w:val="32"/>
      <w:szCs w:val="23"/>
      <w:lang w:val="cs-CZ" w:eastAsia="cs-CZ"/>
    </w:rPr>
  </w:style>
  <w:style w:type="paragraph" w:customStyle="1" w:styleId="st-rok">
    <w:name w:val="st-rok"/>
    <w:basedOn w:val="Normln"/>
    <w:rsid w:val="00D81379"/>
    <w:pPr>
      <w:spacing w:before="6000"/>
      <w:jc w:val="center"/>
    </w:pPr>
    <w:rPr>
      <w:rFonts w:eastAsia="Times New Roman" w:cs="Times New Roman"/>
      <w:b/>
      <w:szCs w:val="23"/>
      <w:lang w:val="cs-CZ" w:eastAsia="cs-CZ"/>
    </w:rPr>
  </w:style>
  <w:style w:type="paragraph" w:customStyle="1" w:styleId="UZEI">
    <w:name w:val="UZEI"/>
    <w:basedOn w:val="Normln"/>
    <w:next w:val="Normln"/>
    <w:rsid w:val="00D81379"/>
    <w:pPr>
      <w:keepNext/>
      <w:spacing w:before="120"/>
      <w:jc w:val="center"/>
    </w:pPr>
    <w:rPr>
      <w:rFonts w:ascii="Arial" w:eastAsia="Times New Roman" w:hAnsi="Arial" w:cs="Times New Roman"/>
      <w:b/>
      <w:caps/>
      <w:kern w:val="28"/>
      <w:szCs w:val="24"/>
      <w:lang w:val="x-none" w:eastAsia="x-none"/>
    </w:rPr>
  </w:style>
  <w:style w:type="paragraph" w:styleId="Obsah4">
    <w:name w:val="toc 4"/>
    <w:basedOn w:val="Normln"/>
    <w:next w:val="Normln"/>
    <w:autoRedefine/>
    <w:uiPriority w:val="39"/>
    <w:unhideWhenUsed/>
    <w:rsid w:val="00483879"/>
    <w:pPr>
      <w:ind w:left="720"/>
      <w:jc w:val="left"/>
    </w:pPr>
    <w:rPr>
      <w:sz w:val="18"/>
      <w:szCs w:val="18"/>
    </w:rPr>
  </w:style>
  <w:style w:type="paragraph" w:styleId="Obsah5">
    <w:name w:val="toc 5"/>
    <w:basedOn w:val="Normln"/>
    <w:next w:val="Normln"/>
    <w:autoRedefine/>
    <w:uiPriority w:val="39"/>
    <w:unhideWhenUsed/>
    <w:rsid w:val="00DF2B9D"/>
    <w:pPr>
      <w:ind w:left="960"/>
      <w:jc w:val="left"/>
    </w:pPr>
    <w:rPr>
      <w:rFonts w:asciiTheme="minorHAnsi" w:hAnsiTheme="minorHAnsi"/>
      <w:sz w:val="18"/>
      <w:szCs w:val="18"/>
    </w:rPr>
  </w:style>
  <w:style w:type="paragraph" w:styleId="Obsah6">
    <w:name w:val="toc 6"/>
    <w:basedOn w:val="Normln"/>
    <w:next w:val="Normln"/>
    <w:autoRedefine/>
    <w:uiPriority w:val="39"/>
    <w:unhideWhenUsed/>
    <w:rsid w:val="00DF2B9D"/>
    <w:pPr>
      <w:ind w:left="1200"/>
      <w:jc w:val="left"/>
    </w:pPr>
    <w:rPr>
      <w:rFonts w:asciiTheme="minorHAnsi" w:hAnsiTheme="minorHAnsi"/>
      <w:sz w:val="18"/>
      <w:szCs w:val="18"/>
    </w:rPr>
  </w:style>
  <w:style w:type="paragraph" w:styleId="Obsah7">
    <w:name w:val="toc 7"/>
    <w:basedOn w:val="Normln"/>
    <w:next w:val="Normln"/>
    <w:autoRedefine/>
    <w:uiPriority w:val="39"/>
    <w:unhideWhenUsed/>
    <w:rsid w:val="00DF2B9D"/>
    <w:pPr>
      <w:ind w:left="1440"/>
      <w:jc w:val="left"/>
    </w:pPr>
    <w:rPr>
      <w:rFonts w:asciiTheme="minorHAnsi" w:hAnsiTheme="minorHAnsi"/>
      <w:sz w:val="18"/>
      <w:szCs w:val="18"/>
    </w:rPr>
  </w:style>
  <w:style w:type="paragraph" w:styleId="Obsah8">
    <w:name w:val="toc 8"/>
    <w:basedOn w:val="Normln"/>
    <w:next w:val="Normln"/>
    <w:autoRedefine/>
    <w:uiPriority w:val="39"/>
    <w:unhideWhenUsed/>
    <w:rsid w:val="00DF2B9D"/>
    <w:pPr>
      <w:ind w:left="1680"/>
      <w:jc w:val="left"/>
    </w:pPr>
    <w:rPr>
      <w:rFonts w:asciiTheme="minorHAnsi" w:hAnsiTheme="minorHAnsi"/>
      <w:sz w:val="18"/>
      <w:szCs w:val="18"/>
    </w:rPr>
  </w:style>
  <w:style w:type="paragraph" w:styleId="Obsah9">
    <w:name w:val="toc 9"/>
    <w:basedOn w:val="Normln"/>
    <w:next w:val="Normln"/>
    <w:autoRedefine/>
    <w:uiPriority w:val="39"/>
    <w:unhideWhenUsed/>
    <w:rsid w:val="00DF2B9D"/>
    <w:pPr>
      <w:ind w:left="1920"/>
      <w:jc w:val="left"/>
    </w:pPr>
    <w:rPr>
      <w:rFonts w:asciiTheme="minorHAnsi" w:hAnsiTheme="minorHAnsi"/>
      <w:sz w:val="18"/>
      <w:szCs w:val="18"/>
    </w:rPr>
  </w:style>
  <w:style w:type="character" w:customStyle="1" w:styleId="TitulekChar">
    <w:name w:val="Titulek Char"/>
    <w:link w:val="Titulek"/>
    <w:locked/>
    <w:rsid w:val="00A16DDB"/>
    <w:rPr>
      <w:rFonts w:ascii="Times New Roman" w:eastAsia="Calibri" w:hAnsi="Times New Roman" w:cs="Times New Roman"/>
      <w:b/>
      <w:bCs/>
      <w:sz w:val="24"/>
      <w:szCs w:val="20"/>
      <w:lang w:val="cs-CZ"/>
    </w:rPr>
  </w:style>
  <w:style w:type="paragraph" w:styleId="Zkladntext">
    <w:name w:val="Body Text"/>
    <w:basedOn w:val="Normln"/>
    <w:link w:val="ZkladntextChar"/>
    <w:uiPriority w:val="99"/>
    <w:rsid w:val="00A16DDB"/>
    <w:pPr>
      <w:autoSpaceDE w:val="0"/>
      <w:autoSpaceDN w:val="0"/>
    </w:pPr>
    <w:rPr>
      <w:rFonts w:eastAsia="Times New Roman" w:cs="Times New Roman"/>
      <w:sz w:val="20"/>
      <w:szCs w:val="20"/>
      <w:lang w:val="cs-CZ"/>
    </w:rPr>
  </w:style>
  <w:style w:type="character" w:customStyle="1" w:styleId="ZkladntextChar">
    <w:name w:val="Základní text Char"/>
    <w:basedOn w:val="Standardnpsmoodstavce"/>
    <w:link w:val="Zkladntext"/>
    <w:uiPriority w:val="99"/>
    <w:rsid w:val="00A16DDB"/>
    <w:rPr>
      <w:rFonts w:ascii="Times New Roman" w:eastAsia="Times New Roman" w:hAnsi="Times New Roman" w:cs="Times New Roman"/>
      <w:sz w:val="20"/>
      <w:szCs w:val="20"/>
      <w:lang w:val="cs-CZ"/>
    </w:rPr>
  </w:style>
  <w:style w:type="paragraph" w:styleId="Normlnweb">
    <w:name w:val="Normal (Web)"/>
    <w:basedOn w:val="Normln"/>
    <w:uiPriority w:val="99"/>
    <w:unhideWhenUsed/>
    <w:rsid w:val="00A16DDB"/>
    <w:pPr>
      <w:spacing w:before="100" w:beforeAutospacing="1" w:after="100" w:afterAutospacing="1"/>
      <w:jc w:val="left"/>
    </w:pPr>
    <w:rPr>
      <w:rFonts w:eastAsia="Times New Roman" w:cs="Times New Roman"/>
      <w:szCs w:val="24"/>
      <w:lang w:val="cs-CZ" w:eastAsia="cs-CZ"/>
    </w:rPr>
  </w:style>
  <w:style w:type="table" w:styleId="Mkatabulky">
    <w:name w:val="Table Grid"/>
    <w:basedOn w:val="Normlntabulka"/>
    <w:uiPriority w:val="59"/>
    <w:rsid w:val="00A16DDB"/>
    <w:pPr>
      <w:spacing w:after="0" w:line="240" w:lineRule="auto"/>
    </w:pPr>
    <w:rPr>
      <w:rFonts w:ascii="Calibri" w:eastAsia="Calibri" w:hAnsi="Calibri" w:cs="Times New Roman"/>
      <w:sz w:val="20"/>
      <w:szCs w:val="20"/>
      <w:lang w:val="cs-CZ"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mall">
    <w:name w:val="small"/>
    <w:basedOn w:val="Standardnpsmoodstavce"/>
    <w:rsid w:val="00A16DDB"/>
  </w:style>
  <w:style w:type="paragraph" w:customStyle="1" w:styleId="PageHeading">
    <w:name w:val="PageHeading"/>
    <w:rsid w:val="00A16DDB"/>
    <w:pPr>
      <w:keepNext/>
      <w:widowControl w:val="0"/>
      <w:spacing w:before="240" w:after="240" w:line="240" w:lineRule="auto"/>
      <w:jc w:val="center"/>
    </w:pPr>
    <w:rPr>
      <w:rFonts w:ascii="Arial" w:eastAsia="Times New Roman" w:hAnsi="Arial" w:cs="Times New Roman"/>
      <w:b/>
      <w:sz w:val="24"/>
      <w:szCs w:val="20"/>
      <w:lang w:val="cs-CZ" w:eastAsia="fr-FR"/>
    </w:rPr>
  </w:style>
  <w:style w:type="character" w:styleId="Zdraznnjemn">
    <w:name w:val="Subtle Emphasis"/>
    <w:uiPriority w:val="19"/>
    <w:qFormat/>
    <w:rsid w:val="00A16DDB"/>
    <w:rPr>
      <w:i/>
      <w:iCs/>
      <w:color w:val="404040"/>
    </w:rPr>
  </w:style>
  <w:style w:type="paragraph" w:styleId="Bezmezer">
    <w:name w:val="No Spacing"/>
    <w:uiPriority w:val="1"/>
    <w:qFormat/>
    <w:rsid w:val="00A16DDB"/>
    <w:pPr>
      <w:spacing w:after="0" w:line="240" w:lineRule="auto"/>
    </w:pPr>
    <w:rPr>
      <w:rFonts w:ascii="Calibri" w:eastAsia="Calibri" w:hAnsi="Calibri" w:cs="Times New Roman"/>
      <w:lang w:val="cs-CZ"/>
    </w:rPr>
  </w:style>
  <w:style w:type="character" w:styleId="Odkazintenzivn">
    <w:name w:val="Intense Reference"/>
    <w:uiPriority w:val="32"/>
    <w:qFormat/>
    <w:rsid w:val="00A16DDB"/>
    <w:rPr>
      <w:b/>
      <w:bCs/>
      <w:smallCaps/>
      <w:color w:val="5B9BD5"/>
      <w:spacing w:val="5"/>
    </w:rPr>
  </w:style>
  <w:style w:type="paragraph" w:styleId="Revize">
    <w:name w:val="Revision"/>
    <w:hidden/>
    <w:uiPriority w:val="99"/>
    <w:semiHidden/>
    <w:rsid w:val="00A16DDB"/>
    <w:pPr>
      <w:spacing w:after="0" w:line="240" w:lineRule="auto"/>
    </w:pPr>
    <w:rPr>
      <w:rFonts w:ascii="Calibri" w:eastAsia="Calibri" w:hAnsi="Calibri" w:cs="Times New Roman"/>
      <w:lang w:val="cs-CZ"/>
    </w:rPr>
  </w:style>
  <w:style w:type="character" w:styleId="Sledovanodkaz">
    <w:name w:val="FollowedHyperlink"/>
    <w:basedOn w:val="Standardnpsmoodstavce"/>
    <w:uiPriority w:val="99"/>
    <w:semiHidden/>
    <w:unhideWhenUsed/>
    <w:rsid w:val="00A16DDB"/>
    <w:rPr>
      <w:color w:val="954F72" w:themeColor="followedHyperlink"/>
      <w:u w:val="single"/>
    </w:rPr>
  </w:style>
  <w:style w:type="paragraph" w:customStyle="1" w:styleId="Styl5">
    <w:name w:val="Styl5"/>
    <w:basedOn w:val="Normln"/>
    <w:link w:val="Styl5Char"/>
    <w:qFormat/>
    <w:rsid w:val="00A16DDB"/>
    <w:pPr>
      <w:tabs>
        <w:tab w:val="left" w:pos="0"/>
        <w:tab w:val="left" w:pos="142"/>
      </w:tabs>
      <w:ind w:right="-2"/>
    </w:pPr>
    <w:rPr>
      <w:rFonts w:ascii="Gill Sans MT" w:eastAsia="Times New Roman" w:hAnsi="Gill Sans MT" w:cs="Times New Roman"/>
      <w:bCs/>
      <w:szCs w:val="24"/>
      <w:lang w:val="x-none" w:eastAsia="x-none"/>
    </w:rPr>
  </w:style>
  <w:style w:type="character" w:customStyle="1" w:styleId="Styl5Char">
    <w:name w:val="Styl5 Char"/>
    <w:link w:val="Styl5"/>
    <w:rsid w:val="00A16DDB"/>
    <w:rPr>
      <w:rFonts w:ascii="Gill Sans MT" w:eastAsia="Times New Roman" w:hAnsi="Gill Sans MT" w:cs="Times New Roman"/>
      <w:bCs/>
      <w:sz w:val="24"/>
      <w:szCs w:val="24"/>
      <w:lang w:val="x-none" w:eastAsia="x-none"/>
    </w:rPr>
  </w:style>
  <w:style w:type="paragraph" w:customStyle="1" w:styleId="Obsahtabulky">
    <w:name w:val="Obsah tabulky"/>
    <w:basedOn w:val="Normln"/>
    <w:rsid w:val="00A16DDB"/>
    <w:pPr>
      <w:suppressLineNumbers/>
      <w:suppressAutoHyphens/>
      <w:jc w:val="left"/>
    </w:pPr>
    <w:rPr>
      <w:rFonts w:eastAsia="Times New Roman" w:cs="Times New Roman"/>
      <w:szCs w:val="24"/>
      <w:lang w:val="cs-CZ" w:eastAsia="ar-SA"/>
    </w:rPr>
  </w:style>
  <w:style w:type="paragraph" w:customStyle="1" w:styleId="perex">
    <w:name w:val="perex"/>
    <w:basedOn w:val="Normln"/>
    <w:rsid w:val="00A16DDB"/>
    <w:pPr>
      <w:spacing w:before="100" w:beforeAutospacing="1" w:after="100" w:afterAutospacing="1"/>
      <w:jc w:val="left"/>
    </w:pPr>
    <w:rPr>
      <w:rFonts w:eastAsia="Times New Roman" w:cs="Times New Roman"/>
      <w:szCs w:val="24"/>
      <w:lang w:val="cs-CZ" w:eastAsia="cs-CZ"/>
    </w:rPr>
  </w:style>
  <w:style w:type="character" w:styleId="Nevyeenzmnka">
    <w:name w:val="Unresolved Mention"/>
    <w:basedOn w:val="Standardnpsmoodstavce"/>
    <w:uiPriority w:val="99"/>
    <w:semiHidden/>
    <w:unhideWhenUsed/>
    <w:rsid w:val="00A16DDB"/>
    <w:rPr>
      <w:color w:val="605E5C"/>
      <w:shd w:val="clear" w:color="auto" w:fill="E1DFDD"/>
    </w:rPr>
  </w:style>
  <w:style w:type="character" w:customStyle="1" w:styleId="st">
    <w:name w:val="st"/>
    <w:basedOn w:val="Standardnpsmoodstavce"/>
    <w:rsid w:val="00A16DDB"/>
  </w:style>
  <w:style w:type="character" w:customStyle="1" w:styleId="e24kjd">
    <w:name w:val="e24kjd"/>
    <w:basedOn w:val="Standardnpsmoodstavce"/>
    <w:rsid w:val="00A16DDB"/>
  </w:style>
  <w:style w:type="character" w:customStyle="1" w:styleId="tlid-translation">
    <w:name w:val="tlid-translation"/>
    <w:basedOn w:val="Standardnpsmoodstavce"/>
    <w:rsid w:val="00A16DDB"/>
  </w:style>
  <w:style w:type="paragraph" w:customStyle="1" w:styleId="Point0">
    <w:name w:val="Point 0"/>
    <w:basedOn w:val="Normln"/>
    <w:rsid w:val="00A16DDB"/>
    <w:pPr>
      <w:spacing w:before="120" w:after="120"/>
      <w:ind w:left="850" w:hanging="850"/>
    </w:pPr>
    <w:rPr>
      <w:rFonts w:cs="Times New Roman"/>
      <w:lang w:val="cs-CZ"/>
    </w:rPr>
  </w:style>
  <w:style w:type="table" w:customStyle="1" w:styleId="Mkatabulky1">
    <w:name w:val="Mřížka tabulky1"/>
    <w:basedOn w:val="Normlntabulka"/>
    <w:uiPriority w:val="39"/>
    <w:rsid w:val="00A16DDB"/>
    <w:pPr>
      <w:spacing w:after="0" w:line="240" w:lineRule="auto"/>
    </w:pPr>
    <w:rPr>
      <w:lang w:val="cs-CZ"/>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2">
    <w:name w:val="Mřížka tabulky2"/>
    <w:basedOn w:val="Normlntabulka"/>
    <w:uiPriority w:val="37"/>
    <w:rsid w:val="00A16DDB"/>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2">
    <w:name w:val="Styl2"/>
    <w:basedOn w:val="Normln"/>
    <w:link w:val="Styl2Char"/>
    <w:qFormat/>
    <w:rsid w:val="00A16DDB"/>
    <w:pPr>
      <w:tabs>
        <w:tab w:val="left" w:pos="3119"/>
        <w:tab w:val="left" w:pos="9070"/>
      </w:tabs>
      <w:ind w:right="-2"/>
    </w:pPr>
    <w:rPr>
      <w:rFonts w:ascii="Gill Sans MT" w:eastAsia="Times New Roman" w:hAnsi="Gill Sans MT" w:cs="Times New Roman"/>
      <w:szCs w:val="24"/>
      <w:lang w:val="x-none" w:eastAsia="x-none"/>
    </w:rPr>
  </w:style>
  <w:style w:type="character" w:customStyle="1" w:styleId="Styl2Char">
    <w:name w:val="Styl2 Char"/>
    <w:link w:val="Styl2"/>
    <w:rsid w:val="00A16DDB"/>
    <w:rPr>
      <w:rFonts w:ascii="Gill Sans MT" w:eastAsia="Times New Roman" w:hAnsi="Gill Sans MT" w:cs="Times New Roman"/>
      <w:sz w:val="24"/>
      <w:szCs w:val="24"/>
      <w:lang w:val="x-none" w:eastAsia="x-none"/>
    </w:rPr>
  </w:style>
  <w:style w:type="paragraph" w:customStyle="1" w:styleId="Standard">
    <w:name w:val="Standard"/>
    <w:rsid w:val="00A16DDB"/>
    <w:pPr>
      <w:widowControl w:val="0"/>
      <w:suppressAutoHyphens/>
      <w:autoSpaceDN w:val="0"/>
      <w:spacing w:after="0" w:line="240" w:lineRule="auto"/>
      <w:textAlignment w:val="baseline"/>
    </w:pPr>
    <w:rPr>
      <w:rFonts w:ascii="Liberation Serif" w:eastAsia="Droid Sans Fallback" w:hAnsi="Liberation Serif" w:cs="FreeSans"/>
      <w:kern w:val="3"/>
      <w:sz w:val="24"/>
      <w:szCs w:val="24"/>
      <w:lang w:val="cs-CZ" w:eastAsia="zh-CN" w:bidi="hi-IN"/>
    </w:rPr>
  </w:style>
  <w:style w:type="character" w:customStyle="1" w:styleId="normaltextrun1">
    <w:name w:val="normaltextrun1"/>
    <w:basedOn w:val="Standardnpsmoodstavce"/>
    <w:rsid w:val="00A16DDB"/>
  </w:style>
  <w:style w:type="paragraph" w:customStyle="1" w:styleId="paragraph">
    <w:name w:val="paragraph"/>
    <w:basedOn w:val="Normln"/>
    <w:rsid w:val="00A16DDB"/>
    <w:pPr>
      <w:jc w:val="left"/>
    </w:pPr>
    <w:rPr>
      <w:rFonts w:eastAsia="Times New Roman" w:cs="Times New Roman"/>
      <w:szCs w:val="24"/>
      <w:lang w:val="cs-CZ" w:eastAsia="cs-CZ"/>
    </w:rPr>
  </w:style>
  <w:style w:type="character" w:customStyle="1" w:styleId="contextualspellingandgrammarerror">
    <w:name w:val="contextualspellingandgrammarerror"/>
    <w:basedOn w:val="Standardnpsmoodstavce"/>
    <w:rsid w:val="00A16DDB"/>
  </w:style>
  <w:style w:type="character" w:customStyle="1" w:styleId="eop">
    <w:name w:val="eop"/>
    <w:basedOn w:val="Standardnpsmoodstavce"/>
    <w:rsid w:val="00A16DDB"/>
  </w:style>
  <w:style w:type="paragraph" w:customStyle="1" w:styleId="detailannotation">
    <w:name w:val="detail__annotation"/>
    <w:basedOn w:val="Normln"/>
    <w:rsid w:val="00A16DDB"/>
    <w:pPr>
      <w:spacing w:before="100" w:beforeAutospacing="1" w:after="100" w:afterAutospacing="1"/>
      <w:jc w:val="left"/>
    </w:pPr>
    <w:rPr>
      <w:rFonts w:eastAsia="Times New Roman" w:cs="Times New Roman"/>
      <w:szCs w:val="24"/>
      <w:lang w:val="cs-CZ" w:eastAsia="cs-CZ"/>
    </w:rPr>
  </w:style>
  <w:style w:type="paragraph" w:customStyle="1" w:styleId="logo">
    <w:name w:val="logo"/>
    <w:basedOn w:val="Normln"/>
    <w:rsid w:val="00CA2783"/>
    <w:pPr>
      <w:keepNext/>
      <w:jc w:val="center"/>
    </w:pPr>
    <w:rPr>
      <w:rFonts w:ascii="Arial" w:eastAsia="Times New Roman" w:hAnsi="Arial" w:cs="Times New Roman"/>
      <w:b/>
      <w:bCs/>
      <w:caps/>
      <w:kern w:val="28"/>
      <w:sz w:val="28"/>
      <w:szCs w:val="20"/>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51069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chart" Target="charts/chart10.xml"/><Relationship Id="rId21" Type="http://schemas.openxmlformats.org/officeDocument/2006/relationships/image" Target="media/image14.emf"/><Relationship Id="rId42" Type="http://schemas.openxmlformats.org/officeDocument/2006/relationships/image" Target="media/image28.emf"/><Relationship Id="rId63" Type="http://schemas.openxmlformats.org/officeDocument/2006/relationships/image" Target="media/image43.emf"/><Relationship Id="rId84" Type="http://schemas.openxmlformats.org/officeDocument/2006/relationships/image" Target="media/image58.emf"/><Relationship Id="rId138" Type="http://schemas.openxmlformats.org/officeDocument/2006/relationships/chart" Target="charts/chart17.xml"/><Relationship Id="rId159" Type="http://schemas.openxmlformats.org/officeDocument/2006/relationships/header" Target="header12.xml"/><Relationship Id="rId170" Type="http://schemas.openxmlformats.org/officeDocument/2006/relationships/chart" Target="charts/chart24.xml"/><Relationship Id="rId191" Type="http://schemas.openxmlformats.org/officeDocument/2006/relationships/image" Target="media/image117.emf"/><Relationship Id="rId205" Type="http://schemas.openxmlformats.org/officeDocument/2006/relationships/image" Target="media/image127.emf"/><Relationship Id="rId107" Type="http://schemas.openxmlformats.org/officeDocument/2006/relationships/image" Target="media/image77.emf"/><Relationship Id="rId11" Type="http://schemas.openxmlformats.org/officeDocument/2006/relationships/image" Target="media/image4.emf"/><Relationship Id="rId32" Type="http://schemas.openxmlformats.org/officeDocument/2006/relationships/image" Target="media/image20.emf"/><Relationship Id="rId53" Type="http://schemas.openxmlformats.org/officeDocument/2006/relationships/footer" Target="footer6.xml"/><Relationship Id="rId74" Type="http://schemas.openxmlformats.org/officeDocument/2006/relationships/image" Target="media/image52.emf"/><Relationship Id="rId128" Type="http://schemas.openxmlformats.org/officeDocument/2006/relationships/image" Target="media/image86.emf"/><Relationship Id="rId149" Type="http://schemas.openxmlformats.org/officeDocument/2006/relationships/image" Target="media/image98.emf"/><Relationship Id="rId5" Type="http://schemas.openxmlformats.org/officeDocument/2006/relationships/webSettings" Target="webSettings.xml"/><Relationship Id="rId95" Type="http://schemas.openxmlformats.org/officeDocument/2006/relationships/image" Target="media/image65.emf"/><Relationship Id="rId160" Type="http://schemas.openxmlformats.org/officeDocument/2006/relationships/footer" Target="footer15.xml"/><Relationship Id="rId181" Type="http://schemas.openxmlformats.org/officeDocument/2006/relationships/image" Target="media/image113.emf"/><Relationship Id="rId22" Type="http://schemas.openxmlformats.org/officeDocument/2006/relationships/image" Target="media/image15.emf"/><Relationship Id="rId43" Type="http://schemas.openxmlformats.org/officeDocument/2006/relationships/image" Target="media/image29.emf"/><Relationship Id="rId64" Type="http://schemas.openxmlformats.org/officeDocument/2006/relationships/image" Target="media/image44.emf"/><Relationship Id="rId118" Type="http://schemas.openxmlformats.org/officeDocument/2006/relationships/image" Target="media/image82.emf"/><Relationship Id="rId139" Type="http://schemas.openxmlformats.org/officeDocument/2006/relationships/chart" Target="charts/chart18.xml"/><Relationship Id="rId85" Type="http://schemas.openxmlformats.org/officeDocument/2006/relationships/image" Target="media/image59.emf"/><Relationship Id="rId150" Type="http://schemas.openxmlformats.org/officeDocument/2006/relationships/image" Target="media/image99.png"/><Relationship Id="rId171" Type="http://schemas.openxmlformats.org/officeDocument/2006/relationships/image" Target="media/image107.emf"/><Relationship Id="rId192" Type="http://schemas.openxmlformats.org/officeDocument/2006/relationships/image" Target="media/image118.emf"/><Relationship Id="rId206" Type="http://schemas.openxmlformats.org/officeDocument/2006/relationships/image" Target="media/image128.emf"/><Relationship Id="rId12" Type="http://schemas.openxmlformats.org/officeDocument/2006/relationships/image" Target="media/image5.emf"/><Relationship Id="rId33" Type="http://schemas.openxmlformats.org/officeDocument/2006/relationships/image" Target="media/image21.png"/><Relationship Id="rId108" Type="http://schemas.openxmlformats.org/officeDocument/2006/relationships/image" Target="media/image78.emf"/><Relationship Id="rId129" Type="http://schemas.openxmlformats.org/officeDocument/2006/relationships/image" Target="media/image87.png"/><Relationship Id="rId54" Type="http://schemas.openxmlformats.org/officeDocument/2006/relationships/image" Target="media/image36.emf"/><Relationship Id="rId75" Type="http://schemas.openxmlformats.org/officeDocument/2006/relationships/chart" Target="charts/chart3.xml"/><Relationship Id="rId96" Type="http://schemas.openxmlformats.org/officeDocument/2006/relationships/image" Target="media/image66.emf"/><Relationship Id="rId140" Type="http://schemas.openxmlformats.org/officeDocument/2006/relationships/image" Target="media/image93.emf"/><Relationship Id="rId161" Type="http://schemas.openxmlformats.org/officeDocument/2006/relationships/image" Target="media/image104.emf"/><Relationship Id="rId182" Type="http://schemas.openxmlformats.org/officeDocument/2006/relationships/footer" Target="footer19.xml"/><Relationship Id="rId6" Type="http://schemas.openxmlformats.org/officeDocument/2006/relationships/footnotes" Target="footnotes.xml"/><Relationship Id="rId23" Type="http://schemas.openxmlformats.org/officeDocument/2006/relationships/image" Target="media/image16.emf"/><Relationship Id="rId119" Type="http://schemas.openxmlformats.org/officeDocument/2006/relationships/chart" Target="charts/chart11.xml"/><Relationship Id="rId44" Type="http://schemas.openxmlformats.org/officeDocument/2006/relationships/image" Target="media/image30.emf"/><Relationship Id="rId65" Type="http://schemas.openxmlformats.org/officeDocument/2006/relationships/image" Target="media/image45.emf"/><Relationship Id="rId86" Type="http://schemas.openxmlformats.org/officeDocument/2006/relationships/image" Target="media/image60.emf"/><Relationship Id="rId130" Type="http://schemas.openxmlformats.org/officeDocument/2006/relationships/image" Target="media/image88.emf"/><Relationship Id="rId151" Type="http://schemas.openxmlformats.org/officeDocument/2006/relationships/footer" Target="footer13.xml"/><Relationship Id="rId172" Type="http://schemas.openxmlformats.org/officeDocument/2006/relationships/chart" Target="charts/chart25.xml"/><Relationship Id="rId193" Type="http://schemas.openxmlformats.org/officeDocument/2006/relationships/image" Target="media/image119.emf"/><Relationship Id="rId207" Type="http://schemas.openxmlformats.org/officeDocument/2006/relationships/chart" Target="charts/chart38.xml"/><Relationship Id="rId13" Type="http://schemas.openxmlformats.org/officeDocument/2006/relationships/image" Target="media/image6.emf"/><Relationship Id="rId109" Type="http://schemas.openxmlformats.org/officeDocument/2006/relationships/chart" Target="charts/chart5.xml"/><Relationship Id="rId34" Type="http://schemas.openxmlformats.org/officeDocument/2006/relationships/image" Target="media/image22.png"/><Relationship Id="rId55" Type="http://schemas.openxmlformats.org/officeDocument/2006/relationships/image" Target="media/image37.emf"/><Relationship Id="rId76" Type="http://schemas.openxmlformats.org/officeDocument/2006/relationships/image" Target="media/image53.emf"/><Relationship Id="rId97" Type="http://schemas.openxmlformats.org/officeDocument/2006/relationships/image" Target="media/image67.emf"/><Relationship Id="rId120" Type="http://schemas.openxmlformats.org/officeDocument/2006/relationships/chart" Target="charts/chart12.xml"/><Relationship Id="rId141" Type="http://schemas.openxmlformats.org/officeDocument/2006/relationships/chart" Target="charts/chart19.xml"/><Relationship Id="rId7" Type="http://schemas.openxmlformats.org/officeDocument/2006/relationships/endnotes" Target="endnotes.xml"/><Relationship Id="rId162" Type="http://schemas.openxmlformats.org/officeDocument/2006/relationships/image" Target="media/image105.emf"/><Relationship Id="rId183" Type="http://schemas.openxmlformats.org/officeDocument/2006/relationships/image" Target="media/image114.emf"/><Relationship Id="rId24" Type="http://schemas.openxmlformats.org/officeDocument/2006/relationships/footer" Target="footer1.xml"/><Relationship Id="rId45" Type="http://schemas.openxmlformats.org/officeDocument/2006/relationships/image" Target="media/image31.emf"/><Relationship Id="rId66" Type="http://schemas.openxmlformats.org/officeDocument/2006/relationships/image" Target="media/image46.emf"/><Relationship Id="rId87" Type="http://schemas.openxmlformats.org/officeDocument/2006/relationships/header" Target="header8.xml"/><Relationship Id="rId110" Type="http://schemas.openxmlformats.org/officeDocument/2006/relationships/chart" Target="charts/chart6.xml"/><Relationship Id="rId131" Type="http://schemas.openxmlformats.org/officeDocument/2006/relationships/image" Target="media/image89.png"/><Relationship Id="rId152" Type="http://schemas.openxmlformats.org/officeDocument/2006/relationships/image" Target="media/image100.emf"/><Relationship Id="rId173" Type="http://schemas.openxmlformats.org/officeDocument/2006/relationships/chart" Target="charts/chart26.xml"/><Relationship Id="rId194" Type="http://schemas.openxmlformats.org/officeDocument/2006/relationships/image" Target="media/image120.emf"/><Relationship Id="rId208" Type="http://schemas.openxmlformats.org/officeDocument/2006/relationships/chart" Target="charts/chart39.xml"/><Relationship Id="rId19" Type="http://schemas.openxmlformats.org/officeDocument/2006/relationships/image" Target="media/image12.emf"/><Relationship Id="rId14" Type="http://schemas.openxmlformats.org/officeDocument/2006/relationships/image" Target="media/image7.emf"/><Relationship Id="rId30" Type="http://schemas.openxmlformats.org/officeDocument/2006/relationships/header" Target="header2.xml"/><Relationship Id="rId35" Type="http://schemas.openxmlformats.org/officeDocument/2006/relationships/image" Target="media/image23.emf"/><Relationship Id="rId56" Type="http://schemas.openxmlformats.org/officeDocument/2006/relationships/image" Target="media/image38.emf"/><Relationship Id="rId77" Type="http://schemas.openxmlformats.org/officeDocument/2006/relationships/chart" Target="charts/chart4.xml"/><Relationship Id="rId100" Type="http://schemas.openxmlformats.org/officeDocument/2006/relationships/image" Target="media/image70.emf"/><Relationship Id="rId105" Type="http://schemas.openxmlformats.org/officeDocument/2006/relationships/image" Target="media/image75.emf"/><Relationship Id="rId126" Type="http://schemas.openxmlformats.org/officeDocument/2006/relationships/chart" Target="charts/chart16.xml"/><Relationship Id="rId147" Type="http://schemas.openxmlformats.org/officeDocument/2006/relationships/image" Target="media/image96.emf"/><Relationship Id="rId168" Type="http://schemas.openxmlformats.org/officeDocument/2006/relationships/header" Target="header15.xml"/><Relationship Id="rId8" Type="http://schemas.openxmlformats.org/officeDocument/2006/relationships/image" Target="media/image1.png"/><Relationship Id="rId51" Type="http://schemas.openxmlformats.org/officeDocument/2006/relationships/image" Target="media/image35.emf"/><Relationship Id="rId72" Type="http://schemas.openxmlformats.org/officeDocument/2006/relationships/chart" Target="charts/chart2.xml"/><Relationship Id="rId93" Type="http://schemas.openxmlformats.org/officeDocument/2006/relationships/image" Target="media/image63.png"/><Relationship Id="rId98" Type="http://schemas.openxmlformats.org/officeDocument/2006/relationships/image" Target="media/image68.emf"/><Relationship Id="rId121" Type="http://schemas.openxmlformats.org/officeDocument/2006/relationships/image" Target="media/image83.emf"/><Relationship Id="rId142" Type="http://schemas.openxmlformats.org/officeDocument/2006/relationships/chart" Target="charts/chart20.xml"/><Relationship Id="rId163" Type="http://schemas.openxmlformats.org/officeDocument/2006/relationships/header" Target="header13.xml"/><Relationship Id="rId184" Type="http://schemas.openxmlformats.org/officeDocument/2006/relationships/image" Target="media/image115.emf"/><Relationship Id="rId189" Type="http://schemas.openxmlformats.org/officeDocument/2006/relationships/image" Target="media/image116.emf"/><Relationship Id="rId3" Type="http://schemas.openxmlformats.org/officeDocument/2006/relationships/styles" Target="styles.xml"/><Relationship Id="rId214" Type="http://schemas.openxmlformats.org/officeDocument/2006/relationships/theme" Target="theme/theme1.xml"/><Relationship Id="rId25" Type="http://schemas.openxmlformats.org/officeDocument/2006/relationships/image" Target="media/image17.emf"/><Relationship Id="rId46" Type="http://schemas.openxmlformats.org/officeDocument/2006/relationships/image" Target="media/image32.emf"/><Relationship Id="rId67" Type="http://schemas.openxmlformats.org/officeDocument/2006/relationships/image" Target="media/image47.emf"/><Relationship Id="rId116" Type="http://schemas.openxmlformats.org/officeDocument/2006/relationships/chart" Target="charts/chart9.xml"/><Relationship Id="rId137" Type="http://schemas.openxmlformats.org/officeDocument/2006/relationships/image" Target="media/image92.emf"/><Relationship Id="rId158" Type="http://schemas.openxmlformats.org/officeDocument/2006/relationships/image" Target="media/image103.emf"/><Relationship Id="rId20" Type="http://schemas.openxmlformats.org/officeDocument/2006/relationships/image" Target="media/image13.emf"/><Relationship Id="rId41" Type="http://schemas.openxmlformats.org/officeDocument/2006/relationships/image" Target="media/image27.emf"/><Relationship Id="rId62" Type="http://schemas.openxmlformats.org/officeDocument/2006/relationships/image" Target="media/image42.emf"/><Relationship Id="rId83" Type="http://schemas.openxmlformats.org/officeDocument/2006/relationships/image" Target="media/image57.emf"/><Relationship Id="rId88" Type="http://schemas.openxmlformats.org/officeDocument/2006/relationships/footer" Target="footer9.xml"/><Relationship Id="rId111" Type="http://schemas.openxmlformats.org/officeDocument/2006/relationships/image" Target="media/image79.emf"/><Relationship Id="rId132" Type="http://schemas.openxmlformats.org/officeDocument/2006/relationships/footer" Target="footer11.xml"/><Relationship Id="rId153" Type="http://schemas.openxmlformats.org/officeDocument/2006/relationships/header" Target="header11.xml"/><Relationship Id="rId174" Type="http://schemas.openxmlformats.org/officeDocument/2006/relationships/image" Target="media/image108.emf"/><Relationship Id="rId179" Type="http://schemas.openxmlformats.org/officeDocument/2006/relationships/image" Target="media/image111.emf"/><Relationship Id="rId195" Type="http://schemas.openxmlformats.org/officeDocument/2006/relationships/chart" Target="charts/chart34.xml"/><Relationship Id="rId209" Type="http://schemas.openxmlformats.org/officeDocument/2006/relationships/image" Target="media/image129.emf"/><Relationship Id="rId190" Type="http://schemas.openxmlformats.org/officeDocument/2006/relationships/chart" Target="charts/chart33.xml"/><Relationship Id="rId204" Type="http://schemas.openxmlformats.org/officeDocument/2006/relationships/image" Target="media/image126.emf"/><Relationship Id="rId15" Type="http://schemas.openxmlformats.org/officeDocument/2006/relationships/image" Target="media/image8.emf"/><Relationship Id="rId36" Type="http://schemas.openxmlformats.org/officeDocument/2006/relationships/header" Target="header3.xml"/><Relationship Id="rId57" Type="http://schemas.openxmlformats.org/officeDocument/2006/relationships/image" Target="media/image39.emf"/><Relationship Id="rId106" Type="http://schemas.openxmlformats.org/officeDocument/2006/relationships/image" Target="media/image76.emf"/><Relationship Id="rId127" Type="http://schemas.openxmlformats.org/officeDocument/2006/relationships/image" Target="media/image85.emf"/><Relationship Id="rId10" Type="http://schemas.openxmlformats.org/officeDocument/2006/relationships/image" Target="media/image3.png"/><Relationship Id="rId31" Type="http://schemas.openxmlformats.org/officeDocument/2006/relationships/footer" Target="footer3.xml"/><Relationship Id="rId52" Type="http://schemas.openxmlformats.org/officeDocument/2006/relationships/header" Target="header5.xml"/><Relationship Id="rId73" Type="http://schemas.openxmlformats.org/officeDocument/2006/relationships/image" Target="media/image51.emf"/><Relationship Id="rId78" Type="http://schemas.openxmlformats.org/officeDocument/2006/relationships/header" Target="header7.xml"/><Relationship Id="rId94" Type="http://schemas.openxmlformats.org/officeDocument/2006/relationships/image" Target="media/image64.png"/><Relationship Id="rId99" Type="http://schemas.openxmlformats.org/officeDocument/2006/relationships/image" Target="media/image69.emf"/><Relationship Id="rId101" Type="http://schemas.openxmlformats.org/officeDocument/2006/relationships/image" Target="media/image71.emf"/><Relationship Id="rId122" Type="http://schemas.openxmlformats.org/officeDocument/2006/relationships/chart" Target="charts/chart13.xml"/><Relationship Id="rId143" Type="http://schemas.openxmlformats.org/officeDocument/2006/relationships/image" Target="media/image94.emf"/><Relationship Id="rId148" Type="http://schemas.openxmlformats.org/officeDocument/2006/relationships/image" Target="media/image97.emf"/><Relationship Id="rId164" Type="http://schemas.openxmlformats.org/officeDocument/2006/relationships/footer" Target="footer16.xml"/><Relationship Id="rId169" Type="http://schemas.openxmlformats.org/officeDocument/2006/relationships/footer" Target="footer18.xml"/><Relationship Id="rId185" Type="http://schemas.openxmlformats.org/officeDocument/2006/relationships/chart" Target="charts/chart29.xm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12.emf"/><Relationship Id="rId210" Type="http://schemas.openxmlformats.org/officeDocument/2006/relationships/image" Target="media/image130.emf"/><Relationship Id="rId26" Type="http://schemas.openxmlformats.org/officeDocument/2006/relationships/image" Target="media/image18.emf"/><Relationship Id="rId47" Type="http://schemas.openxmlformats.org/officeDocument/2006/relationships/header" Target="header4.xml"/><Relationship Id="rId68" Type="http://schemas.openxmlformats.org/officeDocument/2006/relationships/image" Target="media/image48.emf"/><Relationship Id="rId89" Type="http://schemas.openxmlformats.org/officeDocument/2006/relationships/image" Target="media/image61.emf"/><Relationship Id="rId112" Type="http://schemas.openxmlformats.org/officeDocument/2006/relationships/image" Target="media/image80.emf"/><Relationship Id="rId133" Type="http://schemas.openxmlformats.org/officeDocument/2006/relationships/image" Target="media/image90.emf"/><Relationship Id="rId154" Type="http://schemas.openxmlformats.org/officeDocument/2006/relationships/footer" Target="footer14.xml"/><Relationship Id="rId175" Type="http://schemas.openxmlformats.org/officeDocument/2006/relationships/chart" Target="charts/chart27.xml"/><Relationship Id="rId196" Type="http://schemas.openxmlformats.org/officeDocument/2006/relationships/image" Target="media/image121.emf"/><Relationship Id="rId200" Type="http://schemas.openxmlformats.org/officeDocument/2006/relationships/image" Target="media/image124.emf"/><Relationship Id="rId16" Type="http://schemas.openxmlformats.org/officeDocument/2006/relationships/image" Target="media/image9.emf"/><Relationship Id="rId37" Type="http://schemas.openxmlformats.org/officeDocument/2006/relationships/footer" Target="footer4.xml"/><Relationship Id="rId58" Type="http://schemas.openxmlformats.org/officeDocument/2006/relationships/header" Target="header6.xml"/><Relationship Id="rId79" Type="http://schemas.openxmlformats.org/officeDocument/2006/relationships/footer" Target="footer8.xml"/><Relationship Id="rId102" Type="http://schemas.openxmlformats.org/officeDocument/2006/relationships/image" Target="media/image72.emf"/><Relationship Id="rId123" Type="http://schemas.openxmlformats.org/officeDocument/2006/relationships/chart" Target="charts/chart14.xml"/><Relationship Id="rId144" Type="http://schemas.openxmlformats.org/officeDocument/2006/relationships/chart" Target="charts/chart21.xml"/><Relationship Id="rId90" Type="http://schemas.openxmlformats.org/officeDocument/2006/relationships/image" Target="media/image62.emf"/><Relationship Id="rId165" Type="http://schemas.openxmlformats.org/officeDocument/2006/relationships/image" Target="media/image106.emf"/><Relationship Id="rId186" Type="http://schemas.openxmlformats.org/officeDocument/2006/relationships/chart" Target="charts/chart30.xml"/><Relationship Id="rId211" Type="http://schemas.openxmlformats.org/officeDocument/2006/relationships/header" Target="header16.xml"/><Relationship Id="rId27" Type="http://schemas.openxmlformats.org/officeDocument/2006/relationships/image" Target="media/image19.emf"/><Relationship Id="rId48" Type="http://schemas.openxmlformats.org/officeDocument/2006/relationships/footer" Target="footer5.xml"/><Relationship Id="rId69" Type="http://schemas.openxmlformats.org/officeDocument/2006/relationships/chart" Target="charts/chart1.xml"/><Relationship Id="rId113" Type="http://schemas.openxmlformats.org/officeDocument/2006/relationships/chart" Target="charts/chart7.xml"/><Relationship Id="rId134" Type="http://schemas.openxmlformats.org/officeDocument/2006/relationships/image" Target="media/image91.emf"/><Relationship Id="rId80" Type="http://schemas.openxmlformats.org/officeDocument/2006/relationships/image" Target="media/image54.emf"/><Relationship Id="rId155" Type="http://schemas.openxmlformats.org/officeDocument/2006/relationships/image" Target="media/image101.png"/><Relationship Id="rId176" Type="http://schemas.openxmlformats.org/officeDocument/2006/relationships/chart" Target="charts/chart28.xml"/><Relationship Id="rId197" Type="http://schemas.openxmlformats.org/officeDocument/2006/relationships/chart" Target="charts/chart35.xml"/><Relationship Id="rId201" Type="http://schemas.openxmlformats.org/officeDocument/2006/relationships/chart" Target="charts/chart36.xml"/><Relationship Id="rId17" Type="http://schemas.openxmlformats.org/officeDocument/2006/relationships/image" Target="media/image10.emf"/><Relationship Id="rId38" Type="http://schemas.openxmlformats.org/officeDocument/2006/relationships/image" Target="media/image24.emf"/><Relationship Id="rId59" Type="http://schemas.openxmlformats.org/officeDocument/2006/relationships/footer" Target="footer7.xml"/><Relationship Id="rId103" Type="http://schemas.openxmlformats.org/officeDocument/2006/relationships/image" Target="media/image73.png"/><Relationship Id="rId124" Type="http://schemas.openxmlformats.org/officeDocument/2006/relationships/image" Target="media/image84.emf"/><Relationship Id="rId70" Type="http://schemas.openxmlformats.org/officeDocument/2006/relationships/image" Target="media/image49.emf"/><Relationship Id="rId91" Type="http://schemas.openxmlformats.org/officeDocument/2006/relationships/header" Target="header9.xml"/><Relationship Id="rId145" Type="http://schemas.openxmlformats.org/officeDocument/2006/relationships/chart" Target="charts/chart22.xml"/><Relationship Id="rId166" Type="http://schemas.openxmlformats.org/officeDocument/2006/relationships/header" Target="header14.xml"/><Relationship Id="rId187" Type="http://schemas.openxmlformats.org/officeDocument/2006/relationships/chart" Target="charts/chart31.xml"/><Relationship Id="rId1" Type="http://schemas.openxmlformats.org/officeDocument/2006/relationships/customXml" Target="../customXml/item1.xml"/><Relationship Id="rId212" Type="http://schemas.openxmlformats.org/officeDocument/2006/relationships/footer" Target="footer20.xml"/><Relationship Id="rId28" Type="http://schemas.openxmlformats.org/officeDocument/2006/relationships/header" Target="header1.xml"/><Relationship Id="rId49" Type="http://schemas.openxmlformats.org/officeDocument/2006/relationships/image" Target="media/image33.emf"/><Relationship Id="rId114" Type="http://schemas.openxmlformats.org/officeDocument/2006/relationships/chart" Target="charts/chart8.xml"/><Relationship Id="rId60" Type="http://schemas.openxmlformats.org/officeDocument/2006/relationships/image" Target="media/image40.emf"/><Relationship Id="rId81" Type="http://schemas.openxmlformats.org/officeDocument/2006/relationships/image" Target="media/image55.emf"/><Relationship Id="rId135" Type="http://schemas.openxmlformats.org/officeDocument/2006/relationships/header" Target="header10.xml"/><Relationship Id="rId156" Type="http://schemas.openxmlformats.org/officeDocument/2006/relationships/chart" Target="charts/chart23.xml"/><Relationship Id="rId177" Type="http://schemas.openxmlformats.org/officeDocument/2006/relationships/image" Target="media/image109.emf"/><Relationship Id="rId198" Type="http://schemas.openxmlformats.org/officeDocument/2006/relationships/image" Target="media/image122.emf"/><Relationship Id="rId202" Type="http://schemas.openxmlformats.org/officeDocument/2006/relationships/chart" Target="charts/chart37.xml"/><Relationship Id="rId18" Type="http://schemas.openxmlformats.org/officeDocument/2006/relationships/image" Target="media/image11.emf"/><Relationship Id="rId39" Type="http://schemas.openxmlformats.org/officeDocument/2006/relationships/image" Target="media/image25.emf"/><Relationship Id="rId50" Type="http://schemas.openxmlformats.org/officeDocument/2006/relationships/image" Target="media/image34.emf"/><Relationship Id="rId104" Type="http://schemas.openxmlformats.org/officeDocument/2006/relationships/image" Target="media/image74.png"/><Relationship Id="rId125" Type="http://schemas.openxmlformats.org/officeDocument/2006/relationships/chart" Target="charts/chart15.xml"/><Relationship Id="rId146" Type="http://schemas.openxmlformats.org/officeDocument/2006/relationships/image" Target="media/image95.emf"/><Relationship Id="rId167" Type="http://schemas.openxmlformats.org/officeDocument/2006/relationships/footer" Target="footer17.xml"/><Relationship Id="rId188" Type="http://schemas.openxmlformats.org/officeDocument/2006/relationships/chart" Target="charts/chart32.xml"/><Relationship Id="rId71" Type="http://schemas.openxmlformats.org/officeDocument/2006/relationships/image" Target="media/image50.emf"/><Relationship Id="rId92" Type="http://schemas.openxmlformats.org/officeDocument/2006/relationships/footer" Target="footer10.xml"/><Relationship Id="rId21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footer" Target="footer2.xml"/><Relationship Id="rId40" Type="http://schemas.openxmlformats.org/officeDocument/2006/relationships/image" Target="media/image26.emf"/><Relationship Id="rId115" Type="http://schemas.openxmlformats.org/officeDocument/2006/relationships/image" Target="media/image81.emf"/><Relationship Id="rId136" Type="http://schemas.openxmlformats.org/officeDocument/2006/relationships/footer" Target="footer12.xml"/><Relationship Id="rId157" Type="http://schemas.openxmlformats.org/officeDocument/2006/relationships/image" Target="media/image102.gif"/><Relationship Id="rId178" Type="http://schemas.openxmlformats.org/officeDocument/2006/relationships/image" Target="media/image110.emf"/><Relationship Id="rId61" Type="http://schemas.openxmlformats.org/officeDocument/2006/relationships/image" Target="media/image41.emf"/><Relationship Id="rId82" Type="http://schemas.openxmlformats.org/officeDocument/2006/relationships/image" Target="media/image56.emf"/><Relationship Id="rId199" Type="http://schemas.openxmlformats.org/officeDocument/2006/relationships/image" Target="media/image123.emf"/><Relationship Id="rId203" Type="http://schemas.openxmlformats.org/officeDocument/2006/relationships/image" Target="media/image125.emf"/></Relationships>
</file>

<file path=word/_rels/footnotes.xml.rels><?xml version="1.0" encoding="UTF-8" standalone="yes"?>
<Relationships xmlns="http://schemas.openxmlformats.org/package/2006/relationships"><Relationship Id="rId1" Type="http://schemas.openxmlformats.org/officeDocument/2006/relationships/hyperlink" Target="https://kenbenoit.net/assets/courses/ME104/logmodels2.pdf"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baudisova\Documents\2019\SZP%2021+\Tom&#225;&#353;_anal&#253;za\Bohdana_dotacni%20tituly%20RV%202009-2018_TM.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3" Type="http://schemas.openxmlformats.org/officeDocument/2006/relationships/oleObject" Target="https://uzei-my.sharepoint.com/personal/baudisova_hana_uzei_cz/Documents/Dolumenty%201.3.2021/Strategie%202030_aktualizace/Len%20a%20konop&#237;/len_ZO_2014_2020%20&#8211;%20kopie.xlsb" TargetMode="External"/><Relationship Id="rId2" Type="http://schemas.microsoft.com/office/2011/relationships/chartColorStyle" Target="colors6.xml"/><Relationship Id="rId1" Type="http://schemas.microsoft.com/office/2011/relationships/chartStyle" Target="style6.xml"/></Relationships>
</file>

<file path=word/charts/_rels/chart11.xml.rels><?xml version="1.0" encoding="UTF-8" standalone="yes"?>
<Relationships xmlns="http://schemas.openxmlformats.org/package/2006/relationships"><Relationship Id="rId3" Type="http://schemas.openxmlformats.org/officeDocument/2006/relationships/oleObject" Target="https://uzei-my.sharepoint.com/personal/baudisova_hana_uzei_cz/Documents/Dolumenty%201.3.2021/Strategie%202030_aktualizace/Len%20a%20konop&#237;/len_ZO_2014_2020%20&#8211;%20kopie.xlsb" TargetMode="External"/><Relationship Id="rId2" Type="http://schemas.microsoft.com/office/2011/relationships/chartColorStyle" Target="colors7.xml"/><Relationship Id="rId1" Type="http://schemas.microsoft.com/office/2011/relationships/chartStyle" Target="style7.xml"/></Relationships>
</file>

<file path=word/charts/_rels/chart12.xml.rels><?xml version="1.0" encoding="UTF-8" standalone="yes"?>
<Relationships xmlns="http://schemas.openxmlformats.org/package/2006/relationships"><Relationship Id="rId3" Type="http://schemas.openxmlformats.org/officeDocument/2006/relationships/oleObject" Target="https://uzei-my.sharepoint.com/personal/baudisova_hana_uzei_cz/Documents/Dolumenty%201.3.2021/Strategie%202030_aktualizace/Len%20a%20konop&#237;/len_ZO_2014_2020%20&#8211;%20kopie.xlsb" TargetMode="External"/><Relationship Id="rId2" Type="http://schemas.microsoft.com/office/2011/relationships/chartColorStyle" Target="colors8.xml"/><Relationship Id="rId1" Type="http://schemas.microsoft.com/office/2011/relationships/chartStyle" Target="style8.xml"/></Relationships>
</file>

<file path=word/charts/_rels/chart13.xml.rels><?xml version="1.0" encoding="UTF-8" standalone="yes"?>
<Relationships xmlns="http://schemas.openxmlformats.org/package/2006/relationships"><Relationship Id="rId3" Type="http://schemas.openxmlformats.org/officeDocument/2006/relationships/oleObject" Target="https://uzei-my.sharepoint.com/personal/baudisova_hana_uzei_cz/Documents/Dolumenty%201.3.2021/Strategie%202030_aktualizace/Len%20a%20konop&#237;/len_ZO_2014_2020%20&#8211;%20kopie.xlsb" TargetMode="External"/><Relationship Id="rId2" Type="http://schemas.microsoft.com/office/2011/relationships/chartColorStyle" Target="colors9.xml"/><Relationship Id="rId1" Type="http://schemas.microsoft.com/office/2011/relationships/chartStyle" Target="style9.xml"/></Relationships>
</file>

<file path=word/charts/_rels/chart14.xml.rels><?xml version="1.0" encoding="UTF-8" standalone="yes"?>
<Relationships xmlns="http://schemas.openxmlformats.org/package/2006/relationships"><Relationship Id="rId3" Type="http://schemas.openxmlformats.org/officeDocument/2006/relationships/oleObject" Target="https://uzei-my.sharepoint.com/personal/baudisova_hana_uzei_cz/Documents/Dolumenty%201.3.2021/Strategie%202030_aktualizace/Len%20a%20konop&#237;/len_ZO_2014_2020%20&#8211;%20kopie.xlsb" TargetMode="External"/><Relationship Id="rId2" Type="http://schemas.microsoft.com/office/2011/relationships/chartColorStyle" Target="colors10.xml"/><Relationship Id="rId1" Type="http://schemas.microsoft.com/office/2011/relationships/chartStyle" Target="style10.xml"/></Relationships>
</file>

<file path=word/charts/_rels/chart15.xml.rels><?xml version="1.0" encoding="UTF-8" standalone="yes"?>
<Relationships xmlns="http://schemas.openxmlformats.org/package/2006/relationships"><Relationship Id="rId3" Type="http://schemas.openxmlformats.org/officeDocument/2006/relationships/oleObject" Target="https://uzei-my.sharepoint.com/personal/baudisova_hana_uzei_cz/Documents/Dolumenty%201.3.2021/Strategie%202030_aktualizace/Len%20a%20konop&#237;/len_ZO_2014_2020%20&#8211;%20kopie.xlsb" TargetMode="External"/><Relationship Id="rId2" Type="http://schemas.microsoft.com/office/2011/relationships/chartColorStyle" Target="colors11.xml"/><Relationship Id="rId1" Type="http://schemas.microsoft.com/office/2011/relationships/chartStyle" Target="style11.xml"/></Relationships>
</file>

<file path=word/charts/_rels/chart16.xml.rels><?xml version="1.0" encoding="UTF-8" standalone="yes"?>
<Relationships xmlns="http://schemas.openxmlformats.org/package/2006/relationships"><Relationship Id="rId3" Type="http://schemas.openxmlformats.org/officeDocument/2006/relationships/oleObject" Target="https://uzei-my.sharepoint.com/personal/baudisova_hana_uzei_cz/Documents/Dolumenty%201.3.2021/Strategie%202030_aktualizace/Len%20a%20konop&#237;/len_ZO_2014_2020%20&#8211;%20kopie.xlsb" TargetMode="External"/><Relationship Id="rId2" Type="http://schemas.microsoft.com/office/2011/relationships/chartColorStyle" Target="colors12.xml"/><Relationship Id="rId1" Type="http://schemas.microsoft.com/office/2011/relationships/chartStyle" Target="style12.xml"/></Relationships>
</file>

<file path=word/charts/_rels/chart17.xml.rels><?xml version="1.0" encoding="UTF-8" standalone="yes"?>
<Relationships xmlns="http://schemas.openxmlformats.org/package/2006/relationships"><Relationship Id="rId3" Type="http://schemas.openxmlformats.org/officeDocument/2006/relationships/oleObject" Target="https://uzei-my.sharepoint.com/personal/baudisova_hana_uzei_cz/Documents/Dolumenty%201.3.2021/Strategie%202030_aktualizace/Tr&#225;vy/Baudisova_tab.%20do%20textu_%20210703%20Ekonomika%20TS.xlsx" TargetMode="External"/><Relationship Id="rId2" Type="http://schemas.microsoft.com/office/2011/relationships/chartColorStyle" Target="colors13.xml"/><Relationship Id="rId1" Type="http://schemas.microsoft.com/office/2011/relationships/chartStyle" Target="style13.xml"/></Relationships>
</file>

<file path=word/charts/_rels/chart18.xml.rels><?xml version="1.0" encoding="UTF-8" standalone="yes"?>
<Relationships xmlns="http://schemas.openxmlformats.org/package/2006/relationships"><Relationship Id="rId3" Type="http://schemas.openxmlformats.org/officeDocument/2006/relationships/oleObject" Target="https://uzei-my.sharepoint.com/personal/baudisova_hana_uzei_cz/Documents/Dolumenty%201.3.2021/Strategie%202030_aktualizace/Tr&#225;vy/Baudisova_tab.%20do%20textu_%20210703%20Ekonomika%20TS.xlsx" TargetMode="External"/><Relationship Id="rId2" Type="http://schemas.microsoft.com/office/2011/relationships/chartColorStyle" Target="colors14.xml"/><Relationship Id="rId1" Type="http://schemas.microsoft.com/office/2011/relationships/chartStyle" Target="style14.xml"/></Relationships>
</file>

<file path=word/charts/_rels/chart19.xml.rels><?xml version="1.0" encoding="UTF-8" standalone="yes"?>
<Relationships xmlns="http://schemas.openxmlformats.org/package/2006/relationships"><Relationship Id="rId3" Type="http://schemas.openxmlformats.org/officeDocument/2006/relationships/oleObject" Target="https://uzei-my.sharepoint.com/personal/baudisova_hana_uzei_cz/Documents/Dolumenty%201.3.2021/Strategie%202030_aktualizace/Tr&#225;vy/Baudisova_tab.%20do%20textu_%20210703%20Ekonomika%20TS.xlsx" TargetMode="External"/><Relationship Id="rId2" Type="http://schemas.microsoft.com/office/2011/relationships/chartColorStyle" Target="colors15.xml"/><Relationship Id="rId1" Type="http://schemas.microsoft.com/office/2011/relationships/chartStyle" Target="style15.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baudisova\Documents\2019\SZP%2021+\Tom&#225;&#353;_anal&#253;za\Bohdana_dotacni%20tituly%20RV%202009-2018_TM.xlsx" TargetMode="External"/><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medonos\Documents\Dokumenty\42P%20TU%202021\!%202018%20MT&#218;%205%20P&#345;&#237;prava%20SZP%202020+\!%20PS%20B%20KSCH\Podklady\Komoditn&#237;%20anal&#253;zy\2021%20Len,konop&#237;,tr&#225;vy\210703%20Ekonomika%20TS.xlsx" TargetMode="Externa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chartUserShapes" Target="../drawings/drawing1.xml"/></Relationships>
</file>

<file path=word/charts/_rels/chart21.xml.rels><?xml version="1.0" encoding="UTF-8" standalone="yes"?>
<Relationships xmlns="http://schemas.openxmlformats.org/package/2006/relationships"><Relationship Id="rId3" Type="http://schemas.openxmlformats.org/officeDocument/2006/relationships/oleObject" Target="https://uzei-my.sharepoint.com/personal/baudisova_hana_uzei_cz/Documents/Dolumenty%201.3.2021/Strategie%202030_aktualizace/Tr&#225;vy/tr&#225;vy_ZO_2014-2020%20&#8211;%20kopie.xlsb" TargetMode="External"/><Relationship Id="rId2" Type="http://schemas.microsoft.com/office/2011/relationships/chartColorStyle" Target="colors17.xml"/><Relationship Id="rId1" Type="http://schemas.microsoft.com/office/2011/relationships/chartStyle" Target="style17.xml"/></Relationships>
</file>

<file path=word/charts/_rels/chart22.xml.rels><?xml version="1.0" encoding="UTF-8" standalone="yes"?>
<Relationships xmlns="http://schemas.openxmlformats.org/package/2006/relationships"><Relationship Id="rId3" Type="http://schemas.openxmlformats.org/officeDocument/2006/relationships/oleObject" Target="https://uzei-my.sharepoint.com/personal/baudisova_hana_uzei_cz/Documents/Dolumenty%201.3.2021/Strategie%202030_aktualizace/Tr&#225;vy/tr&#225;vy_ZO_2014-2020%20&#8211;%20kopie.xlsb" TargetMode="External"/><Relationship Id="rId2" Type="http://schemas.microsoft.com/office/2011/relationships/chartColorStyle" Target="colors18.xml"/><Relationship Id="rId1" Type="http://schemas.microsoft.com/office/2011/relationships/chartStyle" Target="style18.xml"/></Relationships>
</file>

<file path=word/charts/_rels/chart23.xml.rels><?xml version="1.0" encoding="UTF-8" standalone="yes"?>
<Relationships xmlns="http://schemas.openxmlformats.org/package/2006/relationships"><Relationship Id="rId1" Type="http://schemas.openxmlformats.org/officeDocument/2006/relationships/oleObject" Target="file:///C:\Users\boskova\Documents\IFCN\2020\RDB%20za%202019\IFCN%20Farm%20Res%20Datab%202020_pracSZPanal&#253;.xlsx" TargetMode="External"/></Relationships>
</file>

<file path=word/charts/_rels/chart24.xml.rels><?xml version="1.0" encoding="UTF-8" standalone="yes"?>
<Relationships xmlns="http://schemas.openxmlformats.org/package/2006/relationships"><Relationship Id="rId3" Type="http://schemas.openxmlformats.org/officeDocument/2006/relationships/oleObject" Target="Se&#353;it2" TargetMode="External"/><Relationship Id="rId2" Type="http://schemas.microsoft.com/office/2011/relationships/chartColorStyle" Target="colors19.xml"/><Relationship Id="rId1" Type="http://schemas.microsoft.com/office/2011/relationships/chartStyle" Target="style19.xml"/></Relationships>
</file>

<file path=word/charts/_rels/chart25.xml.rels><?xml version="1.0" encoding="UTF-8" standalone="yes"?>
<Relationships xmlns="http://schemas.openxmlformats.org/package/2006/relationships"><Relationship Id="rId3" Type="http://schemas.openxmlformats.org/officeDocument/2006/relationships/oleObject" Target="file:///C:\Users\Abrahamova\Documents\EXCEL\DOV_VYV\2020\HM_ZO_2014-2019.xlsx" TargetMode="External"/><Relationship Id="rId2" Type="http://schemas.microsoft.com/office/2011/relationships/chartColorStyle" Target="colors20.xml"/><Relationship Id="rId1" Type="http://schemas.microsoft.com/office/2011/relationships/chartStyle" Target="style20.xml"/></Relationships>
</file>

<file path=word/charts/_rels/chart26.xml.rels><?xml version="1.0" encoding="UTF-8" standalone="yes"?>
<Relationships xmlns="http://schemas.openxmlformats.org/package/2006/relationships"><Relationship Id="rId1" Type="http://schemas.openxmlformats.org/officeDocument/2006/relationships/oleObject" Target="file:///C:\Users\boskova\Documents\Agribenchmark\RDB\Data%20za%202019\Zpracovan&#233;\BSR20-graphs-fin.xlsm" TargetMode="External"/></Relationships>
</file>

<file path=word/charts/_rels/chart27.xml.rels><?xml version="1.0" encoding="UTF-8" standalone="yes"?>
<Relationships xmlns="http://schemas.openxmlformats.org/package/2006/relationships"><Relationship Id="rId3" Type="http://schemas.openxmlformats.org/officeDocument/2006/relationships/oleObject" Target="file:///C:\Users\medonos\Documents\Dokumenty\42P%20TU%202021\!%202018%20MT&#218;%205%20P&#345;&#237;prava%20SZP%202020+\!%20PS%20B%20KSCH\Podklady\Efekty%20politiky\VCS%20podpory\210630%20Struktura%20dotac&#237;%20&#381;V%202009-2020.xlsx" TargetMode="External"/><Relationship Id="rId2" Type="http://schemas.microsoft.com/office/2011/relationships/chartColorStyle" Target="colors21.xml"/><Relationship Id="rId1" Type="http://schemas.microsoft.com/office/2011/relationships/chartStyle" Target="style21.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medonos\Documents\Dokumenty\42P%20TU%202021\!%202018%20MT&#218;%205%20P&#345;&#237;prava%20SZP%202020+\!%20PS%20B%20KSCH\Podklady\Efekty%20politiky\VCS%20podpory\210630%20Struktura%20dotac&#237;%20&#381;V%202009-2020.xlsx" TargetMode="External"/><Relationship Id="rId2" Type="http://schemas.microsoft.com/office/2011/relationships/chartColorStyle" Target="colors22.xml"/><Relationship Id="rId1" Type="http://schemas.microsoft.com/office/2011/relationships/chartStyle" Target="style22.xml"/></Relationships>
</file>

<file path=word/charts/_rels/chart29.xml.rels><?xml version="1.0" encoding="UTF-8" standalone="yes"?>
<Relationships xmlns="http://schemas.openxmlformats.org/package/2006/relationships"><Relationship Id="rId2" Type="http://schemas.openxmlformats.org/officeDocument/2006/relationships/oleObject" Target="file:///C:\Users\boudny\Documents\SZP\Tom&#225;&#353;%20Medonos\interpig.xlsx" TargetMode="External"/><Relationship Id="rId1" Type="http://schemas.openxmlformats.org/officeDocument/2006/relationships/themeOverride" Target="../theme/themeOverride5.xml"/></Relationships>
</file>

<file path=word/charts/_rels/chart3.xml.rels><?xml version="1.0" encoding="UTF-8" standalone="yes"?>
<Relationships xmlns="http://schemas.openxmlformats.org/package/2006/relationships"><Relationship Id="rId2" Type="http://schemas.openxmlformats.org/officeDocument/2006/relationships/oleObject" Target="file:///C:\Users\baudisova\Documents\2019\SZP%2021+\Tom&#225;&#353;_anal&#253;za\Bohdana_dotacni%20tituly%20RV%202009-2018_TM.xlsx" TargetMode="External"/><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oleObject" Target="file:///C:\Users\boudny\Documents\SZP\Tom&#225;&#353;%20Medonos\interpig.xlsx" TargetMode="External"/><Relationship Id="rId1" Type="http://schemas.openxmlformats.org/officeDocument/2006/relationships/themeOverride" Target="../theme/themeOverride6.xml"/></Relationships>
</file>

<file path=word/charts/_rels/chart3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7.xml"/></Relationships>
</file>

<file path=word/charts/_rels/chart32.xml.rels><?xml version="1.0" encoding="UTF-8" standalone="yes"?>
<Relationships xmlns="http://schemas.openxmlformats.org/package/2006/relationships"><Relationship Id="rId2" Type="http://schemas.openxmlformats.org/officeDocument/2006/relationships/oleObject" Target="file:///C:\Users\boudny\Documents\SZP\Tom&#225;&#353;%20Medonos\interpig.xlsx" TargetMode="External"/><Relationship Id="rId1" Type="http://schemas.openxmlformats.org/officeDocument/2006/relationships/themeOverride" Target="../theme/themeOverride8.xml"/></Relationships>
</file>

<file path=word/charts/_rels/chart33.xml.rels><?xml version="1.0" encoding="UTF-8" standalone="yes"?>
<Relationships xmlns="http://schemas.openxmlformats.org/package/2006/relationships"><Relationship Id="rId3" Type="http://schemas.openxmlformats.org/officeDocument/2006/relationships/oleObject" Target="file:///C:\Users\medonos\Documents\Dokumenty\42P%20TU%202021\!%202018%20MT&#218;%205%20P&#345;&#237;prava%20SZP%202020+\!%20PS%20B%20KSCH\Podklady\Efekty%20politiky\VCS%20podpory\210630%20Struktura%20dotac&#237;%20&#381;V%202009-2020.xlsx" TargetMode="External"/><Relationship Id="rId2" Type="http://schemas.microsoft.com/office/2011/relationships/chartColorStyle" Target="colors23.xml"/><Relationship Id="rId1" Type="http://schemas.microsoft.com/office/2011/relationships/chartStyle" Target="style23.xml"/></Relationships>
</file>

<file path=word/charts/_rels/chart34.xml.rels><?xml version="1.0" encoding="UTF-8" standalone="yes"?>
<Relationships xmlns="http://schemas.openxmlformats.org/package/2006/relationships"><Relationship Id="rId3" Type="http://schemas.openxmlformats.org/officeDocument/2006/relationships/oleObject" Target="file:///C:\Users\rudinskaya\Documents\SZP\vejce.xlsx" TargetMode="External"/><Relationship Id="rId2" Type="http://schemas.microsoft.com/office/2011/relationships/chartColorStyle" Target="colors24.xml"/><Relationship Id="rId1" Type="http://schemas.microsoft.com/office/2011/relationships/chartStyle" Target="style24.xml"/></Relationships>
</file>

<file path=word/charts/_rels/chart35.xml.rels><?xml version="1.0" encoding="UTF-8" standalone="yes"?>
<Relationships xmlns="http://schemas.openxmlformats.org/package/2006/relationships"><Relationship Id="rId3" Type="http://schemas.openxmlformats.org/officeDocument/2006/relationships/oleObject" Target="file:///C:\Users\rudinskaya\Documents\SZP\vejce.xlsx" TargetMode="Externa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chartUserShapes" Target="../drawings/drawing2.xml"/></Relationships>
</file>

<file path=word/charts/_rels/chart36.xml.rels><?xml version="1.0" encoding="UTF-8" standalone="yes"?>
<Relationships xmlns="http://schemas.openxmlformats.org/package/2006/relationships"><Relationship Id="rId3" Type="http://schemas.openxmlformats.org/officeDocument/2006/relationships/oleObject" Target="file:///C:\Users\medonos\Documents\Dokumenty\42P%20TU%202021\!%202018%20MT&#218;%205%20P&#345;&#237;prava%20SZP%202020+\!%20PS%20B%20KSCH\Podklady\Efekty%20politiky\VCS%20podpory\210630%20Struktura%20dotac&#237;%20&#381;V%202009-2020.xlsx" TargetMode="External"/><Relationship Id="rId2" Type="http://schemas.microsoft.com/office/2011/relationships/chartColorStyle" Target="colors26.xml"/><Relationship Id="rId1" Type="http://schemas.microsoft.com/office/2011/relationships/chartStyle" Target="style26.xml"/></Relationships>
</file>

<file path=word/charts/_rels/chart37.xml.rels><?xml version="1.0" encoding="UTF-8" standalone="yes"?>
<Relationships xmlns="http://schemas.openxmlformats.org/package/2006/relationships"><Relationship Id="rId2" Type="http://schemas.openxmlformats.org/officeDocument/2006/relationships/oleObject" Target="file:///C:\Users\medonos\Documents\Dokumenty\42P%20TU%202021\!%202018%20MT&#218;%205%20P&#345;&#237;prava%20SZP%202020+\!%20PS%20B%20KSCH\Podklady\Efekty%20politiky\VCS%20podpory\210630%20Struktura%20dotac&#237;%20&#381;V%202009-2020.xlsx" TargetMode="External"/><Relationship Id="rId1" Type="http://schemas.openxmlformats.org/officeDocument/2006/relationships/themeOverride" Target="../theme/themeOverride9.xml"/></Relationships>
</file>

<file path=word/charts/_rels/chart38.xml.rels><?xml version="1.0" encoding="UTF-8" standalone="yes"?>
<Relationships xmlns="http://schemas.openxmlformats.org/package/2006/relationships"><Relationship Id="rId3" Type="http://schemas.openxmlformats.org/officeDocument/2006/relationships/oleObject" Target="file:///C:\Users\medonos\Documents\Dokumenty\42P%20TU%202021\!%202018%20MT&#218;%205%20P&#345;&#237;prava%20SZP%202020+\!%20PS%20B%20KSCH\Podklady\Efekty%20politiky\VCS%20podpory\210630%20Struktura%20dotac&#237;%20&#381;V%202009-2020.xlsx" TargetMode="External"/><Relationship Id="rId2" Type="http://schemas.microsoft.com/office/2011/relationships/chartColorStyle" Target="colors27.xml"/><Relationship Id="rId1" Type="http://schemas.microsoft.com/office/2011/relationships/chartStyle" Target="style27.xml"/></Relationships>
</file>

<file path=word/charts/_rels/chart39.xml.rels><?xml version="1.0" encoding="UTF-8" standalone="yes"?>
<Relationships xmlns="http://schemas.openxmlformats.org/package/2006/relationships"><Relationship Id="rId3" Type="http://schemas.openxmlformats.org/officeDocument/2006/relationships/oleObject" Target="file:///C:\Users\medonos\Documents\Dokumenty\42P%20TU%202021\!%202018%20MT&#218;%205%20P&#345;&#237;prava%20SZP%202020+\!%20PS%20B%20KSCH\Podklady\Efekty%20politiky\VCS%20podpory\210630%20Struktura%20dotac&#237;%20&#381;V%202009-2020.xlsx" TargetMode="External"/><Relationship Id="rId2" Type="http://schemas.microsoft.com/office/2011/relationships/chartColorStyle" Target="colors28.xml"/><Relationship Id="rId1" Type="http://schemas.microsoft.com/office/2011/relationships/chartStyle" Target="style28.xml"/></Relationships>
</file>

<file path=word/charts/_rels/chart4.xml.rels><?xml version="1.0" encoding="UTF-8" standalone="yes"?>
<Relationships xmlns="http://schemas.openxmlformats.org/package/2006/relationships"><Relationship Id="rId2" Type="http://schemas.openxmlformats.org/officeDocument/2006/relationships/oleObject" Target="file:///C:\Users\baudisova\Documents\2019\SZP%2021+\Tom&#225;&#353;_anal&#253;za\Bohdana_dotacni%20tituly%20RV%202009-2018_TM.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medonos\AppData\Local\Microsoft\Windows\INetCache\Content.Outlook\GQIZ1GU0\P%20V%20Q%20lnu%20a%20konop&#237;.xlsx" TargetMode="External"/><Relationship Id="rId2" Type="http://schemas.microsoft.com/office/2011/relationships/chartColorStyle" Target="colors1.xml"/><Relationship Id="rId1" Type="http://schemas.microsoft.com/office/2011/relationships/chartStyle" Target="style1.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medonos\AppData\Local\Microsoft\Windows\INetCache\Content.Outlook\GQIZ1GU0\P%20V%20Q%20lnu%20a%20konop&#237;.xlsx" TargetMode="External"/><Relationship Id="rId2" Type="http://schemas.microsoft.com/office/2011/relationships/chartColorStyle" Target="colors2.xml"/><Relationship Id="rId1" Type="http://schemas.microsoft.com/office/2011/relationships/chartStyle" Target="style2.xml"/></Relationships>
</file>

<file path=word/charts/_rels/chart7.xml.rels><?xml version="1.0" encoding="UTF-8" standalone="yes"?>
<Relationships xmlns="http://schemas.openxmlformats.org/package/2006/relationships"><Relationship Id="rId3" Type="http://schemas.openxmlformats.org/officeDocument/2006/relationships/oleObject" Target="https://uzei-my.sharepoint.com/personal/baudisova_hana_uzei_cz/Documents/Dolumenty%201.3.2021/Strategie%202030_aktualizace/Len%20a%20konop&#237;/len_ZO_2014_2020%20&#8211;%20kopie.xlsb" TargetMode="External"/><Relationship Id="rId2" Type="http://schemas.microsoft.com/office/2011/relationships/chartColorStyle" Target="colors3.xml"/><Relationship Id="rId1" Type="http://schemas.microsoft.com/office/2011/relationships/chartStyle" Target="style3.xml"/></Relationships>
</file>

<file path=word/charts/_rels/chart8.xml.rels><?xml version="1.0" encoding="UTF-8" standalone="yes"?>
<Relationships xmlns="http://schemas.openxmlformats.org/package/2006/relationships"><Relationship Id="rId3" Type="http://schemas.openxmlformats.org/officeDocument/2006/relationships/oleObject" Target="https://uzei-my.sharepoint.com/personal/baudisova_hana_uzei_cz/Documents/Dolumenty%201.3.2021/Strategie%202030_aktualizace/Len%20a%20konop&#237;/len_ZO_2014_2020%20&#8211;%20kopie.xlsb" TargetMode="External"/><Relationship Id="rId2" Type="http://schemas.microsoft.com/office/2011/relationships/chartColorStyle" Target="colors4.xml"/><Relationship Id="rId1" Type="http://schemas.microsoft.com/office/2011/relationships/chartStyle" Target="style4.xml"/></Relationships>
</file>

<file path=word/charts/_rels/chart9.xml.rels><?xml version="1.0" encoding="UTF-8" standalone="yes"?>
<Relationships xmlns="http://schemas.openxmlformats.org/package/2006/relationships"><Relationship Id="rId3" Type="http://schemas.openxmlformats.org/officeDocument/2006/relationships/oleObject" Target="https://uzei-my.sharepoint.com/personal/baudisova_hana_uzei_cz/Documents/Dolumenty%201.3.2021/Strategie%202030_aktualizace/Len%20a%20konop&#237;/len_ZO_2014_2020%20&#8211;%20kopie.xlsb"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cs-CZ" sz="1100"/>
              <a:t>Bob</a:t>
            </a:r>
            <a:endParaRPr lang="en-US" sz="1100"/>
          </a:p>
        </c:rich>
      </c:tx>
      <c:overlay val="0"/>
      <c:spPr>
        <a:noFill/>
        <a:ln>
          <a:noFill/>
        </a:ln>
        <a:effectLst/>
      </c:spPr>
    </c:title>
    <c:autoTitleDeleted val="0"/>
    <c:plotArea>
      <c:layout/>
      <c:barChart>
        <c:barDir val="col"/>
        <c:grouping val="stacked"/>
        <c:varyColors val="0"/>
        <c:ser>
          <c:idx val="3"/>
          <c:order val="0"/>
          <c:tx>
            <c:strRef>
              <c:f>bílkovinné!$B$16</c:f>
              <c:strCache>
                <c:ptCount val="1"/>
                <c:pt idx="0">
                  <c:v>VCS bílkovinné plodiny</c:v>
                </c:pt>
              </c:strCache>
            </c:strRef>
          </c:tx>
          <c:spPr>
            <a:solidFill>
              <a:schemeClr val="accent4"/>
            </a:solidFill>
            <a:ln>
              <a:noFill/>
            </a:ln>
            <a:effectLst/>
          </c:spPr>
          <c:invertIfNegative val="0"/>
          <c:cat>
            <c:numRef>
              <c:f>bílkovinné!$D$15:$M$15</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bílkovinné!$D$16:$M$16</c:f>
              <c:numCache>
                <c:formatCode>#,##0.00</c:formatCode>
                <c:ptCount val="10"/>
                <c:pt idx="0">
                  <c:v>0</c:v>
                </c:pt>
                <c:pt idx="1">
                  <c:v>0</c:v>
                </c:pt>
                <c:pt idx="2">
                  <c:v>0</c:v>
                </c:pt>
                <c:pt idx="3">
                  <c:v>0</c:v>
                </c:pt>
                <c:pt idx="4" formatCode="0.00">
                  <c:v>0</c:v>
                </c:pt>
                <c:pt idx="5" formatCode="0.00">
                  <c:v>0</c:v>
                </c:pt>
                <c:pt idx="6">
                  <c:v>3711.07</c:v>
                </c:pt>
                <c:pt idx="7">
                  <c:v>3254.51</c:v>
                </c:pt>
                <c:pt idx="8">
                  <c:v>2989.64</c:v>
                </c:pt>
                <c:pt idx="9">
                  <c:v>2218.2199999999998</c:v>
                </c:pt>
              </c:numCache>
            </c:numRef>
          </c:val>
          <c:extLst>
            <c:ext xmlns:c16="http://schemas.microsoft.com/office/drawing/2014/chart" uri="{C3380CC4-5D6E-409C-BE32-E72D297353CC}">
              <c16:uniqueId val="{00000000-2E7F-4241-A480-5678C06F2993}"/>
            </c:ext>
          </c:extLst>
        </c:ser>
        <c:ser>
          <c:idx val="4"/>
          <c:order val="1"/>
          <c:tx>
            <c:strRef>
              <c:f>bílkovinné!$B$17</c:f>
              <c:strCache>
                <c:ptCount val="1"/>
                <c:pt idx="0">
                  <c:v>SAPS </c:v>
                </c:pt>
              </c:strCache>
            </c:strRef>
          </c:tx>
          <c:spPr>
            <a:solidFill>
              <a:schemeClr val="accent5"/>
            </a:solidFill>
            <a:ln>
              <a:noFill/>
            </a:ln>
            <a:effectLst/>
          </c:spPr>
          <c:invertIfNegative val="0"/>
          <c:cat>
            <c:numRef>
              <c:f>bílkovinné!$D$15:$M$15</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bílkovinné!$D$17:$M$17</c:f>
              <c:numCache>
                <c:formatCode>#,##0.00</c:formatCode>
                <c:ptCount val="10"/>
                <c:pt idx="0">
                  <c:v>3710</c:v>
                </c:pt>
                <c:pt idx="1">
                  <c:v>4060.8</c:v>
                </c:pt>
                <c:pt idx="2">
                  <c:v>4686.5</c:v>
                </c:pt>
                <c:pt idx="3">
                  <c:v>5387.3</c:v>
                </c:pt>
                <c:pt idx="4">
                  <c:v>6068.88</c:v>
                </c:pt>
                <c:pt idx="5">
                  <c:v>5997.23</c:v>
                </c:pt>
                <c:pt idx="6">
                  <c:v>3543.91</c:v>
                </c:pt>
                <c:pt idx="7">
                  <c:v>3514.54</c:v>
                </c:pt>
                <c:pt idx="8">
                  <c:v>3377.73</c:v>
                </c:pt>
                <c:pt idx="9">
                  <c:v>3388.15</c:v>
                </c:pt>
              </c:numCache>
            </c:numRef>
          </c:val>
          <c:extLst>
            <c:ext xmlns:c16="http://schemas.microsoft.com/office/drawing/2014/chart" uri="{C3380CC4-5D6E-409C-BE32-E72D297353CC}">
              <c16:uniqueId val="{00000001-2E7F-4241-A480-5678C06F2993}"/>
            </c:ext>
          </c:extLst>
        </c:ser>
        <c:ser>
          <c:idx val="5"/>
          <c:order val="2"/>
          <c:tx>
            <c:strRef>
              <c:f>bílkovinné!$B$18</c:f>
              <c:strCache>
                <c:ptCount val="1"/>
                <c:pt idx="0">
                  <c:v>Top-Up</c:v>
                </c:pt>
              </c:strCache>
            </c:strRef>
          </c:tx>
          <c:spPr>
            <a:solidFill>
              <a:schemeClr val="accent6"/>
            </a:solidFill>
            <a:ln>
              <a:noFill/>
            </a:ln>
            <a:effectLst/>
          </c:spPr>
          <c:invertIfNegative val="0"/>
          <c:cat>
            <c:numRef>
              <c:f>bílkovinné!$D$15:$M$15</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bílkovinné!$D$18:$M$18</c:f>
              <c:numCache>
                <c:formatCode>#,##0.00</c:formatCode>
                <c:ptCount val="10"/>
                <c:pt idx="0">
                  <c:v>1184</c:v>
                </c:pt>
                <c:pt idx="1">
                  <c:v>514.1</c:v>
                </c:pt>
                <c:pt idx="2">
                  <c:v>0</c:v>
                </c:pt>
                <c:pt idx="3">
                  <c:v>491.43</c:v>
                </c:pt>
                <c:pt idx="4">
                  <c:v>0</c:v>
                </c:pt>
                <c:pt idx="5">
                  <c:v>0</c:v>
                </c:pt>
                <c:pt idx="6">
                  <c:v>0</c:v>
                </c:pt>
                <c:pt idx="7">
                  <c:v>0</c:v>
                </c:pt>
                <c:pt idx="8">
                  <c:v>0</c:v>
                </c:pt>
                <c:pt idx="9">
                  <c:v>0</c:v>
                </c:pt>
              </c:numCache>
            </c:numRef>
          </c:val>
          <c:extLst>
            <c:ext xmlns:c16="http://schemas.microsoft.com/office/drawing/2014/chart" uri="{C3380CC4-5D6E-409C-BE32-E72D297353CC}">
              <c16:uniqueId val="{00000002-2E7F-4241-A480-5678C06F2993}"/>
            </c:ext>
          </c:extLst>
        </c:ser>
        <c:ser>
          <c:idx val="6"/>
          <c:order val="3"/>
          <c:tx>
            <c:strRef>
              <c:f>bílkovinné!$B$19</c:f>
              <c:strCache>
                <c:ptCount val="1"/>
                <c:pt idx="0">
                  <c:v>Greening</c:v>
                </c:pt>
              </c:strCache>
            </c:strRef>
          </c:tx>
          <c:spPr>
            <a:solidFill>
              <a:schemeClr val="accent1">
                <a:lumMod val="60000"/>
              </a:schemeClr>
            </a:solidFill>
            <a:ln>
              <a:noFill/>
            </a:ln>
            <a:effectLst/>
          </c:spPr>
          <c:invertIfNegative val="0"/>
          <c:cat>
            <c:numRef>
              <c:f>bílkovinné!$D$15:$M$15</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bílkovinné!$D$19:$M$19</c:f>
              <c:numCache>
                <c:formatCode>0.00</c:formatCode>
                <c:ptCount val="10"/>
                <c:pt idx="0">
                  <c:v>0</c:v>
                </c:pt>
                <c:pt idx="1">
                  <c:v>0</c:v>
                </c:pt>
                <c:pt idx="2">
                  <c:v>0</c:v>
                </c:pt>
                <c:pt idx="3">
                  <c:v>0</c:v>
                </c:pt>
                <c:pt idx="4">
                  <c:v>0</c:v>
                </c:pt>
                <c:pt idx="5">
                  <c:v>0</c:v>
                </c:pt>
                <c:pt idx="6" formatCode="#,##0.00">
                  <c:v>1943.62</c:v>
                </c:pt>
                <c:pt idx="7" formatCode="#,##0.00">
                  <c:v>1928.43</c:v>
                </c:pt>
                <c:pt idx="8" formatCode="#,##0.00">
                  <c:v>1853.35</c:v>
                </c:pt>
                <c:pt idx="9" formatCode="General">
                  <c:v>1877.38</c:v>
                </c:pt>
              </c:numCache>
            </c:numRef>
          </c:val>
          <c:extLst>
            <c:ext xmlns:c16="http://schemas.microsoft.com/office/drawing/2014/chart" uri="{C3380CC4-5D6E-409C-BE32-E72D297353CC}">
              <c16:uniqueId val="{00000003-2E7F-4241-A480-5678C06F2993}"/>
            </c:ext>
          </c:extLst>
        </c:ser>
        <c:ser>
          <c:idx val="7"/>
          <c:order val="4"/>
          <c:tx>
            <c:strRef>
              <c:f>bílkovinné!$B$20</c:f>
              <c:strCache>
                <c:ptCount val="1"/>
                <c:pt idx="0">
                  <c:v>PVP zemědělská půda</c:v>
                </c:pt>
              </c:strCache>
            </c:strRef>
          </c:tx>
          <c:spPr>
            <a:solidFill>
              <a:schemeClr val="accent2">
                <a:lumMod val="60000"/>
              </a:schemeClr>
            </a:solidFill>
            <a:ln>
              <a:noFill/>
            </a:ln>
            <a:effectLst/>
          </c:spPr>
          <c:invertIfNegative val="0"/>
          <c:cat>
            <c:numRef>
              <c:f>bílkovinné!$D$15:$M$15</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bílkovinné!$D$20:$M$20</c:f>
              <c:numCache>
                <c:formatCode>#,##0.00</c:formatCode>
                <c:ptCount val="10"/>
                <c:pt idx="0">
                  <c:v>0</c:v>
                </c:pt>
                <c:pt idx="1">
                  <c:v>0</c:v>
                </c:pt>
                <c:pt idx="2">
                  <c:v>0</c:v>
                </c:pt>
                <c:pt idx="3">
                  <c:v>0</c:v>
                </c:pt>
                <c:pt idx="4" formatCode="0.00">
                  <c:v>247.78</c:v>
                </c:pt>
                <c:pt idx="5" formatCode="0.00">
                  <c:v>185.06</c:v>
                </c:pt>
                <c:pt idx="6" formatCode="General">
                  <c:v>192.17</c:v>
                </c:pt>
                <c:pt idx="7" formatCode="General">
                  <c:v>178.32</c:v>
                </c:pt>
                <c:pt idx="8" formatCode="General">
                  <c:v>159.25</c:v>
                </c:pt>
                <c:pt idx="9">
                  <c:v>141.58000000000001</c:v>
                </c:pt>
              </c:numCache>
            </c:numRef>
          </c:val>
          <c:extLst>
            <c:ext xmlns:c16="http://schemas.microsoft.com/office/drawing/2014/chart" uri="{C3380CC4-5D6E-409C-BE32-E72D297353CC}">
              <c16:uniqueId val="{00000004-2E7F-4241-A480-5678C06F2993}"/>
            </c:ext>
          </c:extLst>
        </c:ser>
        <c:ser>
          <c:idx val="8"/>
          <c:order val="5"/>
          <c:tx>
            <c:strRef>
              <c:f>bílkovinné!$B$21</c:f>
              <c:strCache>
                <c:ptCount val="1"/>
                <c:pt idx="0">
                  <c:v>LFA</c:v>
                </c:pt>
              </c:strCache>
            </c:strRef>
          </c:tx>
          <c:spPr>
            <a:solidFill>
              <a:schemeClr val="accent3">
                <a:lumMod val="60000"/>
              </a:schemeClr>
            </a:solidFill>
            <a:ln>
              <a:noFill/>
            </a:ln>
            <a:effectLst/>
          </c:spPr>
          <c:invertIfNegative val="0"/>
          <c:cat>
            <c:numRef>
              <c:f>bílkovinné!$D$15:$M$15</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bílkovinné!$D$21:$M$21</c:f>
              <c:numCache>
                <c:formatCode>0</c:formatCode>
                <c:ptCount val="10"/>
                <c:pt idx="0">
                  <c:v>0</c:v>
                </c:pt>
                <c:pt idx="1">
                  <c:v>0</c:v>
                </c:pt>
                <c:pt idx="2">
                  <c:v>0</c:v>
                </c:pt>
                <c:pt idx="3">
                  <c:v>0</c:v>
                </c:pt>
                <c:pt idx="4">
                  <c:v>0</c:v>
                </c:pt>
                <c:pt idx="5">
                  <c:v>0</c:v>
                </c:pt>
                <c:pt idx="6" formatCode="0.00">
                  <c:v>315.14176824907128</c:v>
                </c:pt>
                <c:pt idx="7" formatCode="0.00">
                  <c:v>307.05159557939976</c:v>
                </c:pt>
                <c:pt idx="8" formatCode="0.00">
                  <c:v>307.02887037527148</c:v>
                </c:pt>
                <c:pt idx="9" formatCode="0.00">
                  <c:v>602.17310171875067</c:v>
                </c:pt>
              </c:numCache>
            </c:numRef>
          </c:val>
          <c:extLst>
            <c:ext xmlns:c16="http://schemas.microsoft.com/office/drawing/2014/chart" uri="{C3380CC4-5D6E-409C-BE32-E72D297353CC}">
              <c16:uniqueId val="{00000005-2E7F-4241-A480-5678C06F2993}"/>
            </c:ext>
          </c:extLst>
        </c:ser>
        <c:ser>
          <c:idx val="9"/>
          <c:order val="6"/>
          <c:tx>
            <c:strRef>
              <c:f>bílkovinné!$B$22</c:f>
              <c:strCache>
                <c:ptCount val="1"/>
                <c:pt idx="0">
                  <c:v>Pojistné RV</c:v>
                </c:pt>
              </c:strCache>
            </c:strRef>
          </c:tx>
          <c:spPr>
            <a:solidFill>
              <a:schemeClr val="accent4">
                <a:lumMod val="60000"/>
              </a:schemeClr>
            </a:solidFill>
            <a:ln>
              <a:noFill/>
            </a:ln>
            <a:effectLst/>
          </c:spPr>
          <c:invertIfNegative val="0"/>
          <c:cat>
            <c:numRef>
              <c:f>bílkovinné!$D$15:$M$15</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bílkovinné!$D$22:$M$22</c:f>
              <c:numCache>
                <c:formatCode>#,##0.00</c:formatCode>
                <c:ptCount val="10"/>
                <c:pt idx="0">
                  <c:v>105.55845361190565</c:v>
                </c:pt>
                <c:pt idx="1">
                  <c:v>115.39953665750696</c:v>
                </c:pt>
                <c:pt idx="2">
                  <c:v>131.21812655196268</c:v>
                </c:pt>
                <c:pt idx="3">
                  <c:v>48.153597645910146</c:v>
                </c:pt>
                <c:pt idx="4" formatCode="0.00">
                  <c:v>49.702931637723523</c:v>
                </c:pt>
                <c:pt idx="5" formatCode="0.00">
                  <c:v>48.776561940943303</c:v>
                </c:pt>
                <c:pt idx="6">
                  <c:v>128.46938304003334</c:v>
                </c:pt>
                <c:pt idx="7">
                  <c:v>94.599040322787815</c:v>
                </c:pt>
                <c:pt idx="8">
                  <c:v>107.31712466231785</c:v>
                </c:pt>
                <c:pt idx="9">
                  <c:v>110.4086766857279</c:v>
                </c:pt>
              </c:numCache>
            </c:numRef>
          </c:val>
          <c:extLst>
            <c:ext xmlns:c16="http://schemas.microsoft.com/office/drawing/2014/chart" uri="{C3380CC4-5D6E-409C-BE32-E72D297353CC}">
              <c16:uniqueId val="{00000006-2E7F-4241-A480-5678C06F2993}"/>
            </c:ext>
          </c:extLst>
        </c:ser>
        <c:ser>
          <c:idx val="0"/>
          <c:order val="7"/>
          <c:tx>
            <c:strRef>
              <c:f>bílkovinné!$B$23</c:f>
              <c:strCache>
                <c:ptCount val="1"/>
                <c:pt idx="0">
                  <c:v>Vratka na ZN</c:v>
                </c:pt>
              </c:strCache>
            </c:strRef>
          </c:tx>
          <c:spPr>
            <a:solidFill>
              <a:schemeClr val="accent1"/>
            </a:solidFill>
            <a:ln>
              <a:noFill/>
            </a:ln>
            <a:effectLst/>
          </c:spPr>
          <c:invertIfNegative val="0"/>
          <c:cat>
            <c:numRef>
              <c:f>bílkovinné!$D$15:$M$15</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bílkovinné!$D$23:$M$23</c:f>
              <c:numCache>
                <c:formatCode>#,##0.00</c:formatCode>
                <c:ptCount val="10"/>
                <c:pt idx="0">
                  <c:v>435.64669361759019</c:v>
                </c:pt>
                <c:pt idx="1">
                  <c:v>475.64588766633659</c:v>
                </c:pt>
                <c:pt idx="2">
                  <c:v>515.77607777231663</c:v>
                </c:pt>
                <c:pt idx="3">
                  <c:v>582.20297006175736</c:v>
                </c:pt>
                <c:pt idx="4" formatCode="0.00">
                  <c:v>350.88435600719095</c:v>
                </c:pt>
                <c:pt idx="5" formatCode="0.00">
                  <c:v>275.07099173030417</c:v>
                </c:pt>
                <c:pt idx="6">
                  <c:v>349.35447454657049</c:v>
                </c:pt>
                <c:pt idx="7">
                  <c:v>193.31396528098975</c:v>
                </c:pt>
                <c:pt idx="8">
                  <c:v>308.85788401476162</c:v>
                </c:pt>
                <c:pt idx="9">
                  <c:v>339.88888910740479</c:v>
                </c:pt>
              </c:numCache>
            </c:numRef>
          </c:val>
          <c:extLst>
            <c:ext xmlns:c16="http://schemas.microsoft.com/office/drawing/2014/chart" uri="{C3380CC4-5D6E-409C-BE32-E72D297353CC}">
              <c16:uniqueId val="{00000007-2E7F-4241-A480-5678C06F2993}"/>
            </c:ext>
          </c:extLst>
        </c:ser>
        <c:ser>
          <c:idx val="1"/>
          <c:order val="8"/>
          <c:tx>
            <c:strRef>
              <c:f>bílkovinné!$B$24</c:f>
              <c:strCache>
                <c:ptCount val="1"/>
                <c:pt idx="0">
                  <c:v>Podpora na zmírnění škod způsobených suchem</c:v>
                </c:pt>
              </c:strCache>
            </c:strRef>
          </c:tx>
          <c:spPr>
            <a:solidFill>
              <a:schemeClr val="accent2"/>
            </a:solidFill>
            <a:ln>
              <a:noFill/>
            </a:ln>
            <a:effectLst/>
          </c:spPr>
          <c:invertIfNegative val="0"/>
          <c:cat>
            <c:numRef>
              <c:f>bílkovinné!$D$15:$M$15</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bílkovinné!$D$24:$M$24</c:f>
              <c:numCache>
                <c:formatCode>General</c:formatCode>
                <c:ptCount val="10"/>
                <c:pt idx="0">
                  <c:v>0</c:v>
                </c:pt>
                <c:pt idx="1">
                  <c:v>0</c:v>
                </c:pt>
                <c:pt idx="2">
                  <c:v>0</c:v>
                </c:pt>
                <c:pt idx="3">
                  <c:v>0</c:v>
                </c:pt>
                <c:pt idx="4">
                  <c:v>0</c:v>
                </c:pt>
                <c:pt idx="5">
                  <c:v>0</c:v>
                </c:pt>
                <c:pt idx="6">
                  <c:v>0</c:v>
                </c:pt>
                <c:pt idx="7">
                  <c:v>0</c:v>
                </c:pt>
                <c:pt idx="8">
                  <c:v>0</c:v>
                </c:pt>
                <c:pt idx="9" formatCode="#,##0.00">
                  <c:v>36.202143476644778</c:v>
                </c:pt>
              </c:numCache>
            </c:numRef>
          </c:val>
          <c:extLst>
            <c:ext xmlns:c16="http://schemas.microsoft.com/office/drawing/2014/chart" uri="{C3380CC4-5D6E-409C-BE32-E72D297353CC}">
              <c16:uniqueId val="{00000008-2E7F-4241-A480-5678C06F2993}"/>
            </c:ext>
          </c:extLst>
        </c:ser>
        <c:dLbls>
          <c:showLegendKey val="0"/>
          <c:showVal val="0"/>
          <c:showCatName val="0"/>
          <c:showSerName val="0"/>
          <c:showPercent val="0"/>
          <c:showBubbleSize val="0"/>
        </c:dLbls>
        <c:gapWidth val="150"/>
        <c:overlap val="100"/>
        <c:axId val="192797696"/>
        <c:axId val="192803584"/>
      </c:barChart>
      <c:catAx>
        <c:axId val="1927976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92803584"/>
        <c:crosses val="autoZero"/>
        <c:auto val="1"/>
        <c:lblAlgn val="ctr"/>
        <c:lblOffset val="100"/>
        <c:noMultiLvlLbl val="0"/>
      </c:catAx>
      <c:valAx>
        <c:axId val="19280358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92797696"/>
        <c:crosses val="autoZero"/>
        <c:crossBetween val="between"/>
      </c:valAx>
      <c:spPr>
        <a:noFill/>
        <a:ln>
          <a:noFill/>
        </a:ln>
        <a:effectLst/>
      </c:spPr>
    </c:plotArea>
    <c:legend>
      <c:legendPos val="r"/>
      <c:layout>
        <c:manualLayout>
          <c:xMode val="edge"/>
          <c:yMode val="edge"/>
          <c:x val="0.72018824892396827"/>
          <c:y val="2.28757528636882E-2"/>
          <c:w val="0.27131015797566582"/>
          <c:h val="0.7598550748046121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'Grafy -len,mil. Kč'!$P$15:$P$16</c:f>
              <c:strCache>
                <c:ptCount val="2"/>
                <c:pt idx="0">
                  <c:v>Vývoz</c:v>
                </c:pt>
                <c:pt idx="1">
                  <c:v>(mil. Kč)</c:v>
                </c:pt>
              </c:strCache>
            </c:strRef>
          </c:tx>
          <c:spPr>
            <a:solidFill>
              <a:schemeClr val="accent1"/>
            </a:solidFill>
            <a:ln>
              <a:noFill/>
            </a:ln>
            <a:effectLst/>
            <a:sp3d/>
          </c:spPr>
          <c:invertIfNegative val="0"/>
          <c:cat>
            <c:numRef>
              <c:f>'Grafy -len,mil. Kč'!$O$17:$O$23</c:f>
              <c:numCache>
                <c:formatCode>General</c:formatCode>
                <c:ptCount val="7"/>
                <c:pt idx="0">
                  <c:v>2014</c:v>
                </c:pt>
                <c:pt idx="1">
                  <c:v>2015</c:v>
                </c:pt>
                <c:pt idx="2">
                  <c:v>2016</c:v>
                </c:pt>
                <c:pt idx="3">
                  <c:v>2017</c:v>
                </c:pt>
                <c:pt idx="4">
                  <c:v>2018</c:v>
                </c:pt>
                <c:pt idx="5">
                  <c:v>2019</c:v>
                </c:pt>
                <c:pt idx="6">
                  <c:v>2020</c:v>
                </c:pt>
              </c:numCache>
            </c:numRef>
          </c:cat>
          <c:val>
            <c:numRef>
              <c:f>'Grafy -len,mil. Kč'!$P$17:$P$23</c:f>
              <c:numCache>
                <c:formatCode>General</c:formatCode>
                <c:ptCount val="7"/>
                <c:pt idx="0">
                  <c:v>62817.58</c:v>
                </c:pt>
                <c:pt idx="1">
                  <c:v>51542.34</c:v>
                </c:pt>
                <c:pt idx="2">
                  <c:v>125246.355</c:v>
                </c:pt>
                <c:pt idx="3">
                  <c:v>196326.59099999999</c:v>
                </c:pt>
                <c:pt idx="4">
                  <c:v>111450.15</c:v>
                </c:pt>
                <c:pt idx="5">
                  <c:v>127621.681</c:v>
                </c:pt>
                <c:pt idx="6">
                  <c:v>131147.427</c:v>
                </c:pt>
              </c:numCache>
            </c:numRef>
          </c:val>
          <c:extLst>
            <c:ext xmlns:c16="http://schemas.microsoft.com/office/drawing/2014/chart" uri="{C3380CC4-5D6E-409C-BE32-E72D297353CC}">
              <c16:uniqueId val="{00000000-451A-EC46-AE70-7FACCFABC8D5}"/>
            </c:ext>
          </c:extLst>
        </c:ser>
        <c:ser>
          <c:idx val="1"/>
          <c:order val="1"/>
          <c:tx>
            <c:strRef>
              <c:f>'Grafy -len,mil. Kč'!$Q$15:$Q$16</c:f>
              <c:strCache>
                <c:ptCount val="2"/>
                <c:pt idx="0">
                  <c:v>Dovoz</c:v>
                </c:pt>
                <c:pt idx="1">
                  <c:v>(mil. Kč)</c:v>
                </c:pt>
              </c:strCache>
            </c:strRef>
          </c:tx>
          <c:spPr>
            <a:solidFill>
              <a:schemeClr val="accent2"/>
            </a:solidFill>
            <a:ln>
              <a:noFill/>
            </a:ln>
            <a:effectLst/>
            <a:sp3d/>
          </c:spPr>
          <c:invertIfNegative val="0"/>
          <c:cat>
            <c:numRef>
              <c:f>'Grafy -len,mil. Kč'!$O$17:$O$23</c:f>
              <c:numCache>
                <c:formatCode>General</c:formatCode>
                <c:ptCount val="7"/>
                <c:pt idx="0">
                  <c:v>2014</c:v>
                </c:pt>
                <c:pt idx="1">
                  <c:v>2015</c:v>
                </c:pt>
                <c:pt idx="2">
                  <c:v>2016</c:v>
                </c:pt>
                <c:pt idx="3">
                  <c:v>2017</c:v>
                </c:pt>
                <c:pt idx="4">
                  <c:v>2018</c:v>
                </c:pt>
                <c:pt idx="5">
                  <c:v>2019</c:v>
                </c:pt>
                <c:pt idx="6">
                  <c:v>2020</c:v>
                </c:pt>
              </c:numCache>
            </c:numRef>
          </c:cat>
          <c:val>
            <c:numRef>
              <c:f>'Grafy -len,mil. Kč'!$Q$17:$Q$23</c:f>
              <c:numCache>
                <c:formatCode>General</c:formatCode>
                <c:ptCount val="7"/>
                <c:pt idx="0">
                  <c:v>60057.228000000003</c:v>
                </c:pt>
                <c:pt idx="1">
                  <c:v>63738.629000000001</c:v>
                </c:pt>
                <c:pt idx="2">
                  <c:v>90011.75</c:v>
                </c:pt>
                <c:pt idx="3">
                  <c:v>118339.18399999999</c:v>
                </c:pt>
                <c:pt idx="4">
                  <c:v>102564.883</c:v>
                </c:pt>
                <c:pt idx="5">
                  <c:v>149014.07699999999</c:v>
                </c:pt>
                <c:pt idx="6">
                  <c:v>176044.296</c:v>
                </c:pt>
              </c:numCache>
            </c:numRef>
          </c:val>
          <c:extLst>
            <c:ext xmlns:c16="http://schemas.microsoft.com/office/drawing/2014/chart" uri="{C3380CC4-5D6E-409C-BE32-E72D297353CC}">
              <c16:uniqueId val="{00000001-451A-EC46-AE70-7FACCFABC8D5}"/>
            </c:ext>
          </c:extLst>
        </c:ser>
        <c:dLbls>
          <c:showLegendKey val="0"/>
          <c:showVal val="0"/>
          <c:showCatName val="0"/>
          <c:showSerName val="0"/>
          <c:showPercent val="0"/>
          <c:showBubbleSize val="0"/>
        </c:dLbls>
        <c:gapWidth val="150"/>
        <c:shape val="box"/>
        <c:axId val="605636040"/>
        <c:axId val="605637680"/>
        <c:axId val="0"/>
      </c:bar3DChart>
      <c:catAx>
        <c:axId val="60563604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605637680"/>
        <c:crosses val="autoZero"/>
        <c:auto val="1"/>
        <c:lblAlgn val="ctr"/>
        <c:lblOffset val="100"/>
        <c:noMultiLvlLbl val="0"/>
      </c:catAx>
      <c:valAx>
        <c:axId val="6056376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6056360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'Grafy-len, t'!$P$40:$P$41</c:f>
              <c:strCache>
                <c:ptCount val="2"/>
                <c:pt idx="0">
                  <c:v>Vývoz</c:v>
                </c:pt>
                <c:pt idx="1">
                  <c:v>(t)</c:v>
                </c:pt>
              </c:strCache>
            </c:strRef>
          </c:tx>
          <c:spPr>
            <a:solidFill>
              <a:schemeClr val="accent1"/>
            </a:solidFill>
            <a:ln>
              <a:noFill/>
            </a:ln>
            <a:effectLst/>
            <a:sp3d/>
          </c:spPr>
          <c:invertIfNegative val="0"/>
          <c:cat>
            <c:numRef>
              <c:f>'Grafy-len, t'!$O$42:$O$48</c:f>
              <c:numCache>
                <c:formatCode>General</c:formatCode>
                <c:ptCount val="7"/>
                <c:pt idx="0">
                  <c:v>2014</c:v>
                </c:pt>
                <c:pt idx="1">
                  <c:v>2015</c:v>
                </c:pt>
                <c:pt idx="2">
                  <c:v>2016</c:v>
                </c:pt>
                <c:pt idx="3">
                  <c:v>2017</c:v>
                </c:pt>
                <c:pt idx="4">
                  <c:v>2018</c:v>
                </c:pt>
                <c:pt idx="5">
                  <c:v>2019</c:v>
                </c:pt>
                <c:pt idx="6">
                  <c:v>2020</c:v>
                </c:pt>
              </c:numCache>
            </c:numRef>
          </c:cat>
          <c:val>
            <c:numRef>
              <c:f>'Grafy-len, t'!$P$42:$P$48</c:f>
              <c:numCache>
                <c:formatCode>#,##0.00</c:formatCode>
                <c:ptCount val="7"/>
                <c:pt idx="0">
                  <c:v>120.62780000000001</c:v>
                </c:pt>
                <c:pt idx="1">
                  <c:v>10.186</c:v>
                </c:pt>
                <c:pt idx="2">
                  <c:v>2.02921</c:v>
                </c:pt>
                <c:pt idx="3">
                  <c:v>1.6255999999999999</c:v>
                </c:pt>
                <c:pt idx="4">
                  <c:v>10.327200000000001</c:v>
                </c:pt>
                <c:pt idx="5">
                  <c:v>16.255330000000001</c:v>
                </c:pt>
                <c:pt idx="6">
                  <c:v>100.0325</c:v>
                </c:pt>
              </c:numCache>
            </c:numRef>
          </c:val>
          <c:extLst>
            <c:ext xmlns:c16="http://schemas.microsoft.com/office/drawing/2014/chart" uri="{C3380CC4-5D6E-409C-BE32-E72D297353CC}">
              <c16:uniqueId val="{00000000-6BCC-6149-A6DA-63D8F4D89ADE}"/>
            </c:ext>
          </c:extLst>
        </c:ser>
        <c:ser>
          <c:idx val="1"/>
          <c:order val="1"/>
          <c:tx>
            <c:strRef>
              <c:f>'Grafy-len, t'!$Q$40:$Q$41</c:f>
              <c:strCache>
                <c:ptCount val="2"/>
                <c:pt idx="0">
                  <c:v>Dovoz</c:v>
                </c:pt>
                <c:pt idx="1">
                  <c:v>(t)</c:v>
                </c:pt>
              </c:strCache>
            </c:strRef>
          </c:tx>
          <c:spPr>
            <a:solidFill>
              <a:schemeClr val="accent2"/>
            </a:solidFill>
            <a:ln>
              <a:noFill/>
            </a:ln>
            <a:effectLst/>
            <a:sp3d/>
          </c:spPr>
          <c:invertIfNegative val="0"/>
          <c:cat>
            <c:numRef>
              <c:f>'Grafy-len, t'!$O$42:$O$48</c:f>
              <c:numCache>
                <c:formatCode>General</c:formatCode>
                <c:ptCount val="7"/>
                <c:pt idx="0">
                  <c:v>2014</c:v>
                </c:pt>
                <c:pt idx="1">
                  <c:v>2015</c:v>
                </c:pt>
                <c:pt idx="2">
                  <c:v>2016</c:v>
                </c:pt>
                <c:pt idx="3">
                  <c:v>2017</c:v>
                </c:pt>
                <c:pt idx="4">
                  <c:v>2018</c:v>
                </c:pt>
                <c:pt idx="5">
                  <c:v>2019</c:v>
                </c:pt>
                <c:pt idx="6">
                  <c:v>2020</c:v>
                </c:pt>
              </c:numCache>
            </c:numRef>
          </c:cat>
          <c:val>
            <c:numRef>
              <c:f>'Grafy-len, t'!$Q$42:$Q$48</c:f>
              <c:numCache>
                <c:formatCode>#,##0.00</c:formatCode>
                <c:ptCount val="7"/>
                <c:pt idx="0">
                  <c:v>2978.9154699999999</c:v>
                </c:pt>
                <c:pt idx="1">
                  <c:v>2860.7008300000002</c:v>
                </c:pt>
                <c:pt idx="2">
                  <c:v>3885.0475700000002</c:v>
                </c:pt>
                <c:pt idx="3">
                  <c:v>4373.1853799999999</c:v>
                </c:pt>
                <c:pt idx="4">
                  <c:v>4375.8626299999996</c:v>
                </c:pt>
                <c:pt idx="5">
                  <c:v>4135.1663600000002</c:v>
                </c:pt>
                <c:pt idx="6">
                  <c:v>3291.0509900000002</c:v>
                </c:pt>
              </c:numCache>
            </c:numRef>
          </c:val>
          <c:extLst>
            <c:ext xmlns:c16="http://schemas.microsoft.com/office/drawing/2014/chart" uri="{C3380CC4-5D6E-409C-BE32-E72D297353CC}">
              <c16:uniqueId val="{00000001-6BCC-6149-A6DA-63D8F4D89ADE}"/>
            </c:ext>
          </c:extLst>
        </c:ser>
        <c:dLbls>
          <c:showLegendKey val="0"/>
          <c:showVal val="0"/>
          <c:showCatName val="0"/>
          <c:showSerName val="0"/>
          <c:showPercent val="0"/>
          <c:showBubbleSize val="0"/>
        </c:dLbls>
        <c:gapWidth val="150"/>
        <c:shape val="box"/>
        <c:axId val="592324808"/>
        <c:axId val="592329072"/>
        <c:axId val="0"/>
      </c:bar3DChart>
      <c:catAx>
        <c:axId val="59232480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92329072"/>
        <c:crosses val="autoZero"/>
        <c:auto val="1"/>
        <c:lblAlgn val="ctr"/>
        <c:lblOffset val="100"/>
        <c:noMultiLvlLbl val="0"/>
      </c:catAx>
      <c:valAx>
        <c:axId val="59232907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923248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'Grafy -len,mil. Kč'!$P$40:$P$41</c:f>
              <c:strCache>
                <c:ptCount val="2"/>
                <c:pt idx="0">
                  <c:v>Vývoz</c:v>
                </c:pt>
                <c:pt idx="1">
                  <c:v>(mil. Kč)</c:v>
                </c:pt>
              </c:strCache>
            </c:strRef>
          </c:tx>
          <c:spPr>
            <a:solidFill>
              <a:schemeClr val="accent1"/>
            </a:solidFill>
            <a:ln>
              <a:noFill/>
            </a:ln>
            <a:effectLst/>
            <a:sp3d/>
          </c:spPr>
          <c:invertIfNegative val="0"/>
          <c:cat>
            <c:numRef>
              <c:f>'Grafy -len,mil. Kč'!$O$42:$O$48</c:f>
              <c:numCache>
                <c:formatCode>General</c:formatCode>
                <c:ptCount val="7"/>
                <c:pt idx="0">
                  <c:v>2014</c:v>
                </c:pt>
                <c:pt idx="1">
                  <c:v>2015</c:v>
                </c:pt>
                <c:pt idx="2">
                  <c:v>2016</c:v>
                </c:pt>
                <c:pt idx="3">
                  <c:v>2017</c:v>
                </c:pt>
                <c:pt idx="4">
                  <c:v>2018</c:v>
                </c:pt>
                <c:pt idx="5">
                  <c:v>2019</c:v>
                </c:pt>
                <c:pt idx="6">
                  <c:v>2020</c:v>
                </c:pt>
              </c:numCache>
            </c:numRef>
          </c:cat>
          <c:val>
            <c:numRef>
              <c:f>'Grafy -len,mil. Kč'!$P$42:$P$48</c:f>
              <c:numCache>
                <c:formatCode>#,##0.00</c:formatCode>
                <c:ptCount val="7"/>
                <c:pt idx="0">
                  <c:v>5619.7129999999997</c:v>
                </c:pt>
                <c:pt idx="1">
                  <c:v>278.90300000000002</c:v>
                </c:pt>
                <c:pt idx="2">
                  <c:v>144.06700000000001</c:v>
                </c:pt>
                <c:pt idx="3">
                  <c:v>163.98400000000001</c:v>
                </c:pt>
                <c:pt idx="4">
                  <c:v>607.53599999999994</c:v>
                </c:pt>
                <c:pt idx="5">
                  <c:v>390.75799999999998</c:v>
                </c:pt>
                <c:pt idx="6">
                  <c:v>6490.2359999999999</c:v>
                </c:pt>
              </c:numCache>
            </c:numRef>
          </c:val>
          <c:extLst>
            <c:ext xmlns:c16="http://schemas.microsoft.com/office/drawing/2014/chart" uri="{C3380CC4-5D6E-409C-BE32-E72D297353CC}">
              <c16:uniqueId val="{00000000-0356-F743-A4F9-7BC2049CC445}"/>
            </c:ext>
          </c:extLst>
        </c:ser>
        <c:ser>
          <c:idx val="1"/>
          <c:order val="1"/>
          <c:tx>
            <c:strRef>
              <c:f>'Grafy -len,mil. Kč'!$Q$40:$Q$41</c:f>
              <c:strCache>
                <c:ptCount val="2"/>
                <c:pt idx="0">
                  <c:v>Dovoz</c:v>
                </c:pt>
                <c:pt idx="1">
                  <c:v>(mil. Kč)</c:v>
                </c:pt>
              </c:strCache>
            </c:strRef>
          </c:tx>
          <c:spPr>
            <a:solidFill>
              <a:schemeClr val="accent2"/>
            </a:solidFill>
            <a:ln>
              <a:noFill/>
            </a:ln>
            <a:effectLst/>
            <a:sp3d/>
          </c:spPr>
          <c:invertIfNegative val="0"/>
          <c:cat>
            <c:numRef>
              <c:f>'Grafy -len,mil. Kč'!$O$42:$O$48</c:f>
              <c:numCache>
                <c:formatCode>General</c:formatCode>
                <c:ptCount val="7"/>
                <c:pt idx="0">
                  <c:v>2014</c:v>
                </c:pt>
                <c:pt idx="1">
                  <c:v>2015</c:v>
                </c:pt>
                <c:pt idx="2">
                  <c:v>2016</c:v>
                </c:pt>
                <c:pt idx="3">
                  <c:v>2017</c:v>
                </c:pt>
                <c:pt idx="4">
                  <c:v>2018</c:v>
                </c:pt>
                <c:pt idx="5">
                  <c:v>2019</c:v>
                </c:pt>
                <c:pt idx="6">
                  <c:v>2020</c:v>
                </c:pt>
              </c:numCache>
            </c:numRef>
          </c:cat>
          <c:val>
            <c:numRef>
              <c:f>'Grafy -len,mil. Kč'!$Q$42:$Q$48</c:f>
              <c:numCache>
                <c:formatCode>#,##0.00</c:formatCode>
                <c:ptCount val="7"/>
                <c:pt idx="0">
                  <c:v>51580.923000000003</c:v>
                </c:pt>
                <c:pt idx="1">
                  <c:v>55386.724999999999</c:v>
                </c:pt>
                <c:pt idx="2">
                  <c:v>71349.782999999996</c:v>
                </c:pt>
                <c:pt idx="3">
                  <c:v>65453.341999999997</c:v>
                </c:pt>
                <c:pt idx="4">
                  <c:v>66145.149000000005</c:v>
                </c:pt>
                <c:pt idx="5">
                  <c:v>71332.682000000001</c:v>
                </c:pt>
                <c:pt idx="6">
                  <c:v>60006.027000000002</c:v>
                </c:pt>
              </c:numCache>
            </c:numRef>
          </c:val>
          <c:extLst>
            <c:ext xmlns:c16="http://schemas.microsoft.com/office/drawing/2014/chart" uri="{C3380CC4-5D6E-409C-BE32-E72D297353CC}">
              <c16:uniqueId val="{00000001-0356-F743-A4F9-7BC2049CC445}"/>
            </c:ext>
          </c:extLst>
        </c:ser>
        <c:dLbls>
          <c:showLegendKey val="0"/>
          <c:showVal val="0"/>
          <c:showCatName val="0"/>
          <c:showSerName val="0"/>
          <c:showPercent val="0"/>
          <c:showBubbleSize val="0"/>
        </c:dLbls>
        <c:gapWidth val="150"/>
        <c:shape val="box"/>
        <c:axId val="587349384"/>
        <c:axId val="587351680"/>
        <c:axId val="0"/>
      </c:bar3DChart>
      <c:catAx>
        <c:axId val="58734938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87351680"/>
        <c:crosses val="autoZero"/>
        <c:auto val="1"/>
        <c:lblAlgn val="ctr"/>
        <c:lblOffset val="100"/>
        <c:noMultiLvlLbl val="0"/>
      </c:catAx>
      <c:valAx>
        <c:axId val="58735168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873493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cs-CZ" sz="1200" b="1"/>
              <a:t>Pravé konopí, surové nebo máčené a Pravé konopí (t)</a:t>
            </a:r>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cs-CZ"/>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'Graf-konopí'!$R$5:$R$6</c:f>
              <c:strCache>
                <c:ptCount val="2"/>
                <c:pt idx="0">
                  <c:v>Vývoz</c:v>
                </c:pt>
                <c:pt idx="1">
                  <c:v>t</c:v>
                </c:pt>
              </c:strCache>
            </c:strRef>
          </c:tx>
          <c:spPr>
            <a:solidFill>
              <a:srgbClr val="FF0000"/>
            </a:solidFill>
            <a:ln>
              <a:noFill/>
            </a:ln>
            <a:effectLst/>
            <a:sp3d/>
          </c:spPr>
          <c:invertIfNegative val="0"/>
          <c:cat>
            <c:numRef>
              <c:f>'Graf-konopí'!$Q$7:$Q$13</c:f>
              <c:numCache>
                <c:formatCode>General</c:formatCode>
                <c:ptCount val="7"/>
                <c:pt idx="0">
                  <c:v>2014</c:v>
                </c:pt>
                <c:pt idx="1">
                  <c:v>2015</c:v>
                </c:pt>
                <c:pt idx="2">
                  <c:v>2016</c:v>
                </c:pt>
                <c:pt idx="3">
                  <c:v>2017</c:v>
                </c:pt>
                <c:pt idx="4">
                  <c:v>2018</c:v>
                </c:pt>
                <c:pt idx="5">
                  <c:v>2019</c:v>
                </c:pt>
                <c:pt idx="6">
                  <c:v>2020</c:v>
                </c:pt>
              </c:numCache>
            </c:numRef>
          </c:cat>
          <c:val>
            <c:numRef>
              <c:f>'Graf-konopí'!$R$7:$R$13</c:f>
              <c:numCache>
                <c:formatCode>General</c:formatCode>
                <c:ptCount val="7"/>
                <c:pt idx="0">
                  <c:v>1.4289799999999999</c:v>
                </c:pt>
                <c:pt idx="1">
                  <c:v>0.74579999999999991</c:v>
                </c:pt>
                <c:pt idx="2">
                  <c:v>0.48425000000000001</c:v>
                </c:pt>
                <c:pt idx="3">
                  <c:v>0.48139999999999999</c:v>
                </c:pt>
                <c:pt idx="4">
                  <c:v>9.1241399999999988</c:v>
                </c:pt>
                <c:pt idx="5">
                  <c:v>0.5549400000000001</c:v>
                </c:pt>
                <c:pt idx="6">
                  <c:v>26.546100000000003</c:v>
                </c:pt>
              </c:numCache>
            </c:numRef>
          </c:val>
          <c:extLst>
            <c:ext xmlns:c16="http://schemas.microsoft.com/office/drawing/2014/chart" uri="{C3380CC4-5D6E-409C-BE32-E72D297353CC}">
              <c16:uniqueId val="{00000000-DB46-6146-8647-77F9A025CB9D}"/>
            </c:ext>
          </c:extLst>
        </c:ser>
        <c:ser>
          <c:idx val="1"/>
          <c:order val="1"/>
          <c:tx>
            <c:strRef>
              <c:f>'Graf-konopí'!$S$5:$S$6</c:f>
              <c:strCache>
                <c:ptCount val="2"/>
                <c:pt idx="0">
                  <c:v>Dovoz</c:v>
                </c:pt>
                <c:pt idx="1">
                  <c:v>t</c:v>
                </c:pt>
              </c:strCache>
            </c:strRef>
          </c:tx>
          <c:spPr>
            <a:solidFill>
              <a:schemeClr val="accent6">
                <a:lumMod val="75000"/>
              </a:schemeClr>
            </a:solidFill>
            <a:ln>
              <a:noFill/>
            </a:ln>
            <a:effectLst/>
            <a:sp3d/>
          </c:spPr>
          <c:invertIfNegative val="0"/>
          <c:cat>
            <c:numRef>
              <c:f>'Graf-konopí'!$Q$7:$Q$13</c:f>
              <c:numCache>
                <c:formatCode>General</c:formatCode>
                <c:ptCount val="7"/>
                <c:pt idx="0">
                  <c:v>2014</c:v>
                </c:pt>
                <c:pt idx="1">
                  <c:v>2015</c:v>
                </c:pt>
                <c:pt idx="2">
                  <c:v>2016</c:v>
                </c:pt>
                <c:pt idx="3">
                  <c:v>2017</c:v>
                </c:pt>
                <c:pt idx="4">
                  <c:v>2018</c:v>
                </c:pt>
                <c:pt idx="5">
                  <c:v>2019</c:v>
                </c:pt>
                <c:pt idx="6">
                  <c:v>2020</c:v>
                </c:pt>
              </c:numCache>
            </c:numRef>
          </c:cat>
          <c:val>
            <c:numRef>
              <c:f>'Graf-konopí'!$S$7:$S$13</c:f>
              <c:numCache>
                <c:formatCode>General</c:formatCode>
                <c:ptCount val="7"/>
                <c:pt idx="0">
                  <c:v>5289.4326500000006</c:v>
                </c:pt>
                <c:pt idx="1">
                  <c:v>5887.8436500000007</c:v>
                </c:pt>
                <c:pt idx="2">
                  <c:v>5719.3253399999994</c:v>
                </c:pt>
                <c:pt idx="3">
                  <c:v>5864.2364900000002</c:v>
                </c:pt>
                <c:pt idx="4">
                  <c:v>5900.5277800000013</c:v>
                </c:pt>
                <c:pt idx="5">
                  <c:v>5521.4451700000009</c:v>
                </c:pt>
                <c:pt idx="6">
                  <c:v>4893.120390000001</c:v>
                </c:pt>
              </c:numCache>
            </c:numRef>
          </c:val>
          <c:extLst>
            <c:ext xmlns:c16="http://schemas.microsoft.com/office/drawing/2014/chart" uri="{C3380CC4-5D6E-409C-BE32-E72D297353CC}">
              <c16:uniqueId val="{00000001-DB46-6146-8647-77F9A025CB9D}"/>
            </c:ext>
          </c:extLst>
        </c:ser>
        <c:dLbls>
          <c:showLegendKey val="0"/>
          <c:showVal val="0"/>
          <c:showCatName val="0"/>
          <c:showSerName val="0"/>
          <c:showPercent val="0"/>
          <c:showBubbleSize val="0"/>
        </c:dLbls>
        <c:gapWidth val="150"/>
        <c:shape val="box"/>
        <c:axId val="838372656"/>
        <c:axId val="838379544"/>
        <c:axId val="0"/>
      </c:bar3DChart>
      <c:catAx>
        <c:axId val="83837265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838379544"/>
        <c:crosses val="autoZero"/>
        <c:auto val="1"/>
        <c:lblAlgn val="ctr"/>
        <c:lblOffset val="100"/>
        <c:noMultiLvlLbl val="0"/>
      </c:catAx>
      <c:valAx>
        <c:axId val="8383795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8383726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cs-CZ" sz="1200" b="1"/>
              <a:t>Pravé konopí, surové nebo máčené a Pravé konopí (mil. Kč)</a:t>
            </a:r>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cs-CZ"/>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'Graf-konopí'!$R$30:$R$31</c:f>
              <c:strCache>
                <c:ptCount val="2"/>
                <c:pt idx="0">
                  <c:v>Vývoz</c:v>
                </c:pt>
                <c:pt idx="1">
                  <c:v>(mil. Kč)</c:v>
                </c:pt>
              </c:strCache>
            </c:strRef>
          </c:tx>
          <c:spPr>
            <a:solidFill>
              <a:srgbClr val="FF0000"/>
            </a:solidFill>
            <a:ln>
              <a:noFill/>
            </a:ln>
            <a:effectLst/>
            <a:sp3d/>
          </c:spPr>
          <c:invertIfNegative val="0"/>
          <c:cat>
            <c:numRef>
              <c:f>'Graf-konopí'!$Q$32:$Q$38</c:f>
              <c:numCache>
                <c:formatCode>General</c:formatCode>
                <c:ptCount val="7"/>
                <c:pt idx="0">
                  <c:v>2014</c:v>
                </c:pt>
                <c:pt idx="1">
                  <c:v>2015</c:v>
                </c:pt>
                <c:pt idx="2">
                  <c:v>2016</c:v>
                </c:pt>
                <c:pt idx="3">
                  <c:v>2017</c:v>
                </c:pt>
                <c:pt idx="4">
                  <c:v>2018</c:v>
                </c:pt>
                <c:pt idx="5">
                  <c:v>2019</c:v>
                </c:pt>
                <c:pt idx="6">
                  <c:v>2020</c:v>
                </c:pt>
              </c:numCache>
            </c:numRef>
          </c:cat>
          <c:val>
            <c:numRef>
              <c:f>'Graf-konopí'!$R$32:$R$38</c:f>
              <c:numCache>
                <c:formatCode>#,##0</c:formatCode>
                <c:ptCount val="7"/>
                <c:pt idx="0">
                  <c:v>156.90700000000001</c:v>
                </c:pt>
                <c:pt idx="1">
                  <c:v>125.25</c:v>
                </c:pt>
                <c:pt idx="2">
                  <c:v>190.18199999999999</c:v>
                </c:pt>
                <c:pt idx="3">
                  <c:v>64.765690000000006</c:v>
                </c:pt>
                <c:pt idx="4">
                  <c:v>205.047</c:v>
                </c:pt>
                <c:pt idx="5">
                  <c:v>159.05799999999999</c:v>
                </c:pt>
                <c:pt idx="6">
                  <c:v>1600.8510000000001</c:v>
                </c:pt>
              </c:numCache>
            </c:numRef>
          </c:val>
          <c:extLst>
            <c:ext xmlns:c16="http://schemas.microsoft.com/office/drawing/2014/chart" uri="{C3380CC4-5D6E-409C-BE32-E72D297353CC}">
              <c16:uniqueId val="{00000000-C7A9-2146-86FA-2A9DF56A2007}"/>
            </c:ext>
          </c:extLst>
        </c:ser>
        <c:ser>
          <c:idx val="1"/>
          <c:order val="1"/>
          <c:tx>
            <c:strRef>
              <c:f>'Graf-konopí'!$S$30:$S$31</c:f>
              <c:strCache>
                <c:ptCount val="2"/>
                <c:pt idx="0">
                  <c:v>Dovoz</c:v>
                </c:pt>
                <c:pt idx="1">
                  <c:v>(mil. Kč)</c:v>
                </c:pt>
              </c:strCache>
            </c:strRef>
          </c:tx>
          <c:spPr>
            <a:solidFill>
              <a:schemeClr val="accent6">
                <a:lumMod val="75000"/>
              </a:schemeClr>
            </a:solidFill>
            <a:ln>
              <a:noFill/>
            </a:ln>
            <a:effectLst/>
            <a:sp3d/>
          </c:spPr>
          <c:invertIfNegative val="0"/>
          <c:cat>
            <c:numRef>
              <c:f>'Graf-konopí'!$Q$32:$Q$38</c:f>
              <c:numCache>
                <c:formatCode>General</c:formatCode>
                <c:ptCount val="7"/>
                <c:pt idx="0">
                  <c:v>2014</c:v>
                </c:pt>
                <c:pt idx="1">
                  <c:v>2015</c:v>
                </c:pt>
                <c:pt idx="2">
                  <c:v>2016</c:v>
                </c:pt>
                <c:pt idx="3">
                  <c:v>2017</c:v>
                </c:pt>
                <c:pt idx="4">
                  <c:v>2018</c:v>
                </c:pt>
                <c:pt idx="5">
                  <c:v>2019</c:v>
                </c:pt>
                <c:pt idx="6">
                  <c:v>2020</c:v>
                </c:pt>
              </c:numCache>
            </c:numRef>
          </c:cat>
          <c:val>
            <c:numRef>
              <c:f>'Graf-konopí'!$S$32:$S$38</c:f>
              <c:numCache>
                <c:formatCode>#,##0</c:formatCode>
                <c:ptCount val="7"/>
                <c:pt idx="0">
                  <c:v>74854.377999999997</c:v>
                </c:pt>
                <c:pt idx="1">
                  <c:v>95154.649000000005</c:v>
                </c:pt>
                <c:pt idx="2">
                  <c:v>87274.785000000003</c:v>
                </c:pt>
                <c:pt idx="3">
                  <c:v>81049.491999999998</c:v>
                </c:pt>
                <c:pt idx="4">
                  <c:v>73617.87</c:v>
                </c:pt>
                <c:pt idx="5">
                  <c:v>72121.81</c:v>
                </c:pt>
                <c:pt idx="6">
                  <c:v>62633.864999999998</c:v>
                </c:pt>
              </c:numCache>
            </c:numRef>
          </c:val>
          <c:extLst>
            <c:ext xmlns:c16="http://schemas.microsoft.com/office/drawing/2014/chart" uri="{C3380CC4-5D6E-409C-BE32-E72D297353CC}">
              <c16:uniqueId val="{00000001-C7A9-2146-86FA-2A9DF56A2007}"/>
            </c:ext>
          </c:extLst>
        </c:ser>
        <c:dLbls>
          <c:showLegendKey val="0"/>
          <c:showVal val="0"/>
          <c:showCatName val="0"/>
          <c:showSerName val="0"/>
          <c:showPercent val="0"/>
          <c:showBubbleSize val="0"/>
        </c:dLbls>
        <c:gapWidth val="150"/>
        <c:shape val="box"/>
        <c:axId val="585631344"/>
        <c:axId val="585628064"/>
        <c:axId val="0"/>
      </c:bar3DChart>
      <c:catAx>
        <c:axId val="58563134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85628064"/>
        <c:crosses val="autoZero"/>
        <c:auto val="1"/>
        <c:lblAlgn val="ctr"/>
        <c:lblOffset val="100"/>
        <c:noMultiLvlLbl val="0"/>
      </c:catAx>
      <c:valAx>
        <c:axId val="58562806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856313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'Graf K. semeno'!$C$4:$C$5</c:f>
              <c:strCache>
                <c:ptCount val="2"/>
                <c:pt idx="0">
                  <c:v>Vývoz</c:v>
                </c:pt>
                <c:pt idx="1">
                  <c:v>(t)</c:v>
                </c:pt>
              </c:strCache>
            </c:strRef>
          </c:tx>
          <c:spPr>
            <a:solidFill>
              <a:schemeClr val="accent3">
                <a:lumMod val="60000"/>
                <a:lumOff val="40000"/>
              </a:schemeClr>
            </a:solidFill>
            <a:ln>
              <a:noFill/>
            </a:ln>
            <a:effectLst/>
            <a:sp3d/>
          </c:spPr>
          <c:invertIfNegative val="0"/>
          <c:cat>
            <c:numRef>
              <c:f>'Graf K. semeno'!$B$6:$B$11</c:f>
              <c:numCache>
                <c:formatCode>General</c:formatCode>
                <c:ptCount val="6"/>
                <c:pt idx="0">
                  <c:v>2014</c:v>
                </c:pt>
                <c:pt idx="1">
                  <c:v>2015</c:v>
                </c:pt>
                <c:pt idx="2">
                  <c:v>2016</c:v>
                </c:pt>
                <c:pt idx="3">
                  <c:v>2017</c:v>
                </c:pt>
                <c:pt idx="4">
                  <c:v>2018</c:v>
                </c:pt>
                <c:pt idx="5">
                  <c:v>2019</c:v>
                </c:pt>
              </c:numCache>
            </c:numRef>
          </c:cat>
          <c:val>
            <c:numRef>
              <c:f>'Graf K. semeno'!$C$6:$C$11</c:f>
              <c:numCache>
                <c:formatCode>#,##0</c:formatCode>
                <c:ptCount val="6"/>
                <c:pt idx="0">
                  <c:v>10.824050000000002</c:v>
                </c:pt>
                <c:pt idx="1">
                  <c:v>37.197589999999998</c:v>
                </c:pt>
                <c:pt idx="2">
                  <c:v>89.488369999999989</c:v>
                </c:pt>
                <c:pt idx="3">
                  <c:v>104.69038</c:v>
                </c:pt>
                <c:pt idx="4">
                  <c:v>122.67576</c:v>
                </c:pt>
                <c:pt idx="5">
                  <c:v>95.984999999999999</c:v>
                </c:pt>
              </c:numCache>
            </c:numRef>
          </c:val>
          <c:extLst>
            <c:ext xmlns:c16="http://schemas.microsoft.com/office/drawing/2014/chart" uri="{C3380CC4-5D6E-409C-BE32-E72D297353CC}">
              <c16:uniqueId val="{00000000-F48C-E24B-818D-3406544CE72A}"/>
            </c:ext>
          </c:extLst>
        </c:ser>
        <c:ser>
          <c:idx val="1"/>
          <c:order val="1"/>
          <c:tx>
            <c:strRef>
              <c:f>'Graf K. semeno'!$D$4:$D$5</c:f>
              <c:strCache>
                <c:ptCount val="2"/>
                <c:pt idx="0">
                  <c:v>Dovoz</c:v>
                </c:pt>
                <c:pt idx="1">
                  <c:v>(t)</c:v>
                </c:pt>
              </c:strCache>
            </c:strRef>
          </c:tx>
          <c:spPr>
            <a:solidFill>
              <a:srgbClr val="00B0F0"/>
            </a:solidFill>
            <a:ln>
              <a:noFill/>
            </a:ln>
            <a:effectLst/>
            <a:sp3d/>
          </c:spPr>
          <c:invertIfNegative val="0"/>
          <c:cat>
            <c:numRef>
              <c:f>'Graf K. semeno'!$B$6:$B$11</c:f>
              <c:numCache>
                <c:formatCode>General</c:formatCode>
                <c:ptCount val="6"/>
                <c:pt idx="0">
                  <c:v>2014</c:v>
                </c:pt>
                <c:pt idx="1">
                  <c:v>2015</c:v>
                </c:pt>
                <c:pt idx="2">
                  <c:v>2016</c:v>
                </c:pt>
                <c:pt idx="3">
                  <c:v>2017</c:v>
                </c:pt>
                <c:pt idx="4">
                  <c:v>2018</c:v>
                </c:pt>
                <c:pt idx="5">
                  <c:v>2019</c:v>
                </c:pt>
              </c:numCache>
            </c:numRef>
          </c:cat>
          <c:val>
            <c:numRef>
              <c:f>'Graf K. semeno'!$D$6:$D$11</c:f>
              <c:numCache>
                <c:formatCode>#,##0</c:formatCode>
                <c:ptCount val="6"/>
                <c:pt idx="0">
                  <c:v>198.26314000000002</c:v>
                </c:pt>
                <c:pt idx="1">
                  <c:v>246.19497000000001</c:v>
                </c:pt>
                <c:pt idx="2">
                  <c:v>145.05481999999998</c:v>
                </c:pt>
                <c:pt idx="3">
                  <c:v>111.22499999999999</c:v>
                </c:pt>
                <c:pt idx="4">
                  <c:v>150.77681000000001</c:v>
                </c:pt>
                <c:pt idx="5">
                  <c:v>114.60181999999999</c:v>
                </c:pt>
              </c:numCache>
            </c:numRef>
          </c:val>
          <c:extLst>
            <c:ext xmlns:c16="http://schemas.microsoft.com/office/drawing/2014/chart" uri="{C3380CC4-5D6E-409C-BE32-E72D297353CC}">
              <c16:uniqueId val="{00000001-F48C-E24B-818D-3406544CE72A}"/>
            </c:ext>
          </c:extLst>
        </c:ser>
        <c:dLbls>
          <c:showLegendKey val="0"/>
          <c:showVal val="0"/>
          <c:showCatName val="0"/>
          <c:showSerName val="0"/>
          <c:showPercent val="0"/>
          <c:showBubbleSize val="0"/>
        </c:dLbls>
        <c:gapWidth val="150"/>
        <c:shape val="box"/>
        <c:axId val="485642216"/>
        <c:axId val="485651072"/>
        <c:axId val="0"/>
      </c:bar3DChart>
      <c:catAx>
        <c:axId val="48564221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85651072"/>
        <c:crosses val="autoZero"/>
        <c:auto val="1"/>
        <c:lblAlgn val="ctr"/>
        <c:lblOffset val="100"/>
        <c:noMultiLvlLbl val="0"/>
      </c:catAx>
      <c:valAx>
        <c:axId val="48565107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856422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'Graf K. semeno'!$C$26:$C$27</c:f>
              <c:strCache>
                <c:ptCount val="2"/>
                <c:pt idx="0">
                  <c:v>Vývoz</c:v>
                </c:pt>
                <c:pt idx="1">
                  <c:v>(mil. Kč)</c:v>
                </c:pt>
              </c:strCache>
            </c:strRef>
          </c:tx>
          <c:spPr>
            <a:solidFill>
              <a:schemeClr val="accent3">
                <a:lumMod val="60000"/>
                <a:lumOff val="40000"/>
              </a:schemeClr>
            </a:solidFill>
            <a:ln>
              <a:noFill/>
            </a:ln>
            <a:effectLst/>
            <a:sp3d/>
          </c:spPr>
          <c:invertIfNegative val="0"/>
          <c:cat>
            <c:numRef>
              <c:f>'Graf K. semeno'!$B$28:$B$34</c:f>
              <c:numCache>
                <c:formatCode>General</c:formatCode>
                <c:ptCount val="7"/>
                <c:pt idx="0">
                  <c:v>2014</c:v>
                </c:pt>
                <c:pt idx="1">
                  <c:v>2015</c:v>
                </c:pt>
                <c:pt idx="2">
                  <c:v>2016</c:v>
                </c:pt>
                <c:pt idx="3">
                  <c:v>2017</c:v>
                </c:pt>
                <c:pt idx="4">
                  <c:v>2018</c:v>
                </c:pt>
                <c:pt idx="5">
                  <c:v>2019</c:v>
                </c:pt>
                <c:pt idx="6">
                  <c:v>2020</c:v>
                </c:pt>
              </c:numCache>
            </c:numRef>
          </c:cat>
          <c:val>
            <c:numRef>
              <c:f>'Graf K. semeno'!$C$28:$C$34</c:f>
              <c:numCache>
                <c:formatCode>#,##0</c:formatCode>
                <c:ptCount val="7"/>
                <c:pt idx="0">
                  <c:v>1968.925</c:v>
                </c:pt>
                <c:pt idx="1">
                  <c:v>5355.0889999999999</c:v>
                </c:pt>
                <c:pt idx="2">
                  <c:v>9729.7090000000007</c:v>
                </c:pt>
                <c:pt idx="3">
                  <c:v>8497.607</c:v>
                </c:pt>
                <c:pt idx="4">
                  <c:v>7575.0420000000004</c:v>
                </c:pt>
                <c:pt idx="5">
                  <c:v>7279.8760000000002</c:v>
                </c:pt>
                <c:pt idx="6">
                  <c:v>8110.152</c:v>
                </c:pt>
              </c:numCache>
            </c:numRef>
          </c:val>
          <c:extLst>
            <c:ext xmlns:c16="http://schemas.microsoft.com/office/drawing/2014/chart" uri="{C3380CC4-5D6E-409C-BE32-E72D297353CC}">
              <c16:uniqueId val="{00000000-89F6-7E4E-9A3A-5078800E1DF7}"/>
            </c:ext>
          </c:extLst>
        </c:ser>
        <c:ser>
          <c:idx val="1"/>
          <c:order val="1"/>
          <c:tx>
            <c:strRef>
              <c:f>'Graf K. semeno'!$D$26:$D$27</c:f>
              <c:strCache>
                <c:ptCount val="2"/>
                <c:pt idx="0">
                  <c:v>Dovoz</c:v>
                </c:pt>
                <c:pt idx="1">
                  <c:v>(mil. Kč)</c:v>
                </c:pt>
              </c:strCache>
            </c:strRef>
          </c:tx>
          <c:spPr>
            <a:solidFill>
              <a:srgbClr val="00B0F0"/>
            </a:solidFill>
            <a:ln>
              <a:noFill/>
            </a:ln>
            <a:effectLst/>
            <a:sp3d/>
          </c:spPr>
          <c:invertIfNegative val="0"/>
          <c:cat>
            <c:numRef>
              <c:f>'Graf K. semeno'!$B$28:$B$34</c:f>
              <c:numCache>
                <c:formatCode>General</c:formatCode>
                <c:ptCount val="7"/>
                <c:pt idx="0">
                  <c:v>2014</c:v>
                </c:pt>
                <c:pt idx="1">
                  <c:v>2015</c:v>
                </c:pt>
                <c:pt idx="2">
                  <c:v>2016</c:v>
                </c:pt>
                <c:pt idx="3">
                  <c:v>2017</c:v>
                </c:pt>
                <c:pt idx="4">
                  <c:v>2018</c:v>
                </c:pt>
                <c:pt idx="5">
                  <c:v>2019</c:v>
                </c:pt>
                <c:pt idx="6">
                  <c:v>2020</c:v>
                </c:pt>
              </c:numCache>
            </c:numRef>
          </c:cat>
          <c:val>
            <c:numRef>
              <c:f>'Graf K. semeno'!$D$28:$D$34</c:f>
              <c:numCache>
                <c:formatCode>#,##0</c:formatCode>
                <c:ptCount val="7"/>
                <c:pt idx="0">
                  <c:v>8368.2119999999995</c:v>
                </c:pt>
                <c:pt idx="1">
                  <c:v>15030.921</c:v>
                </c:pt>
                <c:pt idx="2">
                  <c:v>30812.47</c:v>
                </c:pt>
                <c:pt idx="3">
                  <c:v>28397.165000000001</c:v>
                </c:pt>
                <c:pt idx="4">
                  <c:v>26274.449000000001</c:v>
                </c:pt>
                <c:pt idx="5">
                  <c:v>24577.928</c:v>
                </c:pt>
                <c:pt idx="6">
                  <c:v>33892.726000000002</c:v>
                </c:pt>
              </c:numCache>
            </c:numRef>
          </c:val>
          <c:extLst>
            <c:ext xmlns:c16="http://schemas.microsoft.com/office/drawing/2014/chart" uri="{C3380CC4-5D6E-409C-BE32-E72D297353CC}">
              <c16:uniqueId val="{00000001-89F6-7E4E-9A3A-5078800E1DF7}"/>
            </c:ext>
          </c:extLst>
        </c:ser>
        <c:dLbls>
          <c:showLegendKey val="0"/>
          <c:showVal val="0"/>
          <c:showCatName val="0"/>
          <c:showSerName val="0"/>
          <c:showPercent val="0"/>
          <c:showBubbleSize val="0"/>
        </c:dLbls>
        <c:gapWidth val="150"/>
        <c:shape val="box"/>
        <c:axId val="838364784"/>
        <c:axId val="838367408"/>
        <c:axId val="0"/>
      </c:bar3DChart>
      <c:catAx>
        <c:axId val="83836478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838367408"/>
        <c:crosses val="autoZero"/>
        <c:auto val="1"/>
        <c:lblAlgn val="ctr"/>
        <c:lblOffset val="100"/>
        <c:noMultiLvlLbl val="0"/>
      </c:catAx>
      <c:valAx>
        <c:axId val="83836740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8383647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b="1"/>
              <a:t>Trávy </a:t>
            </a:r>
            <a:r>
              <a:rPr lang="cs-CZ" sz="1200" b="1"/>
              <a:t>na semeno (ha) </a:t>
            </a:r>
            <a:endParaRPr lang="en-US" sz="1200" b="1"/>
          </a:p>
        </c:rich>
      </c:tx>
      <c:layout>
        <c:manualLayout>
          <c:xMode val="edge"/>
          <c:yMode val="edge"/>
          <c:x val="0.33971830985915491"/>
          <c:y val="4.6296296296296294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0"/>
          <c:order val="0"/>
          <c:tx>
            <c:strRef>
              <c:f>'Graf P'!$B$10</c:f>
              <c:strCache>
                <c:ptCount val="1"/>
                <c:pt idx="0">
                  <c:v>Trávy celkem</c:v>
                </c:pt>
              </c:strCache>
            </c:strRef>
          </c:tx>
          <c:spPr>
            <a:solidFill>
              <a:srgbClr val="92D050"/>
            </a:solidFill>
            <a:ln>
              <a:noFill/>
            </a:ln>
            <a:effectLst/>
            <a:sp3d/>
          </c:spPr>
          <c:invertIfNegative val="0"/>
          <c:cat>
            <c:numRef>
              <c:f>'Graf P'!$C$9:$L$9</c:f>
              <c:numCache>
                <c:formatCode>0</c:formatCode>
                <c:ptCount val="10"/>
                <c:pt idx="0" formatCode="General">
                  <c:v>2011</c:v>
                </c:pt>
                <c:pt idx="1">
                  <c:v>2012</c:v>
                </c:pt>
                <c:pt idx="2" formatCode="General">
                  <c:v>2013</c:v>
                </c:pt>
                <c:pt idx="3" formatCode="General">
                  <c:v>2014</c:v>
                </c:pt>
                <c:pt idx="4" formatCode="General">
                  <c:v>2015</c:v>
                </c:pt>
                <c:pt idx="5" formatCode="General">
                  <c:v>2016</c:v>
                </c:pt>
                <c:pt idx="6" formatCode="General">
                  <c:v>2017</c:v>
                </c:pt>
                <c:pt idx="7" formatCode="General">
                  <c:v>2018</c:v>
                </c:pt>
                <c:pt idx="8" formatCode="General">
                  <c:v>2019</c:v>
                </c:pt>
                <c:pt idx="9" formatCode="General">
                  <c:v>2020</c:v>
                </c:pt>
              </c:numCache>
            </c:numRef>
          </c:cat>
          <c:val>
            <c:numRef>
              <c:f>'Graf P'!$C$10:$L$10</c:f>
              <c:numCache>
                <c:formatCode>General</c:formatCode>
                <c:ptCount val="10"/>
                <c:pt idx="0">
                  <c:v>10075.059999999998</c:v>
                </c:pt>
                <c:pt idx="1">
                  <c:v>10143.59</c:v>
                </c:pt>
                <c:pt idx="2">
                  <c:v>8912.07</c:v>
                </c:pt>
                <c:pt idx="3">
                  <c:v>8818.4599999999991</c:v>
                </c:pt>
                <c:pt idx="4">
                  <c:v>8825.6700000000019</c:v>
                </c:pt>
                <c:pt idx="5">
                  <c:v>9083.1200000000026</c:v>
                </c:pt>
                <c:pt idx="6">
                  <c:v>9975.4099999999962</c:v>
                </c:pt>
                <c:pt idx="7">
                  <c:v>9778.029999999997</c:v>
                </c:pt>
                <c:pt idx="8">
                  <c:v>10013.200000000003</c:v>
                </c:pt>
                <c:pt idx="9">
                  <c:v>10304.67</c:v>
                </c:pt>
              </c:numCache>
            </c:numRef>
          </c:val>
          <c:extLst>
            <c:ext xmlns:c16="http://schemas.microsoft.com/office/drawing/2014/chart" uri="{C3380CC4-5D6E-409C-BE32-E72D297353CC}">
              <c16:uniqueId val="{00000000-D8E8-D347-A2BB-3423030AFD1C}"/>
            </c:ext>
          </c:extLst>
        </c:ser>
        <c:dLbls>
          <c:showLegendKey val="0"/>
          <c:showVal val="0"/>
          <c:showCatName val="0"/>
          <c:showSerName val="0"/>
          <c:showPercent val="0"/>
          <c:showBubbleSize val="0"/>
        </c:dLbls>
        <c:gapWidth val="150"/>
        <c:shape val="box"/>
        <c:axId val="630640248"/>
        <c:axId val="630637296"/>
        <c:axId val="0"/>
      </c:bar3DChart>
      <c:catAx>
        <c:axId val="63064024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630637296"/>
        <c:crosses val="autoZero"/>
        <c:auto val="1"/>
        <c:lblAlgn val="ctr"/>
        <c:lblOffset val="100"/>
        <c:noMultiLvlLbl val="0"/>
      </c:catAx>
      <c:valAx>
        <c:axId val="6306372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63064024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cs-CZ" sz="1200" b="1"/>
              <a:t>Jeteloviny (ha)</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cs-CZ"/>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0"/>
          <c:order val="0"/>
          <c:tx>
            <c:strRef>
              <c:f>'Graf P'!$B$36</c:f>
              <c:strCache>
                <c:ptCount val="1"/>
                <c:pt idx="0">
                  <c:v>Jeteloviny</c:v>
                </c:pt>
              </c:strCache>
            </c:strRef>
          </c:tx>
          <c:spPr>
            <a:solidFill>
              <a:srgbClr val="7030A0"/>
            </a:solidFill>
            <a:ln>
              <a:noFill/>
            </a:ln>
            <a:effectLst/>
            <a:sp3d/>
          </c:spPr>
          <c:invertIfNegative val="0"/>
          <c:cat>
            <c:numRef>
              <c:f>'Graf P'!$C$35:$L$35</c:f>
              <c:numCache>
                <c:formatCode>0</c:formatCode>
                <c:ptCount val="10"/>
                <c:pt idx="0" formatCode="General">
                  <c:v>2011</c:v>
                </c:pt>
                <c:pt idx="1">
                  <c:v>2012</c:v>
                </c:pt>
                <c:pt idx="2" formatCode="General">
                  <c:v>2013</c:v>
                </c:pt>
                <c:pt idx="3" formatCode="General">
                  <c:v>2014</c:v>
                </c:pt>
                <c:pt idx="4" formatCode="General">
                  <c:v>2015</c:v>
                </c:pt>
                <c:pt idx="5" formatCode="General">
                  <c:v>2016</c:v>
                </c:pt>
                <c:pt idx="6" formatCode="General">
                  <c:v>2017</c:v>
                </c:pt>
                <c:pt idx="7" formatCode="General">
                  <c:v>2018</c:v>
                </c:pt>
                <c:pt idx="8" formatCode="General">
                  <c:v>2019</c:v>
                </c:pt>
                <c:pt idx="9" formatCode="General">
                  <c:v>2020</c:v>
                </c:pt>
              </c:numCache>
            </c:numRef>
          </c:cat>
          <c:val>
            <c:numRef>
              <c:f>'Graf P'!$C$36:$L$36</c:f>
              <c:numCache>
                <c:formatCode>#\ ##0.0</c:formatCode>
                <c:ptCount val="10"/>
                <c:pt idx="0">
                  <c:v>6964.79</c:v>
                </c:pt>
                <c:pt idx="1">
                  <c:v>7421.62</c:v>
                </c:pt>
                <c:pt idx="2">
                  <c:v>7971.62</c:v>
                </c:pt>
                <c:pt idx="3">
                  <c:v>8580.8799999999992</c:v>
                </c:pt>
                <c:pt idx="4">
                  <c:v>10507.38</c:v>
                </c:pt>
                <c:pt idx="5">
                  <c:v>12171.79</c:v>
                </c:pt>
                <c:pt idx="6">
                  <c:v>16407.7</c:v>
                </c:pt>
                <c:pt idx="7">
                  <c:v>14546.56</c:v>
                </c:pt>
                <c:pt idx="8">
                  <c:v>14170.5</c:v>
                </c:pt>
                <c:pt idx="9">
                  <c:v>10971.426666666666</c:v>
                </c:pt>
              </c:numCache>
            </c:numRef>
          </c:val>
          <c:extLst>
            <c:ext xmlns:c16="http://schemas.microsoft.com/office/drawing/2014/chart" uri="{C3380CC4-5D6E-409C-BE32-E72D297353CC}">
              <c16:uniqueId val="{00000000-0D5E-6642-B3D2-A8B8A2E5C320}"/>
            </c:ext>
          </c:extLst>
        </c:ser>
        <c:dLbls>
          <c:showLegendKey val="0"/>
          <c:showVal val="0"/>
          <c:showCatName val="0"/>
          <c:showSerName val="0"/>
          <c:showPercent val="0"/>
          <c:showBubbleSize val="0"/>
        </c:dLbls>
        <c:gapWidth val="150"/>
        <c:shape val="box"/>
        <c:axId val="548368920"/>
        <c:axId val="548364656"/>
        <c:axId val="0"/>
      </c:bar3DChart>
      <c:catAx>
        <c:axId val="54836892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48364656"/>
        <c:crosses val="autoZero"/>
        <c:auto val="1"/>
        <c:lblAlgn val="ctr"/>
        <c:lblOffset val="100"/>
        <c:noMultiLvlLbl val="0"/>
      </c:catAx>
      <c:valAx>
        <c:axId val="548364656"/>
        <c:scaling>
          <c:orientation val="minMax"/>
        </c:scaling>
        <c:delete val="0"/>
        <c:axPos val="l"/>
        <c:majorGridlines>
          <c:spPr>
            <a:ln w="9525" cap="flat" cmpd="sng" algn="ctr">
              <a:solidFill>
                <a:schemeClr val="tx1">
                  <a:lumMod val="15000"/>
                  <a:lumOff val="85000"/>
                </a:schemeClr>
              </a:solidFill>
              <a:round/>
            </a:ln>
            <a:effectLst/>
          </c:spPr>
        </c:majorGridlines>
        <c:numFmt formatCode="#\ ##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4836892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sz="1200" b="1"/>
              <a:t>Průměrné výnosy trav a jetelovin (kg/ha)</a:t>
            </a:r>
          </a:p>
        </c:rich>
      </c:tx>
      <c:layout>
        <c:manualLayout>
          <c:xMode val="edge"/>
          <c:yMode val="edge"/>
          <c:x val="0.19020122484689414"/>
          <c:y val="3.7037037037037035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tx>
            <c:strRef>
              <c:f>'Graf V'!$C$3</c:f>
              <c:strCache>
                <c:ptCount val="1"/>
                <c:pt idx="0">
                  <c:v>2011</c:v>
                </c:pt>
              </c:strCache>
            </c:strRef>
          </c:tx>
          <c:spPr>
            <a:solidFill>
              <a:schemeClr val="accent1"/>
            </a:solidFill>
            <a:ln>
              <a:noFill/>
            </a:ln>
            <a:effectLst/>
          </c:spPr>
          <c:invertIfNegative val="0"/>
          <c:cat>
            <c:strRef>
              <c:f>'Graf V'!$B$4:$B$17</c:f>
              <c:strCache>
                <c:ptCount val="14"/>
                <c:pt idx="0">
                  <c:v>Bojínek luční</c:v>
                </c:pt>
                <c:pt idx="1">
                  <c:v>Festulolium</c:v>
                </c:pt>
                <c:pt idx="2">
                  <c:v>Jílek mnohokvětý italský</c:v>
                </c:pt>
                <c:pt idx="3">
                  <c:v>Jílek mnohokvětý jednoletý</c:v>
                </c:pt>
                <c:pt idx="4">
                  <c:v>Jílek vytrvalý</c:v>
                </c:pt>
                <c:pt idx="5">
                  <c:v>Kostřava červená</c:v>
                </c:pt>
                <c:pt idx="6">
                  <c:v>Kostřava luční</c:v>
                </c:pt>
                <c:pt idx="7">
                  <c:v>Lipnice luční</c:v>
                </c:pt>
                <c:pt idx="8">
                  <c:v>Psárka luční</c:v>
                </c:pt>
                <c:pt idx="9">
                  <c:v>Srha laločnatá</c:v>
                </c:pt>
                <c:pt idx="10">
                  <c:v>Trojštět žlutavý</c:v>
                </c:pt>
                <c:pt idx="11">
                  <c:v>Jetel luční</c:v>
                </c:pt>
                <c:pt idx="12">
                  <c:v>Jetel nachový</c:v>
                </c:pt>
                <c:pt idx="13">
                  <c:v>Vojtěška setá</c:v>
                </c:pt>
              </c:strCache>
            </c:strRef>
          </c:cat>
          <c:val>
            <c:numRef>
              <c:f>'Graf V'!$C$4:$C$17</c:f>
              <c:numCache>
                <c:formatCode>#,##0</c:formatCode>
                <c:ptCount val="14"/>
                <c:pt idx="0">
                  <c:v>209.9</c:v>
                </c:pt>
                <c:pt idx="1">
                  <c:v>670.7</c:v>
                </c:pt>
                <c:pt idx="2">
                  <c:v>1037.5</c:v>
                </c:pt>
                <c:pt idx="3">
                  <c:v>1048.7</c:v>
                </c:pt>
                <c:pt idx="4">
                  <c:v>501.4</c:v>
                </c:pt>
                <c:pt idx="5">
                  <c:v>311.7</c:v>
                </c:pt>
                <c:pt idx="6">
                  <c:v>475.2</c:v>
                </c:pt>
                <c:pt idx="7">
                  <c:v>132</c:v>
                </c:pt>
                <c:pt idx="8">
                  <c:v>168.9</c:v>
                </c:pt>
                <c:pt idx="9">
                  <c:v>142.4</c:v>
                </c:pt>
                <c:pt idx="10">
                  <c:v>70.2</c:v>
                </c:pt>
                <c:pt idx="11">
                  <c:v>219.1</c:v>
                </c:pt>
                <c:pt idx="12">
                  <c:v>378.4</c:v>
                </c:pt>
                <c:pt idx="13">
                  <c:v>177.4</c:v>
                </c:pt>
              </c:numCache>
            </c:numRef>
          </c:val>
          <c:extLst>
            <c:ext xmlns:c16="http://schemas.microsoft.com/office/drawing/2014/chart" uri="{C3380CC4-5D6E-409C-BE32-E72D297353CC}">
              <c16:uniqueId val="{00000000-6301-DA4C-9C54-3733CADE1CFB}"/>
            </c:ext>
          </c:extLst>
        </c:ser>
        <c:ser>
          <c:idx val="1"/>
          <c:order val="1"/>
          <c:tx>
            <c:strRef>
              <c:f>'Graf V'!$D$3</c:f>
              <c:strCache>
                <c:ptCount val="1"/>
                <c:pt idx="0">
                  <c:v>2012</c:v>
                </c:pt>
              </c:strCache>
            </c:strRef>
          </c:tx>
          <c:spPr>
            <a:solidFill>
              <a:schemeClr val="accent2"/>
            </a:solidFill>
            <a:ln>
              <a:noFill/>
            </a:ln>
            <a:effectLst/>
          </c:spPr>
          <c:invertIfNegative val="0"/>
          <c:cat>
            <c:strRef>
              <c:f>'Graf V'!$B$4:$B$17</c:f>
              <c:strCache>
                <c:ptCount val="14"/>
                <c:pt idx="0">
                  <c:v>Bojínek luční</c:v>
                </c:pt>
                <c:pt idx="1">
                  <c:v>Festulolium</c:v>
                </c:pt>
                <c:pt idx="2">
                  <c:v>Jílek mnohokvětý italský</c:v>
                </c:pt>
                <c:pt idx="3">
                  <c:v>Jílek mnohokvětý jednoletý</c:v>
                </c:pt>
                <c:pt idx="4">
                  <c:v>Jílek vytrvalý</c:v>
                </c:pt>
                <c:pt idx="5">
                  <c:v>Kostřava červená</c:v>
                </c:pt>
                <c:pt idx="6">
                  <c:v>Kostřava luční</c:v>
                </c:pt>
                <c:pt idx="7">
                  <c:v>Lipnice luční</c:v>
                </c:pt>
                <c:pt idx="8">
                  <c:v>Psárka luční</c:v>
                </c:pt>
                <c:pt idx="9">
                  <c:v>Srha laločnatá</c:v>
                </c:pt>
                <c:pt idx="10">
                  <c:v>Trojštět žlutavý</c:v>
                </c:pt>
                <c:pt idx="11">
                  <c:v>Jetel luční</c:v>
                </c:pt>
                <c:pt idx="12">
                  <c:v>Jetel nachový</c:v>
                </c:pt>
                <c:pt idx="13">
                  <c:v>Vojtěška setá</c:v>
                </c:pt>
              </c:strCache>
            </c:strRef>
          </c:cat>
          <c:val>
            <c:numRef>
              <c:f>'Graf V'!$D$4:$D$17</c:f>
              <c:numCache>
                <c:formatCode>#,##0</c:formatCode>
                <c:ptCount val="14"/>
                <c:pt idx="0">
                  <c:v>258.7</c:v>
                </c:pt>
                <c:pt idx="1">
                  <c:v>574.20000000000005</c:v>
                </c:pt>
                <c:pt idx="2">
                  <c:v>1025.5999999999999</c:v>
                </c:pt>
                <c:pt idx="3">
                  <c:v>996.8</c:v>
                </c:pt>
                <c:pt idx="4">
                  <c:v>605.9</c:v>
                </c:pt>
                <c:pt idx="5">
                  <c:v>643.79999999999995</c:v>
                </c:pt>
                <c:pt idx="6">
                  <c:v>265.7</c:v>
                </c:pt>
                <c:pt idx="7">
                  <c:v>84.1</c:v>
                </c:pt>
                <c:pt idx="8">
                  <c:v>133</c:v>
                </c:pt>
                <c:pt idx="9">
                  <c:v>177.3</c:v>
                </c:pt>
                <c:pt idx="10">
                  <c:v>53.8</c:v>
                </c:pt>
                <c:pt idx="11">
                  <c:v>263</c:v>
                </c:pt>
                <c:pt idx="12">
                  <c:v>306.10000000000002</c:v>
                </c:pt>
                <c:pt idx="13">
                  <c:v>265.10000000000002</c:v>
                </c:pt>
              </c:numCache>
            </c:numRef>
          </c:val>
          <c:extLst>
            <c:ext xmlns:c16="http://schemas.microsoft.com/office/drawing/2014/chart" uri="{C3380CC4-5D6E-409C-BE32-E72D297353CC}">
              <c16:uniqueId val="{00000001-6301-DA4C-9C54-3733CADE1CFB}"/>
            </c:ext>
          </c:extLst>
        </c:ser>
        <c:ser>
          <c:idx val="2"/>
          <c:order val="2"/>
          <c:tx>
            <c:strRef>
              <c:f>'Graf V'!$E$3</c:f>
              <c:strCache>
                <c:ptCount val="1"/>
                <c:pt idx="0">
                  <c:v>2013</c:v>
                </c:pt>
              </c:strCache>
            </c:strRef>
          </c:tx>
          <c:spPr>
            <a:solidFill>
              <a:schemeClr val="accent3"/>
            </a:solidFill>
            <a:ln>
              <a:noFill/>
            </a:ln>
            <a:effectLst/>
          </c:spPr>
          <c:invertIfNegative val="0"/>
          <c:cat>
            <c:strRef>
              <c:f>'Graf V'!$B$4:$B$17</c:f>
              <c:strCache>
                <c:ptCount val="14"/>
                <c:pt idx="0">
                  <c:v>Bojínek luční</c:v>
                </c:pt>
                <c:pt idx="1">
                  <c:v>Festulolium</c:v>
                </c:pt>
                <c:pt idx="2">
                  <c:v>Jílek mnohokvětý italský</c:v>
                </c:pt>
                <c:pt idx="3">
                  <c:v>Jílek mnohokvětý jednoletý</c:v>
                </c:pt>
                <c:pt idx="4">
                  <c:v>Jílek vytrvalý</c:v>
                </c:pt>
                <c:pt idx="5">
                  <c:v>Kostřava červená</c:v>
                </c:pt>
                <c:pt idx="6">
                  <c:v>Kostřava luční</c:v>
                </c:pt>
                <c:pt idx="7">
                  <c:v>Lipnice luční</c:v>
                </c:pt>
                <c:pt idx="8">
                  <c:v>Psárka luční</c:v>
                </c:pt>
                <c:pt idx="9">
                  <c:v>Srha laločnatá</c:v>
                </c:pt>
                <c:pt idx="10">
                  <c:v>Trojštět žlutavý</c:v>
                </c:pt>
                <c:pt idx="11">
                  <c:v>Jetel luční</c:v>
                </c:pt>
                <c:pt idx="12">
                  <c:v>Jetel nachový</c:v>
                </c:pt>
                <c:pt idx="13">
                  <c:v>Vojtěška setá</c:v>
                </c:pt>
              </c:strCache>
            </c:strRef>
          </c:cat>
          <c:val>
            <c:numRef>
              <c:f>'Graf V'!$E$4:$E$17</c:f>
              <c:numCache>
                <c:formatCode>#,##0</c:formatCode>
                <c:ptCount val="14"/>
                <c:pt idx="0">
                  <c:v>419.6</c:v>
                </c:pt>
                <c:pt idx="1">
                  <c:v>871.8</c:v>
                </c:pt>
                <c:pt idx="2">
                  <c:v>1196.5</c:v>
                </c:pt>
                <c:pt idx="3">
                  <c:v>1299.7</c:v>
                </c:pt>
                <c:pt idx="4">
                  <c:v>784.1</c:v>
                </c:pt>
                <c:pt idx="5">
                  <c:v>299.89999999999998</c:v>
                </c:pt>
                <c:pt idx="6">
                  <c:v>674.9</c:v>
                </c:pt>
                <c:pt idx="7">
                  <c:v>230.6</c:v>
                </c:pt>
                <c:pt idx="8">
                  <c:v>193.6</c:v>
                </c:pt>
                <c:pt idx="9">
                  <c:v>299.60000000000002</c:v>
                </c:pt>
                <c:pt idx="10">
                  <c:v>48.4</c:v>
                </c:pt>
                <c:pt idx="11">
                  <c:v>258.89999999999998</c:v>
                </c:pt>
                <c:pt idx="12">
                  <c:v>434.4</c:v>
                </c:pt>
                <c:pt idx="13">
                  <c:v>179.7</c:v>
                </c:pt>
              </c:numCache>
            </c:numRef>
          </c:val>
          <c:extLst>
            <c:ext xmlns:c16="http://schemas.microsoft.com/office/drawing/2014/chart" uri="{C3380CC4-5D6E-409C-BE32-E72D297353CC}">
              <c16:uniqueId val="{00000002-6301-DA4C-9C54-3733CADE1CFB}"/>
            </c:ext>
          </c:extLst>
        </c:ser>
        <c:ser>
          <c:idx val="3"/>
          <c:order val="3"/>
          <c:tx>
            <c:strRef>
              <c:f>'Graf V'!$F$3</c:f>
              <c:strCache>
                <c:ptCount val="1"/>
                <c:pt idx="0">
                  <c:v>2014</c:v>
                </c:pt>
              </c:strCache>
            </c:strRef>
          </c:tx>
          <c:spPr>
            <a:solidFill>
              <a:schemeClr val="accent4"/>
            </a:solidFill>
            <a:ln>
              <a:noFill/>
            </a:ln>
            <a:effectLst/>
          </c:spPr>
          <c:invertIfNegative val="0"/>
          <c:cat>
            <c:strRef>
              <c:f>'Graf V'!$B$4:$B$17</c:f>
              <c:strCache>
                <c:ptCount val="14"/>
                <c:pt idx="0">
                  <c:v>Bojínek luční</c:v>
                </c:pt>
                <c:pt idx="1">
                  <c:v>Festulolium</c:v>
                </c:pt>
                <c:pt idx="2">
                  <c:v>Jílek mnohokvětý italský</c:v>
                </c:pt>
                <c:pt idx="3">
                  <c:v>Jílek mnohokvětý jednoletý</c:v>
                </c:pt>
                <c:pt idx="4">
                  <c:v>Jílek vytrvalý</c:v>
                </c:pt>
                <c:pt idx="5">
                  <c:v>Kostřava červená</c:v>
                </c:pt>
                <c:pt idx="6">
                  <c:v>Kostřava luční</c:v>
                </c:pt>
                <c:pt idx="7">
                  <c:v>Lipnice luční</c:v>
                </c:pt>
                <c:pt idx="8">
                  <c:v>Psárka luční</c:v>
                </c:pt>
                <c:pt idx="9">
                  <c:v>Srha laločnatá</c:v>
                </c:pt>
                <c:pt idx="10">
                  <c:v>Trojštět žlutavý</c:v>
                </c:pt>
                <c:pt idx="11">
                  <c:v>Jetel luční</c:v>
                </c:pt>
                <c:pt idx="12">
                  <c:v>Jetel nachový</c:v>
                </c:pt>
                <c:pt idx="13">
                  <c:v>Vojtěška setá</c:v>
                </c:pt>
              </c:strCache>
            </c:strRef>
          </c:cat>
          <c:val>
            <c:numRef>
              <c:f>'Graf V'!$F$4:$F$17</c:f>
              <c:numCache>
                <c:formatCode>#,##0</c:formatCode>
                <c:ptCount val="14"/>
                <c:pt idx="0">
                  <c:v>297.5</c:v>
                </c:pt>
                <c:pt idx="1">
                  <c:v>876.2</c:v>
                </c:pt>
                <c:pt idx="2">
                  <c:v>1183.2</c:v>
                </c:pt>
                <c:pt idx="3">
                  <c:v>1203.5</c:v>
                </c:pt>
                <c:pt idx="4">
                  <c:v>674.9</c:v>
                </c:pt>
                <c:pt idx="5">
                  <c:v>429.7</c:v>
                </c:pt>
                <c:pt idx="6">
                  <c:v>450.8</c:v>
                </c:pt>
                <c:pt idx="7">
                  <c:v>188.6</c:v>
                </c:pt>
                <c:pt idx="8">
                  <c:v>187.9</c:v>
                </c:pt>
                <c:pt idx="9">
                  <c:v>198.8</c:v>
                </c:pt>
                <c:pt idx="10">
                  <c:v>50.7</c:v>
                </c:pt>
                <c:pt idx="11">
                  <c:v>186.8</c:v>
                </c:pt>
                <c:pt idx="12">
                  <c:v>537.20000000000005</c:v>
                </c:pt>
                <c:pt idx="13">
                  <c:v>120.8</c:v>
                </c:pt>
              </c:numCache>
            </c:numRef>
          </c:val>
          <c:extLst>
            <c:ext xmlns:c16="http://schemas.microsoft.com/office/drawing/2014/chart" uri="{C3380CC4-5D6E-409C-BE32-E72D297353CC}">
              <c16:uniqueId val="{00000003-6301-DA4C-9C54-3733CADE1CFB}"/>
            </c:ext>
          </c:extLst>
        </c:ser>
        <c:ser>
          <c:idx val="4"/>
          <c:order val="4"/>
          <c:tx>
            <c:strRef>
              <c:f>'Graf V'!$G$3</c:f>
              <c:strCache>
                <c:ptCount val="1"/>
                <c:pt idx="0">
                  <c:v>2015</c:v>
                </c:pt>
              </c:strCache>
            </c:strRef>
          </c:tx>
          <c:spPr>
            <a:solidFill>
              <a:schemeClr val="accent5"/>
            </a:solidFill>
            <a:ln>
              <a:noFill/>
            </a:ln>
            <a:effectLst/>
          </c:spPr>
          <c:invertIfNegative val="0"/>
          <c:cat>
            <c:strRef>
              <c:f>'Graf V'!$B$4:$B$17</c:f>
              <c:strCache>
                <c:ptCount val="14"/>
                <c:pt idx="0">
                  <c:v>Bojínek luční</c:v>
                </c:pt>
                <c:pt idx="1">
                  <c:v>Festulolium</c:v>
                </c:pt>
                <c:pt idx="2">
                  <c:v>Jílek mnohokvětý italský</c:v>
                </c:pt>
                <c:pt idx="3">
                  <c:v>Jílek mnohokvětý jednoletý</c:v>
                </c:pt>
                <c:pt idx="4">
                  <c:v>Jílek vytrvalý</c:v>
                </c:pt>
                <c:pt idx="5">
                  <c:v>Kostřava červená</c:v>
                </c:pt>
                <c:pt idx="6">
                  <c:v>Kostřava luční</c:v>
                </c:pt>
                <c:pt idx="7">
                  <c:v>Lipnice luční</c:v>
                </c:pt>
                <c:pt idx="8">
                  <c:v>Psárka luční</c:v>
                </c:pt>
                <c:pt idx="9">
                  <c:v>Srha laločnatá</c:v>
                </c:pt>
                <c:pt idx="10">
                  <c:v>Trojštět žlutavý</c:v>
                </c:pt>
                <c:pt idx="11">
                  <c:v>Jetel luční</c:v>
                </c:pt>
                <c:pt idx="12">
                  <c:v>Jetel nachový</c:v>
                </c:pt>
                <c:pt idx="13">
                  <c:v>Vojtěška setá</c:v>
                </c:pt>
              </c:strCache>
            </c:strRef>
          </c:cat>
          <c:val>
            <c:numRef>
              <c:f>'Graf V'!$G$4:$G$17</c:f>
              <c:numCache>
                <c:formatCode>#,##0</c:formatCode>
                <c:ptCount val="14"/>
                <c:pt idx="0">
                  <c:v>290.5</c:v>
                </c:pt>
                <c:pt idx="1">
                  <c:v>550.5</c:v>
                </c:pt>
                <c:pt idx="2">
                  <c:v>1065.8</c:v>
                </c:pt>
                <c:pt idx="3">
                  <c:v>1164.5999999999999</c:v>
                </c:pt>
                <c:pt idx="4">
                  <c:v>580.20000000000005</c:v>
                </c:pt>
                <c:pt idx="5">
                  <c:v>436.6</c:v>
                </c:pt>
                <c:pt idx="6">
                  <c:v>485.6</c:v>
                </c:pt>
                <c:pt idx="7">
                  <c:v>367.2</c:v>
                </c:pt>
                <c:pt idx="8">
                  <c:v>231.1</c:v>
                </c:pt>
                <c:pt idx="9">
                  <c:v>293.60000000000002</c:v>
                </c:pt>
                <c:pt idx="10">
                  <c:v>106.9</c:v>
                </c:pt>
                <c:pt idx="11">
                  <c:v>198.7</c:v>
                </c:pt>
                <c:pt idx="12">
                  <c:v>568.5</c:v>
                </c:pt>
                <c:pt idx="13">
                  <c:v>117.9</c:v>
                </c:pt>
              </c:numCache>
            </c:numRef>
          </c:val>
          <c:extLst>
            <c:ext xmlns:c16="http://schemas.microsoft.com/office/drawing/2014/chart" uri="{C3380CC4-5D6E-409C-BE32-E72D297353CC}">
              <c16:uniqueId val="{00000004-6301-DA4C-9C54-3733CADE1CFB}"/>
            </c:ext>
          </c:extLst>
        </c:ser>
        <c:ser>
          <c:idx val="5"/>
          <c:order val="5"/>
          <c:tx>
            <c:strRef>
              <c:f>'Graf V'!$H$3</c:f>
              <c:strCache>
                <c:ptCount val="1"/>
                <c:pt idx="0">
                  <c:v>2016</c:v>
                </c:pt>
              </c:strCache>
            </c:strRef>
          </c:tx>
          <c:spPr>
            <a:solidFill>
              <a:schemeClr val="accent6"/>
            </a:solidFill>
            <a:ln>
              <a:noFill/>
            </a:ln>
            <a:effectLst/>
          </c:spPr>
          <c:invertIfNegative val="0"/>
          <c:cat>
            <c:strRef>
              <c:f>'Graf V'!$B$4:$B$17</c:f>
              <c:strCache>
                <c:ptCount val="14"/>
                <c:pt idx="0">
                  <c:v>Bojínek luční</c:v>
                </c:pt>
                <c:pt idx="1">
                  <c:v>Festulolium</c:v>
                </c:pt>
                <c:pt idx="2">
                  <c:v>Jílek mnohokvětý italský</c:v>
                </c:pt>
                <c:pt idx="3">
                  <c:v>Jílek mnohokvětý jednoletý</c:v>
                </c:pt>
                <c:pt idx="4">
                  <c:v>Jílek vytrvalý</c:v>
                </c:pt>
                <c:pt idx="5">
                  <c:v>Kostřava červená</c:v>
                </c:pt>
                <c:pt idx="6">
                  <c:v>Kostřava luční</c:v>
                </c:pt>
                <c:pt idx="7">
                  <c:v>Lipnice luční</c:v>
                </c:pt>
                <c:pt idx="8">
                  <c:v>Psárka luční</c:v>
                </c:pt>
                <c:pt idx="9">
                  <c:v>Srha laločnatá</c:v>
                </c:pt>
                <c:pt idx="10">
                  <c:v>Trojštět žlutavý</c:v>
                </c:pt>
                <c:pt idx="11">
                  <c:v>Jetel luční</c:v>
                </c:pt>
                <c:pt idx="12">
                  <c:v>Jetel nachový</c:v>
                </c:pt>
                <c:pt idx="13">
                  <c:v>Vojtěška setá</c:v>
                </c:pt>
              </c:strCache>
            </c:strRef>
          </c:cat>
          <c:val>
            <c:numRef>
              <c:f>'Graf V'!$H$4:$H$17</c:f>
              <c:numCache>
                <c:formatCode>#,##0</c:formatCode>
                <c:ptCount val="14"/>
                <c:pt idx="0">
                  <c:v>344.6</c:v>
                </c:pt>
                <c:pt idx="1">
                  <c:v>680.7</c:v>
                </c:pt>
                <c:pt idx="2">
                  <c:v>1106.8</c:v>
                </c:pt>
                <c:pt idx="3">
                  <c:v>1080.7</c:v>
                </c:pt>
                <c:pt idx="4">
                  <c:v>662.9</c:v>
                </c:pt>
                <c:pt idx="5">
                  <c:v>517.70000000000005</c:v>
                </c:pt>
                <c:pt idx="6">
                  <c:v>424.8</c:v>
                </c:pt>
                <c:pt idx="7">
                  <c:v>330.5</c:v>
                </c:pt>
                <c:pt idx="8">
                  <c:v>161.69999999999999</c:v>
                </c:pt>
                <c:pt idx="9">
                  <c:v>345.6</c:v>
                </c:pt>
                <c:pt idx="10">
                  <c:v>310.89999999999998</c:v>
                </c:pt>
                <c:pt idx="11">
                  <c:v>324.8</c:v>
                </c:pt>
                <c:pt idx="12">
                  <c:v>586.20000000000005</c:v>
                </c:pt>
                <c:pt idx="13">
                  <c:v>132.9</c:v>
                </c:pt>
              </c:numCache>
            </c:numRef>
          </c:val>
          <c:extLst>
            <c:ext xmlns:c16="http://schemas.microsoft.com/office/drawing/2014/chart" uri="{C3380CC4-5D6E-409C-BE32-E72D297353CC}">
              <c16:uniqueId val="{00000005-6301-DA4C-9C54-3733CADE1CFB}"/>
            </c:ext>
          </c:extLst>
        </c:ser>
        <c:ser>
          <c:idx val="6"/>
          <c:order val="6"/>
          <c:tx>
            <c:strRef>
              <c:f>'Graf V'!$I$3</c:f>
              <c:strCache>
                <c:ptCount val="1"/>
                <c:pt idx="0">
                  <c:v>2017</c:v>
                </c:pt>
              </c:strCache>
            </c:strRef>
          </c:tx>
          <c:spPr>
            <a:solidFill>
              <a:schemeClr val="accent1">
                <a:lumMod val="60000"/>
              </a:schemeClr>
            </a:solidFill>
            <a:ln>
              <a:noFill/>
            </a:ln>
            <a:effectLst/>
          </c:spPr>
          <c:invertIfNegative val="0"/>
          <c:cat>
            <c:strRef>
              <c:f>'Graf V'!$B$4:$B$17</c:f>
              <c:strCache>
                <c:ptCount val="14"/>
                <c:pt idx="0">
                  <c:v>Bojínek luční</c:v>
                </c:pt>
                <c:pt idx="1">
                  <c:v>Festulolium</c:v>
                </c:pt>
                <c:pt idx="2">
                  <c:v>Jílek mnohokvětý italský</c:v>
                </c:pt>
                <c:pt idx="3">
                  <c:v>Jílek mnohokvětý jednoletý</c:v>
                </c:pt>
                <c:pt idx="4">
                  <c:v>Jílek vytrvalý</c:v>
                </c:pt>
                <c:pt idx="5">
                  <c:v>Kostřava červená</c:v>
                </c:pt>
                <c:pt idx="6">
                  <c:v>Kostřava luční</c:v>
                </c:pt>
                <c:pt idx="7">
                  <c:v>Lipnice luční</c:v>
                </c:pt>
                <c:pt idx="8">
                  <c:v>Psárka luční</c:v>
                </c:pt>
                <c:pt idx="9">
                  <c:v>Srha laločnatá</c:v>
                </c:pt>
                <c:pt idx="10">
                  <c:v>Trojštět žlutavý</c:v>
                </c:pt>
                <c:pt idx="11">
                  <c:v>Jetel luční</c:v>
                </c:pt>
                <c:pt idx="12">
                  <c:v>Jetel nachový</c:v>
                </c:pt>
                <c:pt idx="13">
                  <c:v>Vojtěška setá</c:v>
                </c:pt>
              </c:strCache>
            </c:strRef>
          </c:cat>
          <c:val>
            <c:numRef>
              <c:f>'Graf V'!$I$4:$I$17</c:f>
              <c:numCache>
                <c:formatCode>#,##0</c:formatCode>
                <c:ptCount val="14"/>
                <c:pt idx="0">
                  <c:v>303.89999999999998</c:v>
                </c:pt>
                <c:pt idx="1">
                  <c:v>608.29999999999995</c:v>
                </c:pt>
                <c:pt idx="2">
                  <c:v>979.8</c:v>
                </c:pt>
                <c:pt idx="3">
                  <c:v>1048.0999999999999</c:v>
                </c:pt>
                <c:pt idx="4">
                  <c:v>754.7</c:v>
                </c:pt>
                <c:pt idx="5">
                  <c:v>466.5</c:v>
                </c:pt>
                <c:pt idx="6">
                  <c:v>392.5</c:v>
                </c:pt>
                <c:pt idx="7">
                  <c:v>151.5</c:v>
                </c:pt>
                <c:pt idx="8">
                  <c:v>258.5</c:v>
                </c:pt>
                <c:pt idx="9">
                  <c:v>310.5</c:v>
                </c:pt>
                <c:pt idx="10">
                  <c:v>144.69999999999999</c:v>
                </c:pt>
                <c:pt idx="11">
                  <c:v>250.9</c:v>
                </c:pt>
                <c:pt idx="12">
                  <c:v>431.2</c:v>
                </c:pt>
                <c:pt idx="13">
                  <c:v>140.9</c:v>
                </c:pt>
              </c:numCache>
            </c:numRef>
          </c:val>
          <c:extLst>
            <c:ext xmlns:c16="http://schemas.microsoft.com/office/drawing/2014/chart" uri="{C3380CC4-5D6E-409C-BE32-E72D297353CC}">
              <c16:uniqueId val="{00000006-6301-DA4C-9C54-3733CADE1CFB}"/>
            </c:ext>
          </c:extLst>
        </c:ser>
        <c:ser>
          <c:idx val="7"/>
          <c:order val="7"/>
          <c:tx>
            <c:strRef>
              <c:f>'Graf V'!$J$3</c:f>
              <c:strCache>
                <c:ptCount val="1"/>
                <c:pt idx="0">
                  <c:v>2018</c:v>
                </c:pt>
              </c:strCache>
            </c:strRef>
          </c:tx>
          <c:spPr>
            <a:solidFill>
              <a:schemeClr val="accent2">
                <a:lumMod val="60000"/>
              </a:schemeClr>
            </a:solidFill>
            <a:ln>
              <a:noFill/>
            </a:ln>
            <a:effectLst/>
          </c:spPr>
          <c:invertIfNegative val="0"/>
          <c:cat>
            <c:strRef>
              <c:f>'Graf V'!$B$4:$B$17</c:f>
              <c:strCache>
                <c:ptCount val="14"/>
                <c:pt idx="0">
                  <c:v>Bojínek luční</c:v>
                </c:pt>
                <c:pt idx="1">
                  <c:v>Festulolium</c:v>
                </c:pt>
                <c:pt idx="2">
                  <c:v>Jílek mnohokvětý italský</c:v>
                </c:pt>
                <c:pt idx="3">
                  <c:v>Jílek mnohokvětý jednoletý</c:v>
                </c:pt>
                <c:pt idx="4">
                  <c:v>Jílek vytrvalý</c:v>
                </c:pt>
                <c:pt idx="5">
                  <c:v>Kostřava červená</c:v>
                </c:pt>
                <c:pt idx="6">
                  <c:v>Kostřava luční</c:v>
                </c:pt>
                <c:pt idx="7">
                  <c:v>Lipnice luční</c:v>
                </c:pt>
                <c:pt idx="8">
                  <c:v>Psárka luční</c:v>
                </c:pt>
                <c:pt idx="9">
                  <c:v>Srha laločnatá</c:v>
                </c:pt>
                <c:pt idx="10">
                  <c:v>Trojštět žlutavý</c:v>
                </c:pt>
                <c:pt idx="11">
                  <c:v>Jetel luční</c:v>
                </c:pt>
                <c:pt idx="12">
                  <c:v>Jetel nachový</c:v>
                </c:pt>
                <c:pt idx="13">
                  <c:v>Vojtěška setá</c:v>
                </c:pt>
              </c:strCache>
            </c:strRef>
          </c:cat>
          <c:val>
            <c:numRef>
              <c:f>'Graf V'!$J$4:$J$17</c:f>
              <c:numCache>
                <c:formatCode>#,##0</c:formatCode>
                <c:ptCount val="14"/>
                <c:pt idx="0">
                  <c:v>323.5</c:v>
                </c:pt>
                <c:pt idx="1">
                  <c:v>611.5</c:v>
                </c:pt>
                <c:pt idx="2">
                  <c:v>1180.8</c:v>
                </c:pt>
                <c:pt idx="3">
                  <c:v>887.9</c:v>
                </c:pt>
                <c:pt idx="4">
                  <c:v>650.6</c:v>
                </c:pt>
                <c:pt idx="5">
                  <c:v>472.2</c:v>
                </c:pt>
                <c:pt idx="6">
                  <c:v>550.6</c:v>
                </c:pt>
                <c:pt idx="7">
                  <c:v>191</c:v>
                </c:pt>
                <c:pt idx="8">
                  <c:v>162.80000000000001</c:v>
                </c:pt>
                <c:pt idx="9">
                  <c:v>196.8</c:v>
                </c:pt>
                <c:pt idx="10">
                  <c:v>152.1</c:v>
                </c:pt>
                <c:pt idx="11">
                  <c:v>212.4</c:v>
                </c:pt>
                <c:pt idx="12">
                  <c:v>506.6</c:v>
                </c:pt>
                <c:pt idx="13">
                  <c:v>242.9</c:v>
                </c:pt>
              </c:numCache>
            </c:numRef>
          </c:val>
          <c:extLst>
            <c:ext xmlns:c16="http://schemas.microsoft.com/office/drawing/2014/chart" uri="{C3380CC4-5D6E-409C-BE32-E72D297353CC}">
              <c16:uniqueId val="{00000007-6301-DA4C-9C54-3733CADE1CFB}"/>
            </c:ext>
          </c:extLst>
        </c:ser>
        <c:ser>
          <c:idx val="8"/>
          <c:order val="8"/>
          <c:tx>
            <c:strRef>
              <c:f>'Graf V'!$K$3</c:f>
              <c:strCache>
                <c:ptCount val="1"/>
                <c:pt idx="0">
                  <c:v>2019</c:v>
                </c:pt>
              </c:strCache>
            </c:strRef>
          </c:tx>
          <c:spPr>
            <a:solidFill>
              <a:schemeClr val="accent3">
                <a:lumMod val="60000"/>
              </a:schemeClr>
            </a:solidFill>
            <a:ln>
              <a:noFill/>
            </a:ln>
            <a:effectLst/>
          </c:spPr>
          <c:invertIfNegative val="0"/>
          <c:cat>
            <c:strRef>
              <c:f>'Graf V'!$B$4:$B$17</c:f>
              <c:strCache>
                <c:ptCount val="14"/>
                <c:pt idx="0">
                  <c:v>Bojínek luční</c:v>
                </c:pt>
                <c:pt idx="1">
                  <c:v>Festulolium</c:v>
                </c:pt>
                <c:pt idx="2">
                  <c:v>Jílek mnohokvětý italský</c:v>
                </c:pt>
                <c:pt idx="3">
                  <c:v>Jílek mnohokvětý jednoletý</c:v>
                </c:pt>
                <c:pt idx="4">
                  <c:v>Jílek vytrvalý</c:v>
                </c:pt>
                <c:pt idx="5">
                  <c:v>Kostřava červená</c:v>
                </c:pt>
                <c:pt idx="6">
                  <c:v>Kostřava luční</c:v>
                </c:pt>
                <c:pt idx="7">
                  <c:v>Lipnice luční</c:v>
                </c:pt>
                <c:pt idx="8">
                  <c:v>Psárka luční</c:v>
                </c:pt>
                <c:pt idx="9">
                  <c:v>Srha laločnatá</c:v>
                </c:pt>
                <c:pt idx="10">
                  <c:v>Trojštět žlutavý</c:v>
                </c:pt>
                <c:pt idx="11">
                  <c:v>Jetel luční</c:v>
                </c:pt>
                <c:pt idx="12">
                  <c:v>Jetel nachový</c:v>
                </c:pt>
                <c:pt idx="13">
                  <c:v>Vojtěška setá</c:v>
                </c:pt>
              </c:strCache>
            </c:strRef>
          </c:cat>
          <c:val>
            <c:numRef>
              <c:f>'Graf V'!$K$4:$K$17</c:f>
              <c:numCache>
                <c:formatCode>#,##0</c:formatCode>
                <c:ptCount val="14"/>
                <c:pt idx="0">
                  <c:v>185.81012694832421</c:v>
                </c:pt>
                <c:pt idx="1">
                  <c:v>675.59110996419474</c:v>
                </c:pt>
                <c:pt idx="2">
                  <c:v>1062.4044031377271</c:v>
                </c:pt>
                <c:pt idx="3">
                  <c:v>1100.2996650802045</c:v>
                </c:pt>
                <c:pt idx="4">
                  <c:v>578.74619979080512</c:v>
                </c:pt>
                <c:pt idx="5">
                  <c:v>391.88374398332201</c:v>
                </c:pt>
                <c:pt idx="6">
                  <c:v>460.74272853185602</c:v>
                </c:pt>
                <c:pt idx="7">
                  <c:v>91.231463571889108</c:v>
                </c:pt>
                <c:pt idx="8">
                  <c:v>183.58287563012564</c:v>
                </c:pt>
                <c:pt idx="9">
                  <c:v>274.44098499858478</c:v>
                </c:pt>
                <c:pt idx="10">
                  <c:v>99.861303744798903</c:v>
                </c:pt>
                <c:pt idx="11">
                  <c:v>177.49136818674967</c:v>
                </c:pt>
                <c:pt idx="12">
                  <c:v>569.67455479877685</c:v>
                </c:pt>
                <c:pt idx="13">
                  <c:v>93.707879422165135</c:v>
                </c:pt>
              </c:numCache>
            </c:numRef>
          </c:val>
          <c:extLst>
            <c:ext xmlns:c16="http://schemas.microsoft.com/office/drawing/2014/chart" uri="{C3380CC4-5D6E-409C-BE32-E72D297353CC}">
              <c16:uniqueId val="{00000008-6301-DA4C-9C54-3733CADE1CFB}"/>
            </c:ext>
          </c:extLst>
        </c:ser>
        <c:dLbls>
          <c:showLegendKey val="0"/>
          <c:showVal val="0"/>
          <c:showCatName val="0"/>
          <c:showSerName val="0"/>
          <c:showPercent val="0"/>
          <c:showBubbleSize val="0"/>
        </c:dLbls>
        <c:gapWidth val="219"/>
        <c:overlap val="-27"/>
        <c:axId val="487748392"/>
        <c:axId val="487746096"/>
      </c:barChart>
      <c:catAx>
        <c:axId val="4877483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87746096"/>
        <c:crosses val="autoZero"/>
        <c:auto val="1"/>
        <c:lblAlgn val="ctr"/>
        <c:lblOffset val="100"/>
        <c:noMultiLvlLbl val="0"/>
      </c:catAx>
      <c:valAx>
        <c:axId val="48774609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877483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cs-CZ" sz="1100"/>
              <a:t>Sója</a:t>
            </a:r>
            <a:endParaRPr lang="en-US" sz="1100"/>
          </a:p>
        </c:rich>
      </c:tx>
      <c:overlay val="0"/>
      <c:spPr>
        <a:noFill/>
        <a:ln>
          <a:noFill/>
        </a:ln>
        <a:effectLst/>
      </c:spPr>
    </c:title>
    <c:autoTitleDeleted val="0"/>
    <c:plotArea>
      <c:layout/>
      <c:barChart>
        <c:barDir val="col"/>
        <c:grouping val="stacked"/>
        <c:varyColors val="0"/>
        <c:ser>
          <c:idx val="2"/>
          <c:order val="0"/>
          <c:tx>
            <c:strRef>
              <c:f>bílkovinné!$B$29</c:f>
              <c:strCache>
                <c:ptCount val="1"/>
                <c:pt idx="0">
                  <c:v>VCS bílkovinné plodiny</c:v>
                </c:pt>
              </c:strCache>
            </c:strRef>
          </c:tx>
          <c:spPr>
            <a:solidFill>
              <a:schemeClr val="accent3"/>
            </a:solidFill>
            <a:ln>
              <a:noFill/>
            </a:ln>
            <a:effectLst/>
          </c:spPr>
          <c:invertIfNegative val="0"/>
          <c:cat>
            <c:numRef>
              <c:f>bílkovinné!$D$28:$M$28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bílkovinné!$D$29:$M$29</c:f>
              <c:numCache>
                <c:formatCode>#,##0.00</c:formatCode>
                <c:ptCount val="10"/>
                <c:pt idx="0">
                  <c:v>0</c:v>
                </c:pt>
                <c:pt idx="1">
                  <c:v>0</c:v>
                </c:pt>
                <c:pt idx="2">
                  <c:v>0</c:v>
                </c:pt>
                <c:pt idx="3">
                  <c:v>0</c:v>
                </c:pt>
                <c:pt idx="4" formatCode="0.00">
                  <c:v>0</c:v>
                </c:pt>
                <c:pt idx="5" formatCode="0.00">
                  <c:v>0</c:v>
                </c:pt>
                <c:pt idx="6">
                  <c:v>3711.07</c:v>
                </c:pt>
                <c:pt idx="7">
                  <c:v>3254.51</c:v>
                </c:pt>
                <c:pt idx="8">
                  <c:v>2989.64</c:v>
                </c:pt>
                <c:pt idx="9">
                  <c:v>2218.2199999999998</c:v>
                </c:pt>
              </c:numCache>
            </c:numRef>
          </c:val>
          <c:extLst>
            <c:ext xmlns:c16="http://schemas.microsoft.com/office/drawing/2014/chart" uri="{C3380CC4-5D6E-409C-BE32-E72D297353CC}">
              <c16:uniqueId val="{00000000-2CEA-9E44-9253-37C8CB3BD304}"/>
            </c:ext>
          </c:extLst>
        </c:ser>
        <c:ser>
          <c:idx val="3"/>
          <c:order val="1"/>
          <c:tx>
            <c:strRef>
              <c:f>bílkovinné!$B$30</c:f>
              <c:strCache>
                <c:ptCount val="1"/>
                <c:pt idx="0">
                  <c:v>SAPS </c:v>
                </c:pt>
              </c:strCache>
            </c:strRef>
          </c:tx>
          <c:spPr>
            <a:solidFill>
              <a:schemeClr val="accent4"/>
            </a:solidFill>
            <a:ln>
              <a:noFill/>
            </a:ln>
            <a:effectLst/>
          </c:spPr>
          <c:invertIfNegative val="0"/>
          <c:cat>
            <c:numRef>
              <c:f>bílkovinné!$D$28:$M$28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bílkovinné!$D$30:$M$30</c:f>
              <c:numCache>
                <c:formatCode>#,##0.00</c:formatCode>
                <c:ptCount val="10"/>
                <c:pt idx="0">
                  <c:v>3710</c:v>
                </c:pt>
                <c:pt idx="1">
                  <c:v>4060.8</c:v>
                </c:pt>
                <c:pt idx="2">
                  <c:v>4686.5</c:v>
                </c:pt>
                <c:pt idx="3">
                  <c:v>5387.3</c:v>
                </c:pt>
                <c:pt idx="4">
                  <c:v>6068.88</c:v>
                </c:pt>
                <c:pt idx="5">
                  <c:v>5997.23</c:v>
                </c:pt>
                <c:pt idx="6">
                  <c:v>3543.91</c:v>
                </c:pt>
                <c:pt idx="7">
                  <c:v>3514.54</c:v>
                </c:pt>
                <c:pt idx="8">
                  <c:v>3377.73</c:v>
                </c:pt>
                <c:pt idx="9">
                  <c:v>3388.15</c:v>
                </c:pt>
              </c:numCache>
            </c:numRef>
          </c:val>
          <c:extLst>
            <c:ext xmlns:c16="http://schemas.microsoft.com/office/drawing/2014/chart" uri="{C3380CC4-5D6E-409C-BE32-E72D297353CC}">
              <c16:uniqueId val="{00000001-2CEA-9E44-9253-37C8CB3BD304}"/>
            </c:ext>
          </c:extLst>
        </c:ser>
        <c:ser>
          <c:idx val="4"/>
          <c:order val="2"/>
          <c:tx>
            <c:strRef>
              <c:f>bílkovinné!$B$31</c:f>
              <c:strCache>
                <c:ptCount val="1"/>
                <c:pt idx="0">
                  <c:v>Top-Up</c:v>
                </c:pt>
              </c:strCache>
            </c:strRef>
          </c:tx>
          <c:spPr>
            <a:solidFill>
              <a:schemeClr val="accent5"/>
            </a:solidFill>
            <a:ln>
              <a:noFill/>
            </a:ln>
            <a:effectLst/>
          </c:spPr>
          <c:invertIfNegative val="0"/>
          <c:cat>
            <c:numRef>
              <c:f>bílkovinné!$D$28:$M$28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bílkovinné!$D$31:$M$31</c:f>
              <c:numCache>
                <c:formatCode>#,##0.00</c:formatCode>
                <c:ptCount val="10"/>
                <c:pt idx="0">
                  <c:v>1184</c:v>
                </c:pt>
                <c:pt idx="1">
                  <c:v>514.1</c:v>
                </c:pt>
                <c:pt idx="2">
                  <c:v>0</c:v>
                </c:pt>
                <c:pt idx="3">
                  <c:v>491.43</c:v>
                </c:pt>
                <c:pt idx="4">
                  <c:v>0</c:v>
                </c:pt>
                <c:pt idx="5">
                  <c:v>0</c:v>
                </c:pt>
                <c:pt idx="6">
                  <c:v>0</c:v>
                </c:pt>
                <c:pt idx="7">
                  <c:v>0</c:v>
                </c:pt>
                <c:pt idx="8">
                  <c:v>0</c:v>
                </c:pt>
                <c:pt idx="9">
                  <c:v>0</c:v>
                </c:pt>
              </c:numCache>
            </c:numRef>
          </c:val>
          <c:extLst>
            <c:ext xmlns:c16="http://schemas.microsoft.com/office/drawing/2014/chart" uri="{C3380CC4-5D6E-409C-BE32-E72D297353CC}">
              <c16:uniqueId val="{00000002-2CEA-9E44-9253-37C8CB3BD304}"/>
            </c:ext>
          </c:extLst>
        </c:ser>
        <c:ser>
          <c:idx val="5"/>
          <c:order val="3"/>
          <c:tx>
            <c:strRef>
              <c:f>bílkovinné!$B$32</c:f>
              <c:strCache>
                <c:ptCount val="1"/>
                <c:pt idx="0">
                  <c:v>Greening</c:v>
                </c:pt>
              </c:strCache>
            </c:strRef>
          </c:tx>
          <c:spPr>
            <a:solidFill>
              <a:schemeClr val="accent6"/>
            </a:solidFill>
            <a:ln>
              <a:noFill/>
            </a:ln>
            <a:effectLst/>
          </c:spPr>
          <c:invertIfNegative val="0"/>
          <c:cat>
            <c:numRef>
              <c:f>bílkovinné!$D$28:$M$28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bílkovinné!$D$32:$M$32</c:f>
              <c:numCache>
                <c:formatCode>0.00</c:formatCode>
                <c:ptCount val="10"/>
                <c:pt idx="0">
                  <c:v>0</c:v>
                </c:pt>
                <c:pt idx="1">
                  <c:v>0</c:v>
                </c:pt>
                <c:pt idx="2">
                  <c:v>0</c:v>
                </c:pt>
                <c:pt idx="3">
                  <c:v>0</c:v>
                </c:pt>
                <c:pt idx="4">
                  <c:v>0</c:v>
                </c:pt>
                <c:pt idx="5">
                  <c:v>0</c:v>
                </c:pt>
                <c:pt idx="6" formatCode="#,##0.00">
                  <c:v>1943.62</c:v>
                </c:pt>
                <c:pt idx="7" formatCode="#,##0.00">
                  <c:v>1928.43</c:v>
                </c:pt>
                <c:pt idx="8" formatCode="#,##0.00">
                  <c:v>1853.35</c:v>
                </c:pt>
                <c:pt idx="9" formatCode="General">
                  <c:v>1877.38</c:v>
                </c:pt>
              </c:numCache>
            </c:numRef>
          </c:val>
          <c:extLst>
            <c:ext xmlns:c16="http://schemas.microsoft.com/office/drawing/2014/chart" uri="{C3380CC4-5D6E-409C-BE32-E72D297353CC}">
              <c16:uniqueId val="{00000003-2CEA-9E44-9253-37C8CB3BD304}"/>
            </c:ext>
          </c:extLst>
        </c:ser>
        <c:ser>
          <c:idx val="6"/>
          <c:order val="4"/>
          <c:tx>
            <c:strRef>
              <c:f>bílkovinné!$B$33</c:f>
              <c:strCache>
                <c:ptCount val="1"/>
                <c:pt idx="0">
                  <c:v>PVP zemědělská půda</c:v>
                </c:pt>
              </c:strCache>
            </c:strRef>
          </c:tx>
          <c:spPr>
            <a:solidFill>
              <a:schemeClr val="accent1">
                <a:lumMod val="60000"/>
              </a:schemeClr>
            </a:solidFill>
            <a:ln>
              <a:noFill/>
            </a:ln>
            <a:effectLst/>
          </c:spPr>
          <c:invertIfNegative val="0"/>
          <c:cat>
            <c:numRef>
              <c:f>bílkovinné!$D$28:$M$28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bílkovinné!$D$33:$M$33</c:f>
              <c:numCache>
                <c:formatCode>#,##0.00</c:formatCode>
                <c:ptCount val="10"/>
                <c:pt idx="0">
                  <c:v>0</c:v>
                </c:pt>
                <c:pt idx="1">
                  <c:v>0</c:v>
                </c:pt>
                <c:pt idx="2">
                  <c:v>0</c:v>
                </c:pt>
                <c:pt idx="3">
                  <c:v>0</c:v>
                </c:pt>
                <c:pt idx="4" formatCode="0.00">
                  <c:v>247.78</c:v>
                </c:pt>
                <c:pt idx="5" formatCode="0.00">
                  <c:v>185.06</c:v>
                </c:pt>
                <c:pt idx="6" formatCode="General">
                  <c:v>192.17</c:v>
                </c:pt>
                <c:pt idx="7" formatCode="General">
                  <c:v>178.32</c:v>
                </c:pt>
                <c:pt idx="8" formatCode="General">
                  <c:v>159.25</c:v>
                </c:pt>
                <c:pt idx="9">
                  <c:v>141.58000000000001</c:v>
                </c:pt>
              </c:numCache>
            </c:numRef>
          </c:val>
          <c:extLst>
            <c:ext xmlns:c16="http://schemas.microsoft.com/office/drawing/2014/chart" uri="{C3380CC4-5D6E-409C-BE32-E72D297353CC}">
              <c16:uniqueId val="{00000004-2CEA-9E44-9253-37C8CB3BD304}"/>
            </c:ext>
          </c:extLst>
        </c:ser>
        <c:ser>
          <c:idx val="7"/>
          <c:order val="5"/>
          <c:tx>
            <c:strRef>
              <c:f>bílkovinné!$B$34</c:f>
              <c:strCache>
                <c:ptCount val="1"/>
                <c:pt idx="0">
                  <c:v>LFA</c:v>
                </c:pt>
              </c:strCache>
            </c:strRef>
          </c:tx>
          <c:spPr>
            <a:solidFill>
              <a:schemeClr val="accent2">
                <a:lumMod val="60000"/>
              </a:schemeClr>
            </a:solidFill>
            <a:ln>
              <a:noFill/>
            </a:ln>
            <a:effectLst/>
          </c:spPr>
          <c:invertIfNegative val="0"/>
          <c:cat>
            <c:numRef>
              <c:f>bílkovinné!$D$28:$M$28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bílkovinné!$D$34:$M$34</c:f>
              <c:numCache>
                <c:formatCode>0</c:formatCode>
                <c:ptCount val="10"/>
                <c:pt idx="0">
                  <c:v>0</c:v>
                </c:pt>
                <c:pt idx="1">
                  <c:v>0</c:v>
                </c:pt>
                <c:pt idx="2">
                  <c:v>0</c:v>
                </c:pt>
                <c:pt idx="3">
                  <c:v>0</c:v>
                </c:pt>
                <c:pt idx="4">
                  <c:v>0</c:v>
                </c:pt>
                <c:pt idx="5">
                  <c:v>0</c:v>
                </c:pt>
                <c:pt idx="6" formatCode="0.00">
                  <c:v>88.639773287175402</c:v>
                </c:pt>
                <c:pt idx="7" formatCode="0.00">
                  <c:v>86.364254319067626</c:v>
                </c:pt>
                <c:pt idx="8" formatCode="0.00">
                  <c:v>86.357862411853844</c:v>
                </c:pt>
                <c:pt idx="9" formatCode="0.00">
                  <c:v>231.63973924519561</c:v>
                </c:pt>
              </c:numCache>
            </c:numRef>
          </c:val>
          <c:extLst>
            <c:ext xmlns:c16="http://schemas.microsoft.com/office/drawing/2014/chart" uri="{C3380CC4-5D6E-409C-BE32-E72D297353CC}">
              <c16:uniqueId val="{00000005-2CEA-9E44-9253-37C8CB3BD304}"/>
            </c:ext>
          </c:extLst>
        </c:ser>
        <c:ser>
          <c:idx val="8"/>
          <c:order val="6"/>
          <c:tx>
            <c:strRef>
              <c:f>bílkovinné!$B$35</c:f>
              <c:strCache>
                <c:ptCount val="1"/>
                <c:pt idx="0">
                  <c:v>Pojistné RV</c:v>
                </c:pt>
              </c:strCache>
            </c:strRef>
          </c:tx>
          <c:spPr>
            <a:solidFill>
              <a:schemeClr val="accent3">
                <a:lumMod val="60000"/>
              </a:schemeClr>
            </a:solidFill>
            <a:ln>
              <a:noFill/>
            </a:ln>
            <a:effectLst/>
          </c:spPr>
          <c:invertIfNegative val="0"/>
          <c:cat>
            <c:numRef>
              <c:f>bílkovinné!$D$28:$M$28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bílkovinné!$D$35:$M$35</c:f>
              <c:numCache>
                <c:formatCode>#,##0.00</c:formatCode>
                <c:ptCount val="10"/>
                <c:pt idx="0">
                  <c:v>105.55845361190565</c:v>
                </c:pt>
                <c:pt idx="1">
                  <c:v>115.39953665750696</c:v>
                </c:pt>
                <c:pt idx="2">
                  <c:v>131.21812655196268</c:v>
                </c:pt>
                <c:pt idx="3">
                  <c:v>48.153597645910146</c:v>
                </c:pt>
                <c:pt idx="4" formatCode="0.00">
                  <c:v>49.702931637723523</c:v>
                </c:pt>
                <c:pt idx="5" formatCode="0.00">
                  <c:v>48.776561940943303</c:v>
                </c:pt>
                <c:pt idx="6">
                  <c:v>128.46938304003334</c:v>
                </c:pt>
                <c:pt idx="7">
                  <c:v>94.599040322787815</c:v>
                </c:pt>
                <c:pt idx="8">
                  <c:v>107.31712466231785</c:v>
                </c:pt>
                <c:pt idx="9">
                  <c:v>110.4086766857279</c:v>
                </c:pt>
              </c:numCache>
            </c:numRef>
          </c:val>
          <c:extLst>
            <c:ext xmlns:c16="http://schemas.microsoft.com/office/drawing/2014/chart" uri="{C3380CC4-5D6E-409C-BE32-E72D297353CC}">
              <c16:uniqueId val="{00000006-2CEA-9E44-9253-37C8CB3BD304}"/>
            </c:ext>
          </c:extLst>
        </c:ser>
        <c:ser>
          <c:idx val="9"/>
          <c:order val="7"/>
          <c:tx>
            <c:strRef>
              <c:f>bílkovinné!$B$36</c:f>
              <c:strCache>
                <c:ptCount val="1"/>
                <c:pt idx="0">
                  <c:v>Vratka na ZN</c:v>
                </c:pt>
              </c:strCache>
            </c:strRef>
          </c:tx>
          <c:spPr>
            <a:solidFill>
              <a:schemeClr val="accent4">
                <a:lumMod val="60000"/>
              </a:schemeClr>
            </a:solidFill>
            <a:ln>
              <a:noFill/>
            </a:ln>
            <a:effectLst/>
          </c:spPr>
          <c:invertIfNegative val="0"/>
          <c:cat>
            <c:numRef>
              <c:f>bílkovinné!$D$28:$M$28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bílkovinné!$D$36:$M$36</c:f>
              <c:numCache>
                <c:formatCode>#,##0.00</c:formatCode>
                <c:ptCount val="10"/>
                <c:pt idx="0">
                  <c:v>435.64669361759019</c:v>
                </c:pt>
                <c:pt idx="1">
                  <c:v>475.64588766633659</c:v>
                </c:pt>
                <c:pt idx="2">
                  <c:v>515.77607777231663</c:v>
                </c:pt>
                <c:pt idx="3">
                  <c:v>582.20297006175736</c:v>
                </c:pt>
                <c:pt idx="4" formatCode="0.00">
                  <c:v>350.88435600719095</c:v>
                </c:pt>
                <c:pt idx="5" formatCode="0.00">
                  <c:v>275.07099173030417</c:v>
                </c:pt>
                <c:pt idx="6">
                  <c:v>349.35447454657049</c:v>
                </c:pt>
                <c:pt idx="7">
                  <c:v>193.31396528098975</c:v>
                </c:pt>
                <c:pt idx="8">
                  <c:v>308.85788401476162</c:v>
                </c:pt>
                <c:pt idx="9">
                  <c:v>339.88888910740479</c:v>
                </c:pt>
              </c:numCache>
            </c:numRef>
          </c:val>
          <c:extLst>
            <c:ext xmlns:c16="http://schemas.microsoft.com/office/drawing/2014/chart" uri="{C3380CC4-5D6E-409C-BE32-E72D297353CC}">
              <c16:uniqueId val="{00000007-2CEA-9E44-9253-37C8CB3BD304}"/>
            </c:ext>
          </c:extLst>
        </c:ser>
        <c:ser>
          <c:idx val="0"/>
          <c:order val="8"/>
          <c:tx>
            <c:strRef>
              <c:f>bílkovinné!$B$37</c:f>
              <c:strCache>
                <c:ptCount val="1"/>
                <c:pt idx="0">
                  <c:v>Podpora na zmírnění škod způsobených suchem</c:v>
                </c:pt>
              </c:strCache>
            </c:strRef>
          </c:tx>
          <c:spPr>
            <a:solidFill>
              <a:schemeClr val="accent1"/>
            </a:solidFill>
            <a:ln>
              <a:noFill/>
            </a:ln>
            <a:effectLst/>
          </c:spPr>
          <c:invertIfNegative val="0"/>
          <c:cat>
            <c:numRef>
              <c:f>bílkovinné!$D$28:$M$28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bílkovinné!$D$37:$M$37</c:f>
              <c:numCache>
                <c:formatCode>General</c:formatCode>
                <c:ptCount val="10"/>
                <c:pt idx="0">
                  <c:v>0</c:v>
                </c:pt>
                <c:pt idx="1">
                  <c:v>0</c:v>
                </c:pt>
                <c:pt idx="2">
                  <c:v>0</c:v>
                </c:pt>
                <c:pt idx="3">
                  <c:v>0</c:v>
                </c:pt>
                <c:pt idx="4">
                  <c:v>0</c:v>
                </c:pt>
                <c:pt idx="5">
                  <c:v>0</c:v>
                </c:pt>
                <c:pt idx="6">
                  <c:v>0</c:v>
                </c:pt>
                <c:pt idx="7">
                  <c:v>0</c:v>
                </c:pt>
                <c:pt idx="8">
                  <c:v>0</c:v>
                </c:pt>
                <c:pt idx="9" formatCode="#,##0.00">
                  <c:v>885.93922936303261</c:v>
                </c:pt>
              </c:numCache>
            </c:numRef>
          </c:val>
          <c:extLst>
            <c:ext xmlns:c16="http://schemas.microsoft.com/office/drawing/2014/chart" uri="{C3380CC4-5D6E-409C-BE32-E72D297353CC}">
              <c16:uniqueId val="{00000008-2CEA-9E44-9253-37C8CB3BD304}"/>
            </c:ext>
          </c:extLst>
        </c:ser>
        <c:dLbls>
          <c:showLegendKey val="0"/>
          <c:showVal val="0"/>
          <c:showCatName val="0"/>
          <c:showSerName val="0"/>
          <c:showPercent val="0"/>
          <c:showBubbleSize val="0"/>
        </c:dLbls>
        <c:gapWidth val="150"/>
        <c:overlap val="100"/>
        <c:axId val="192913408"/>
        <c:axId val="192914944"/>
      </c:barChart>
      <c:catAx>
        <c:axId val="1929134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92914944"/>
        <c:crosses val="autoZero"/>
        <c:auto val="1"/>
        <c:lblAlgn val="ctr"/>
        <c:lblOffset val="100"/>
        <c:noMultiLvlLbl val="0"/>
      </c:catAx>
      <c:valAx>
        <c:axId val="19291494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92913408"/>
        <c:crosses val="autoZero"/>
        <c:crossBetween val="between"/>
      </c:valAx>
      <c:spPr>
        <a:noFill/>
        <a:ln>
          <a:noFill/>
        </a:ln>
        <a:effectLst/>
      </c:spPr>
    </c:plotArea>
    <c:legend>
      <c:legendPos val="r"/>
      <c:layout>
        <c:manualLayout>
          <c:xMode val="edge"/>
          <c:yMode val="edge"/>
          <c:x val="0.72018824892396827"/>
          <c:y val="2.28757528636882E-2"/>
          <c:w val="0.27131015797566582"/>
          <c:h val="0.7598550748046121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4746507423672781E-2"/>
          <c:y val="5.3318642336943375E-2"/>
          <c:w val="0.89963574884834729"/>
          <c:h val="0.8250253957163205"/>
        </c:manualLayout>
      </c:layout>
      <c:areaChart>
        <c:grouping val="standard"/>
        <c:varyColors val="0"/>
        <c:ser>
          <c:idx val="0"/>
          <c:order val="0"/>
          <c:tx>
            <c:v>Náklady</c:v>
          </c:tx>
          <c:spPr>
            <a:solidFill>
              <a:schemeClr val="accent1"/>
            </a:solidFill>
            <a:ln>
              <a:noFill/>
            </a:ln>
            <a:effectLst/>
          </c:spPr>
          <c:cat>
            <c:numRef>
              <c:f>'CF-data'!$H$4:$H$59</c:f>
              <c:numCache>
                <c:formatCode>mmm\-yy</c:formatCode>
                <c:ptCount val="56"/>
                <c:pt idx="0">
                  <c:v>36739</c:v>
                </c:pt>
                <c:pt idx="1">
                  <c:v>36770</c:v>
                </c:pt>
                <c:pt idx="2">
                  <c:v>36800</c:v>
                </c:pt>
                <c:pt idx="3">
                  <c:v>36831</c:v>
                </c:pt>
                <c:pt idx="4">
                  <c:v>36861</c:v>
                </c:pt>
                <c:pt idx="5">
                  <c:v>36892</c:v>
                </c:pt>
                <c:pt idx="6">
                  <c:v>36923</c:v>
                </c:pt>
                <c:pt idx="7">
                  <c:v>36951</c:v>
                </c:pt>
                <c:pt idx="8">
                  <c:v>36982</c:v>
                </c:pt>
                <c:pt idx="9">
                  <c:v>37012</c:v>
                </c:pt>
                <c:pt idx="10">
                  <c:v>37043</c:v>
                </c:pt>
                <c:pt idx="11">
                  <c:v>37073</c:v>
                </c:pt>
                <c:pt idx="12">
                  <c:v>37104</c:v>
                </c:pt>
                <c:pt idx="13">
                  <c:v>37135</c:v>
                </c:pt>
                <c:pt idx="14">
                  <c:v>37165</c:v>
                </c:pt>
                <c:pt idx="15">
                  <c:v>37196</c:v>
                </c:pt>
                <c:pt idx="16">
                  <c:v>37226</c:v>
                </c:pt>
                <c:pt idx="17">
                  <c:v>37257</c:v>
                </c:pt>
                <c:pt idx="18">
                  <c:v>37288</c:v>
                </c:pt>
                <c:pt idx="19">
                  <c:v>37316</c:v>
                </c:pt>
                <c:pt idx="20">
                  <c:v>37347</c:v>
                </c:pt>
                <c:pt idx="21">
                  <c:v>37377</c:v>
                </c:pt>
                <c:pt idx="22">
                  <c:v>37408</c:v>
                </c:pt>
                <c:pt idx="23">
                  <c:v>37438</c:v>
                </c:pt>
                <c:pt idx="24">
                  <c:v>37469</c:v>
                </c:pt>
                <c:pt idx="25">
                  <c:v>37500</c:v>
                </c:pt>
                <c:pt idx="26">
                  <c:v>37530</c:v>
                </c:pt>
                <c:pt idx="27">
                  <c:v>37561</c:v>
                </c:pt>
                <c:pt idx="28">
                  <c:v>37591</c:v>
                </c:pt>
                <c:pt idx="29">
                  <c:v>37622</c:v>
                </c:pt>
                <c:pt idx="30">
                  <c:v>37653</c:v>
                </c:pt>
                <c:pt idx="31">
                  <c:v>37681</c:v>
                </c:pt>
                <c:pt idx="32">
                  <c:v>37712</c:v>
                </c:pt>
                <c:pt idx="33">
                  <c:v>37742</c:v>
                </c:pt>
                <c:pt idx="34">
                  <c:v>37773</c:v>
                </c:pt>
                <c:pt idx="35">
                  <c:v>37803</c:v>
                </c:pt>
                <c:pt idx="36">
                  <c:v>37834</c:v>
                </c:pt>
                <c:pt idx="37">
                  <c:v>37865</c:v>
                </c:pt>
                <c:pt idx="38">
                  <c:v>37895</c:v>
                </c:pt>
                <c:pt idx="39">
                  <c:v>37926</c:v>
                </c:pt>
                <c:pt idx="40">
                  <c:v>37956</c:v>
                </c:pt>
                <c:pt idx="41">
                  <c:v>37987</c:v>
                </c:pt>
                <c:pt idx="42">
                  <c:v>38018</c:v>
                </c:pt>
                <c:pt idx="43">
                  <c:v>38047</c:v>
                </c:pt>
                <c:pt idx="44">
                  <c:v>38078</c:v>
                </c:pt>
                <c:pt idx="45">
                  <c:v>38108</c:v>
                </c:pt>
                <c:pt idx="46">
                  <c:v>38139</c:v>
                </c:pt>
                <c:pt idx="47">
                  <c:v>38169</c:v>
                </c:pt>
                <c:pt idx="48">
                  <c:v>38200</c:v>
                </c:pt>
                <c:pt idx="49">
                  <c:v>38231</c:v>
                </c:pt>
                <c:pt idx="50">
                  <c:v>38261</c:v>
                </c:pt>
                <c:pt idx="51">
                  <c:v>38292</c:v>
                </c:pt>
                <c:pt idx="52">
                  <c:v>38322</c:v>
                </c:pt>
                <c:pt idx="53">
                  <c:v>38353</c:v>
                </c:pt>
                <c:pt idx="54">
                  <c:v>38384</c:v>
                </c:pt>
                <c:pt idx="55">
                  <c:v>38412</c:v>
                </c:pt>
              </c:numCache>
            </c:numRef>
          </c:cat>
          <c:val>
            <c:numRef>
              <c:f>'CF-data'!$J$4:$J$59</c:f>
              <c:numCache>
                <c:formatCode>0</c:formatCode>
                <c:ptCount val="56"/>
                <c:pt idx="0">
                  <c:v>779.04000000000008</c:v>
                </c:pt>
                <c:pt idx="1">
                  <c:v>779.04000000000008</c:v>
                </c:pt>
                <c:pt idx="2">
                  <c:v>2650.9</c:v>
                </c:pt>
                <c:pt idx="3">
                  <c:v>2650.9</c:v>
                </c:pt>
                <c:pt idx="4">
                  <c:v>2650.9</c:v>
                </c:pt>
                <c:pt idx="5">
                  <c:v>2650.9</c:v>
                </c:pt>
                <c:pt idx="6">
                  <c:v>2650.9</c:v>
                </c:pt>
                <c:pt idx="7">
                  <c:v>11938.890000000001</c:v>
                </c:pt>
                <c:pt idx="8">
                  <c:v>13654.800000000001</c:v>
                </c:pt>
                <c:pt idx="9">
                  <c:v>14445.37</c:v>
                </c:pt>
                <c:pt idx="10">
                  <c:v>14445.37</c:v>
                </c:pt>
                <c:pt idx="11">
                  <c:v>14445.37</c:v>
                </c:pt>
                <c:pt idx="12">
                  <c:v>19932.252</c:v>
                </c:pt>
                <c:pt idx="13">
                  <c:v>29274.241999999998</c:v>
                </c:pt>
                <c:pt idx="14">
                  <c:v>31741.651999999998</c:v>
                </c:pt>
                <c:pt idx="15">
                  <c:v>31741.651999999998</c:v>
                </c:pt>
                <c:pt idx="16">
                  <c:v>31741.651999999998</c:v>
                </c:pt>
                <c:pt idx="17">
                  <c:v>31741.651999999998</c:v>
                </c:pt>
                <c:pt idx="18">
                  <c:v>31741.651999999998</c:v>
                </c:pt>
                <c:pt idx="19">
                  <c:v>34236.682000000001</c:v>
                </c:pt>
                <c:pt idx="20">
                  <c:v>36325.092000000004</c:v>
                </c:pt>
                <c:pt idx="21">
                  <c:v>39454.152000000002</c:v>
                </c:pt>
                <c:pt idx="22">
                  <c:v>39811.212</c:v>
                </c:pt>
                <c:pt idx="23">
                  <c:v>48473.548000000003</c:v>
                </c:pt>
                <c:pt idx="24">
                  <c:v>48473.548000000003</c:v>
                </c:pt>
                <c:pt idx="25">
                  <c:v>54788.248</c:v>
                </c:pt>
                <c:pt idx="26">
                  <c:v>57165.657999999996</c:v>
                </c:pt>
                <c:pt idx="27">
                  <c:v>57165.657999999996</c:v>
                </c:pt>
                <c:pt idx="28">
                  <c:v>60045.657999999996</c:v>
                </c:pt>
                <c:pt idx="29">
                  <c:v>60045.657999999996</c:v>
                </c:pt>
                <c:pt idx="30">
                  <c:v>60045.657999999996</c:v>
                </c:pt>
                <c:pt idx="31">
                  <c:v>62903.187999999995</c:v>
                </c:pt>
                <c:pt idx="32">
                  <c:v>64991.597999999998</c:v>
                </c:pt>
                <c:pt idx="33">
                  <c:v>68120.657999999996</c:v>
                </c:pt>
                <c:pt idx="34">
                  <c:v>68477.717999999993</c:v>
                </c:pt>
                <c:pt idx="35">
                  <c:v>76086.144</c:v>
                </c:pt>
                <c:pt idx="36">
                  <c:v>76086.144</c:v>
                </c:pt>
                <c:pt idx="37">
                  <c:v>83321.843999999997</c:v>
                </c:pt>
                <c:pt idx="38">
                  <c:v>85753.254000000001</c:v>
                </c:pt>
                <c:pt idx="39">
                  <c:v>85753.254000000001</c:v>
                </c:pt>
                <c:pt idx="40">
                  <c:v>88393.254000000001</c:v>
                </c:pt>
                <c:pt idx="41">
                  <c:v>88393.254000000001</c:v>
                </c:pt>
                <c:pt idx="42">
                  <c:v>88393.254000000001</c:v>
                </c:pt>
                <c:pt idx="43">
                  <c:v>91250.784</c:v>
                </c:pt>
                <c:pt idx="44">
                  <c:v>94183.914000000004</c:v>
                </c:pt>
                <c:pt idx="45">
                  <c:v>97312.974000000002</c:v>
                </c:pt>
                <c:pt idx="46">
                  <c:v>97670.034</c:v>
                </c:pt>
                <c:pt idx="47">
                  <c:v>104310.124</c:v>
                </c:pt>
                <c:pt idx="48">
                  <c:v>104310.124</c:v>
                </c:pt>
                <c:pt idx="49">
                  <c:v>104310.124</c:v>
                </c:pt>
                <c:pt idx="50">
                  <c:v>104310.124</c:v>
                </c:pt>
                <c:pt idx="51">
                  <c:v>104310.124</c:v>
                </c:pt>
                <c:pt idx="52">
                  <c:v>106230.124</c:v>
                </c:pt>
                <c:pt idx="53">
                  <c:v>106230.124</c:v>
                </c:pt>
                <c:pt idx="54">
                  <c:v>106230.124</c:v>
                </c:pt>
                <c:pt idx="55">
                  <c:v>106230.124</c:v>
                </c:pt>
              </c:numCache>
            </c:numRef>
          </c:val>
          <c:extLst>
            <c:ext xmlns:c16="http://schemas.microsoft.com/office/drawing/2014/chart" uri="{C3380CC4-5D6E-409C-BE32-E72D297353CC}">
              <c16:uniqueId val="{00000000-F369-4846-AFA8-14B06B04D5D1}"/>
            </c:ext>
          </c:extLst>
        </c:ser>
        <c:ser>
          <c:idx val="1"/>
          <c:order val="1"/>
          <c:tx>
            <c:v>Tržby</c:v>
          </c:tx>
          <c:spPr>
            <a:solidFill>
              <a:schemeClr val="accent2"/>
            </a:solidFill>
            <a:ln>
              <a:noFill/>
            </a:ln>
            <a:effectLst/>
          </c:spPr>
          <c:val>
            <c:numRef>
              <c:f>'CF-data'!$M$4:$M$59</c:f>
              <c:numCache>
                <c:formatCode>General</c:formatCode>
                <c:ptCount val="56"/>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26400</c:v>
                </c:pt>
                <c:pt idx="17">
                  <c:v>26400</c:v>
                </c:pt>
                <c:pt idx="18">
                  <c:v>26400</c:v>
                </c:pt>
                <c:pt idx="19">
                  <c:v>26400</c:v>
                </c:pt>
                <c:pt idx="20">
                  <c:v>26400</c:v>
                </c:pt>
                <c:pt idx="21">
                  <c:v>26400</c:v>
                </c:pt>
                <c:pt idx="22">
                  <c:v>26400</c:v>
                </c:pt>
                <c:pt idx="23">
                  <c:v>26400</c:v>
                </c:pt>
                <c:pt idx="24">
                  <c:v>26400</c:v>
                </c:pt>
                <c:pt idx="25">
                  <c:v>26400</c:v>
                </c:pt>
                <c:pt idx="26">
                  <c:v>26400</c:v>
                </c:pt>
                <c:pt idx="27">
                  <c:v>26400</c:v>
                </c:pt>
                <c:pt idx="28">
                  <c:v>35400</c:v>
                </c:pt>
                <c:pt idx="29">
                  <c:v>35400</c:v>
                </c:pt>
                <c:pt idx="30">
                  <c:v>35400</c:v>
                </c:pt>
                <c:pt idx="31">
                  <c:v>62600</c:v>
                </c:pt>
                <c:pt idx="32">
                  <c:v>62600</c:v>
                </c:pt>
                <c:pt idx="33">
                  <c:v>62600</c:v>
                </c:pt>
                <c:pt idx="34">
                  <c:v>62600</c:v>
                </c:pt>
                <c:pt idx="35">
                  <c:v>62600</c:v>
                </c:pt>
                <c:pt idx="36">
                  <c:v>62600</c:v>
                </c:pt>
                <c:pt idx="37">
                  <c:v>62600</c:v>
                </c:pt>
                <c:pt idx="38">
                  <c:v>62600</c:v>
                </c:pt>
                <c:pt idx="39">
                  <c:v>62600</c:v>
                </c:pt>
                <c:pt idx="40">
                  <c:v>70600</c:v>
                </c:pt>
                <c:pt idx="41">
                  <c:v>70600</c:v>
                </c:pt>
                <c:pt idx="42">
                  <c:v>70600</c:v>
                </c:pt>
                <c:pt idx="43">
                  <c:v>94400</c:v>
                </c:pt>
                <c:pt idx="44">
                  <c:v>94400</c:v>
                </c:pt>
                <c:pt idx="45">
                  <c:v>94400</c:v>
                </c:pt>
                <c:pt idx="46">
                  <c:v>94400</c:v>
                </c:pt>
                <c:pt idx="47">
                  <c:v>94400</c:v>
                </c:pt>
                <c:pt idx="48">
                  <c:v>94400</c:v>
                </c:pt>
                <c:pt idx="49">
                  <c:v>94400</c:v>
                </c:pt>
                <c:pt idx="50">
                  <c:v>94400</c:v>
                </c:pt>
                <c:pt idx="51">
                  <c:v>94400</c:v>
                </c:pt>
                <c:pt idx="52">
                  <c:v>101400</c:v>
                </c:pt>
                <c:pt idx="53">
                  <c:v>101400</c:v>
                </c:pt>
                <c:pt idx="54">
                  <c:v>101400</c:v>
                </c:pt>
                <c:pt idx="55">
                  <c:v>121800</c:v>
                </c:pt>
              </c:numCache>
            </c:numRef>
          </c:val>
          <c:extLst>
            <c:ext xmlns:c16="http://schemas.microsoft.com/office/drawing/2014/chart" uri="{C3380CC4-5D6E-409C-BE32-E72D297353CC}">
              <c16:uniqueId val="{00000001-F369-4846-AFA8-14B06B04D5D1}"/>
            </c:ext>
          </c:extLst>
        </c:ser>
        <c:dLbls>
          <c:showLegendKey val="0"/>
          <c:showVal val="0"/>
          <c:showCatName val="0"/>
          <c:showSerName val="0"/>
          <c:showPercent val="0"/>
          <c:showBubbleSize val="0"/>
        </c:dLbls>
        <c:axId val="131203008"/>
        <c:axId val="131203400"/>
      </c:areaChart>
      <c:dateAx>
        <c:axId val="131203008"/>
        <c:scaling>
          <c:orientation val="minMax"/>
        </c:scaling>
        <c:delete val="0"/>
        <c:axPos val="b"/>
        <c:title>
          <c:tx>
            <c:rich>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cs-CZ" b="1">
                    <a:solidFill>
                      <a:sysClr val="windowText" lastClr="000000"/>
                    </a:solidFill>
                  </a:rPr>
                  <a:t>měsíc </a:t>
                </a:r>
                <a:r>
                  <a:rPr lang="cs-CZ" b="0">
                    <a:solidFill>
                      <a:sysClr val="windowText" lastClr="000000"/>
                    </a:solidFill>
                  </a:rPr>
                  <a:t>(rok založení porostu = 01)</a:t>
                </a:r>
              </a:p>
            </c:rich>
          </c:tx>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cs-CZ"/>
            </a:p>
          </c:txPr>
        </c:title>
        <c:numFmt formatCode="mmm\-yy"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cs-CZ"/>
          </a:p>
        </c:txPr>
        <c:crossAx val="131203400"/>
        <c:crosses val="autoZero"/>
        <c:auto val="1"/>
        <c:lblOffset val="100"/>
        <c:baseTimeUnit val="months"/>
      </c:dateAx>
      <c:valAx>
        <c:axId val="131203400"/>
        <c:scaling>
          <c:orientation val="minMax"/>
        </c:scaling>
        <c:delete val="0"/>
        <c:axPos val="l"/>
        <c:majorGridlines>
          <c:spPr>
            <a:ln w="9525" cap="flat" cmpd="sng" algn="ctr">
              <a:solidFill>
                <a:schemeClr val="tx1">
                  <a:lumMod val="15000"/>
                  <a:lumOff val="85000"/>
                </a:schemeClr>
              </a:solidFill>
              <a:round/>
            </a:ln>
            <a:effectLst/>
          </c:spPr>
        </c:majorGridlines>
        <c:numFmt formatCode="#,##0\ &quot;Kč&quot;"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cs-CZ"/>
          </a:p>
        </c:txPr>
        <c:crossAx val="131203008"/>
        <c:crosses val="autoZero"/>
        <c:crossBetween val="midCat"/>
      </c:valAx>
      <c:spPr>
        <a:noFill/>
        <a:ln>
          <a:noFill/>
        </a:ln>
        <a:effectLst/>
      </c:spPr>
    </c:plotArea>
    <c:legend>
      <c:legendPos val="t"/>
      <c:layout>
        <c:manualLayout>
          <c:xMode val="edge"/>
          <c:yMode val="edge"/>
          <c:x val="0.13632408356817804"/>
          <c:y val="0.19428270042194093"/>
          <c:w val="0.23322123125272731"/>
          <c:h val="6.0917970696700886E-2"/>
        </c:manualLayout>
      </c:layout>
      <c:overlay val="0"/>
      <c:spPr>
        <a:noFill/>
        <a:ln>
          <a:noFill/>
        </a:ln>
        <a:effectLst/>
      </c:spPr>
      <c:txPr>
        <a:bodyPr rot="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cs-CZ"/>
    </a:p>
  </c:txPr>
  <c:externalData r:id="rId3">
    <c:autoUpdate val="0"/>
  </c:externalData>
  <c:userShapes r:id="rId4"/>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Graf!$C$23:$C$24</c:f>
              <c:strCache>
                <c:ptCount val="2"/>
                <c:pt idx="0">
                  <c:v>Vývoz</c:v>
                </c:pt>
                <c:pt idx="1">
                  <c:v>(t)</c:v>
                </c:pt>
              </c:strCache>
            </c:strRef>
          </c:tx>
          <c:spPr>
            <a:solidFill>
              <a:schemeClr val="accent6">
                <a:lumMod val="60000"/>
                <a:lumOff val="40000"/>
              </a:schemeClr>
            </a:solidFill>
            <a:ln>
              <a:noFill/>
            </a:ln>
            <a:effectLst/>
            <a:sp3d/>
          </c:spPr>
          <c:invertIfNegative val="0"/>
          <c:cat>
            <c:numRef>
              <c:f>Graf!$B$25:$B$31</c:f>
              <c:numCache>
                <c:formatCode>General</c:formatCode>
                <c:ptCount val="7"/>
                <c:pt idx="0">
                  <c:v>2014</c:v>
                </c:pt>
                <c:pt idx="1">
                  <c:v>2015</c:v>
                </c:pt>
                <c:pt idx="2">
                  <c:v>2016</c:v>
                </c:pt>
                <c:pt idx="3">
                  <c:v>2017</c:v>
                </c:pt>
                <c:pt idx="4">
                  <c:v>2018</c:v>
                </c:pt>
                <c:pt idx="5">
                  <c:v>2019</c:v>
                </c:pt>
                <c:pt idx="6">
                  <c:v>2020</c:v>
                </c:pt>
              </c:numCache>
            </c:numRef>
          </c:cat>
          <c:val>
            <c:numRef>
              <c:f>Graf!$C$25:$C$31</c:f>
              <c:numCache>
                <c:formatCode>#,##0</c:formatCode>
                <c:ptCount val="7"/>
                <c:pt idx="0">
                  <c:v>6800.76505</c:v>
                </c:pt>
                <c:pt idx="1">
                  <c:v>7676.2585899999995</c:v>
                </c:pt>
                <c:pt idx="2">
                  <c:v>7205.3594899999998</c:v>
                </c:pt>
                <c:pt idx="3">
                  <c:v>7330.2194500000005</c:v>
                </c:pt>
                <c:pt idx="4">
                  <c:v>7900.4616699999997</c:v>
                </c:pt>
                <c:pt idx="5">
                  <c:v>7442.28658</c:v>
                </c:pt>
                <c:pt idx="6">
                  <c:v>5107.1529500000006</c:v>
                </c:pt>
              </c:numCache>
            </c:numRef>
          </c:val>
          <c:extLst>
            <c:ext xmlns:c16="http://schemas.microsoft.com/office/drawing/2014/chart" uri="{C3380CC4-5D6E-409C-BE32-E72D297353CC}">
              <c16:uniqueId val="{00000000-E679-E040-A4DD-272195B62FDC}"/>
            </c:ext>
          </c:extLst>
        </c:ser>
        <c:ser>
          <c:idx val="1"/>
          <c:order val="1"/>
          <c:tx>
            <c:strRef>
              <c:f>Graf!$D$23:$D$24</c:f>
              <c:strCache>
                <c:ptCount val="2"/>
                <c:pt idx="0">
                  <c:v>Dovoz</c:v>
                </c:pt>
                <c:pt idx="1">
                  <c:v>(t)</c:v>
                </c:pt>
              </c:strCache>
            </c:strRef>
          </c:tx>
          <c:spPr>
            <a:solidFill>
              <a:schemeClr val="accent4">
                <a:lumMod val="60000"/>
                <a:lumOff val="40000"/>
              </a:schemeClr>
            </a:solidFill>
            <a:ln>
              <a:noFill/>
            </a:ln>
            <a:effectLst/>
            <a:sp3d/>
          </c:spPr>
          <c:invertIfNegative val="0"/>
          <c:cat>
            <c:numRef>
              <c:f>Graf!$B$25:$B$31</c:f>
              <c:numCache>
                <c:formatCode>General</c:formatCode>
                <c:ptCount val="7"/>
                <c:pt idx="0">
                  <c:v>2014</c:v>
                </c:pt>
                <c:pt idx="1">
                  <c:v>2015</c:v>
                </c:pt>
                <c:pt idx="2">
                  <c:v>2016</c:v>
                </c:pt>
                <c:pt idx="3">
                  <c:v>2017</c:v>
                </c:pt>
                <c:pt idx="4">
                  <c:v>2018</c:v>
                </c:pt>
                <c:pt idx="5">
                  <c:v>2019</c:v>
                </c:pt>
                <c:pt idx="6">
                  <c:v>2020</c:v>
                </c:pt>
              </c:numCache>
            </c:numRef>
          </c:cat>
          <c:val>
            <c:numRef>
              <c:f>Graf!$D$25:$D$31</c:f>
              <c:numCache>
                <c:formatCode>#,##0</c:formatCode>
                <c:ptCount val="7"/>
                <c:pt idx="0">
                  <c:v>2645.8667099999998</c:v>
                </c:pt>
                <c:pt idx="1">
                  <c:v>3479.6608300000003</c:v>
                </c:pt>
                <c:pt idx="2">
                  <c:v>3127.5641100000003</c:v>
                </c:pt>
                <c:pt idx="3">
                  <c:v>3451.15121</c:v>
                </c:pt>
                <c:pt idx="4">
                  <c:v>3202.7814900000003</c:v>
                </c:pt>
                <c:pt idx="5">
                  <c:v>4033.3837699999999</c:v>
                </c:pt>
                <c:pt idx="6">
                  <c:v>4683.5461699999996</c:v>
                </c:pt>
              </c:numCache>
            </c:numRef>
          </c:val>
          <c:extLst>
            <c:ext xmlns:c16="http://schemas.microsoft.com/office/drawing/2014/chart" uri="{C3380CC4-5D6E-409C-BE32-E72D297353CC}">
              <c16:uniqueId val="{00000001-E679-E040-A4DD-272195B62FDC}"/>
            </c:ext>
          </c:extLst>
        </c:ser>
        <c:dLbls>
          <c:showLegendKey val="0"/>
          <c:showVal val="0"/>
          <c:showCatName val="0"/>
          <c:showSerName val="0"/>
          <c:showPercent val="0"/>
          <c:showBubbleSize val="0"/>
        </c:dLbls>
        <c:gapWidth val="150"/>
        <c:shape val="box"/>
        <c:axId val="496724216"/>
        <c:axId val="496726512"/>
        <c:axId val="0"/>
      </c:bar3DChart>
      <c:catAx>
        <c:axId val="49672421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96726512"/>
        <c:crosses val="autoZero"/>
        <c:auto val="1"/>
        <c:lblAlgn val="ctr"/>
        <c:lblOffset val="100"/>
        <c:noMultiLvlLbl val="0"/>
      </c:catAx>
      <c:valAx>
        <c:axId val="49672651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967242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Graf!$G$23:$G$24</c:f>
              <c:strCache>
                <c:ptCount val="2"/>
                <c:pt idx="0">
                  <c:v>Vývoz</c:v>
                </c:pt>
                <c:pt idx="1">
                  <c:v>(mil. Kč)</c:v>
                </c:pt>
              </c:strCache>
            </c:strRef>
          </c:tx>
          <c:spPr>
            <a:solidFill>
              <a:schemeClr val="accent6">
                <a:lumMod val="75000"/>
              </a:schemeClr>
            </a:solidFill>
            <a:ln>
              <a:noFill/>
            </a:ln>
            <a:effectLst/>
            <a:sp3d/>
          </c:spPr>
          <c:invertIfNegative val="0"/>
          <c:cat>
            <c:numRef>
              <c:f>Graf!$F$25:$F$31</c:f>
              <c:numCache>
                <c:formatCode>General</c:formatCode>
                <c:ptCount val="7"/>
                <c:pt idx="0">
                  <c:v>2014</c:v>
                </c:pt>
                <c:pt idx="1">
                  <c:v>2015</c:v>
                </c:pt>
                <c:pt idx="2">
                  <c:v>2016</c:v>
                </c:pt>
                <c:pt idx="3">
                  <c:v>2017</c:v>
                </c:pt>
                <c:pt idx="4">
                  <c:v>2018</c:v>
                </c:pt>
                <c:pt idx="5">
                  <c:v>2019</c:v>
                </c:pt>
                <c:pt idx="6">
                  <c:v>2020</c:v>
                </c:pt>
              </c:numCache>
            </c:numRef>
          </c:cat>
          <c:val>
            <c:numRef>
              <c:f>Graf!$G$25:$G$31</c:f>
              <c:numCache>
                <c:formatCode>#,##0</c:formatCode>
                <c:ptCount val="7"/>
                <c:pt idx="0">
                  <c:v>285741.40999999997</c:v>
                </c:pt>
                <c:pt idx="1">
                  <c:v>284785.886</c:v>
                </c:pt>
                <c:pt idx="2">
                  <c:v>283163.32299999997</c:v>
                </c:pt>
                <c:pt idx="3">
                  <c:v>265115.65000000002</c:v>
                </c:pt>
                <c:pt idx="4">
                  <c:v>279884.00099999999</c:v>
                </c:pt>
                <c:pt idx="5">
                  <c:v>306687.13400000002</c:v>
                </c:pt>
                <c:pt idx="6">
                  <c:v>240851.26</c:v>
                </c:pt>
              </c:numCache>
            </c:numRef>
          </c:val>
          <c:extLst>
            <c:ext xmlns:c16="http://schemas.microsoft.com/office/drawing/2014/chart" uri="{C3380CC4-5D6E-409C-BE32-E72D297353CC}">
              <c16:uniqueId val="{00000000-C83D-384F-81CF-0B011888BAA0}"/>
            </c:ext>
          </c:extLst>
        </c:ser>
        <c:ser>
          <c:idx val="1"/>
          <c:order val="1"/>
          <c:tx>
            <c:strRef>
              <c:f>Graf!$H$23:$H$24</c:f>
              <c:strCache>
                <c:ptCount val="2"/>
                <c:pt idx="0">
                  <c:v>Dovoz</c:v>
                </c:pt>
                <c:pt idx="1">
                  <c:v>(mil. Kč)</c:v>
                </c:pt>
              </c:strCache>
            </c:strRef>
          </c:tx>
          <c:spPr>
            <a:solidFill>
              <a:srgbClr val="FF0000"/>
            </a:solidFill>
            <a:ln>
              <a:noFill/>
            </a:ln>
            <a:effectLst/>
            <a:sp3d/>
          </c:spPr>
          <c:invertIfNegative val="0"/>
          <c:cat>
            <c:numRef>
              <c:f>Graf!$F$25:$F$31</c:f>
              <c:numCache>
                <c:formatCode>General</c:formatCode>
                <c:ptCount val="7"/>
                <c:pt idx="0">
                  <c:v>2014</c:v>
                </c:pt>
                <c:pt idx="1">
                  <c:v>2015</c:v>
                </c:pt>
                <c:pt idx="2">
                  <c:v>2016</c:v>
                </c:pt>
                <c:pt idx="3">
                  <c:v>2017</c:v>
                </c:pt>
                <c:pt idx="4">
                  <c:v>2018</c:v>
                </c:pt>
                <c:pt idx="5">
                  <c:v>2019</c:v>
                </c:pt>
                <c:pt idx="6">
                  <c:v>2020</c:v>
                </c:pt>
              </c:numCache>
            </c:numRef>
          </c:cat>
          <c:val>
            <c:numRef>
              <c:f>Graf!$H$25:$H$31</c:f>
              <c:numCache>
                <c:formatCode>#,##0</c:formatCode>
                <c:ptCount val="7"/>
                <c:pt idx="0">
                  <c:v>121642.08100000001</c:v>
                </c:pt>
                <c:pt idx="1">
                  <c:v>158437.75</c:v>
                </c:pt>
                <c:pt idx="2">
                  <c:v>148941.155</c:v>
                </c:pt>
                <c:pt idx="3">
                  <c:v>174791.09299999999</c:v>
                </c:pt>
                <c:pt idx="4">
                  <c:v>156087.12899999999</c:v>
                </c:pt>
                <c:pt idx="5">
                  <c:v>197884.962</c:v>
                </c:pt>
                <c:pt idx="6">
                  <c:v>232346.47099999999</c:v>
                </c:pt>
              </c:numCache>
            </c:numRef>
          </c:val>
          <c:extLst>
            <c:ext xmlns:c16="http://schemas.microsoft.com/office/drawing/2014/chart" uri="{C3380CC4-5D6E-409C-BE32-E72D297353CC}">
              <c16:uniqueId val="{00000001-C83D-384F-81CF-0B011888BAA0}"/>
            </c:ext>
          </c:extLst>
        </c:ser>
        <c:dLbls>
          <c:showLegendKey val="0"/>
          <c:showVal val="0"/>
          <c:showCatName val="0"/>
          <c:showSerName val="0"/>
          <c:showPercent val="0"/>
          <c:showBubbleSize val="0"/>
        </c:dLbls>
        <c:gapWidth val="150"/>
        <c:shape val="box"/>
        <c:axId val="590520864"/>
        <c:axId val="617142800"/>
        <c:axId val="0"/>
      </c:bar3DChart>
      <c:catAx>
        <c:axId val="59052086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617142800"/>
        <c:crosses val="autoZero"/>
        <c:auto val="1"/>
        <c:lblAlgn val="ctr"/>
        <c:lblOffset val="100"/>
        <c:noMultiLvlLbl val="0"/>
      </c:catAx>
      <c:valAx>
        <c:axId val="61714280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905208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6511385635781188E-2"/>
          <c:y val="3.1115879828326181E-2"/>
          <c:w val="0.90910659872036381"/>
          <c:h val="0.785374242012852"/>
        </c:manualLayout>
      </c:layout>
      <c:barChart>
        <c:barDir val="col"/>
        <c:grouping val="stacked"/>
        <c:varyColors val="0"/>
        <c:ser>
          <c:idx val="1"/>
          <c:order val="0"/>
          <c:tx>
            <c:strRef>
              <c:f>'Select 50 farms'!$AY$1580</c:f>
              <c:strCache>
                <c:ptCount val="1"/>
                <c:pt idx="0">
                  <c:v>Capital productivity</c:v>
                </c:pt>
              </c:strCache>
            </c:strRef>
          </c:tx>
          <c:spPr>
            <a:solidFill>
              <a:srgbClr val="0000FF"/>
            </a:solidFill>
            <a:ln w="12700">
              <a:noFill/>
              <a:prstDash val="solid"/>
            </a:ln>
          </c:spPr>
          <c:invertIfNegative val="0"/>
          <c:cat>
            <c:strRef>
              <c:f>'Select 50 farms'!$BA$1446:$IV$1446</c:f>
              <c:strCache>
                <c:ptCount val="50"/>
                <c:pt idx="0">
                  <c:v>AT-17 bio</c:v>
                </c:pt>
                <c:pt idx="1">
                  <c:v>AT-68</c:v>
                </c:pt>
                <c:pt idx="2">
                  <c:v> </c:v>
                </c:pt>
                <c:pt idx="3">
                  <c:v>DE-30S</c:v>
                </c:pt>
                <c:pt idx="4">
                  <c:v>DE-80S</c:v>
                </c:pt>
                <c:pt idx="5">
                  <c:v>DE-109S</c:v>
                </c:pt>
                <c:pt idx="6">
                  <c:v> </c:v>
                </c:pt>
                <c:pt idx="7">
                  <c:v>DE-155N</c:v>
                </c:pt>
                <c:pt idx="8">
                  <c:v>DE-314N</c:v>
                </c:pt>
                <c:pt idx="9">
                  <c:v> </c:v>
                </c:pt>
                <c:pt idx="10">
                  <c:v>DE-700E</c:v>
                </c:pt>
                <c:pt idx="11">
                  <c:v>DE-1200E</c:v>
                </c:pt>
                <c:pt idx="12">
                  <c:v> </c:v>
                </c:pt>
                <c:pt idx="13">
                  <c:v>NL-101</c:v>
                </c:pt>
                <c:pt idx="14">
                  <c:v>NL-249</c:v>
                </c:pt>
                <c:pt idx="15">
                  <c:v> </c:v>
                </c:pt>
                <c:pt idx="16">
                  <c:v>BE-40N</c:v>
                </c:pt>
                <c:pt idx="17">
                  <c:v>BE-95N</c:v>
                </c:pt>
                <c:pt idx="18">
                  <c:v> </c:v>
                </c:pt>
                <c:pt idx="19">
                  <c:v>FR-40MC</c:v>
                </c:pt>
                <c:pt idx="20">
                  <c:v>FR-100C</c:v>
                </c:pt>
                <c:pt idx="21">
                  <c:v>FR-66W</c:v>
                </c:pt>
                <c:pt idx="22">
                  <c:v> </c:v>
                </c:pt>
                <c:pt idx="23">
                  <c:v>IT-154</c:v>
                </c:pt>
                <c:pt idx="24">
                  <c:v>IT-229</c:v>
                </c:pt>
                <c:pt idx="25">
                  <c:v> </c:v>
                </c:pt>
                <c:pt idx="26">
                  <c:v>UK-160NW</c:v>
                </c:pt>
                <c:pt idx="27">
                  <c:v>UK-259SW</c:v>
                </c:pt>
                <c:pt idx="28">
                  <c:v> </c:v>
                </c:pt>
                <c:pt idx="29">
                  <c:v>IE-80</c:v>
                </c:pt>
                <c:pt idx="30">
                  <c:v>IE-159</c:v>
                </c:pt>
                <c:pt idx="31">
                  <c:v> </c:v>
                </c:pt>
                <c:pt idx="32">
                  <c:v>DK-200</c:v>
                </c:pt>
                <c:pt idx="33">
                  <c:v>DK-360</c:v>
                </c:pt>
                <c:pt idx="34">
                  <c:v>DK 761</c:v>
                </c:pt>
                <c:pt idx="35">
                  <c:v> </c:v>
                </c:pt>
                <c:pt idx="36">
                  <c:v>PL-16E</c:v>
                </c:pt>
                <c:pt idx="37">
                  <c:v>PL-25</c:v>
                </c:pt>
                <c:pt idx="38">
                  <c:v>PL-65S</c:v>
                </c:pt>
                <c:pt idx="39">
                  <c:v>PL-52N</c:v>
                </c:pt>
                <c:pt idx="40">
                  <c:v>PL-75</c:v>
                </c:pt>
                <c:pt idx="41">
                  <c:v>PL-221N</c:v>
                </c:pt>
                <c:pt idx="42">
                  <c:v> </c:v>
                </c:pt>
                <c:pt idx="43">
                  <c:v>LV-35</c:v>
                </c:pt>
                <c:pt idx="44">
                  <c:v>LV-198</c:v>
                </c:pt>
                <c:pt idx="45">
                  <c:v>LV-218</c:v>
                </c:pt>
                <c:pt idx="46">
                  <c:v> </c:v>
                </c:pt>
                <c:pt idx="47">
                  <c:v>CZ-85</c:v>
                </c:pt>
                <c:pt idx="48">
                  <c:v>CZ-787</c:v>
                </c:pt>
                <c:pt idx="49">
                  <c:v> </c:v>
                </c:pt>
              </c:strCache>
            </c:strRef>
          </c:cat>
          <c:val>
            <c:numRef>
              <c:f>'Select 50 farms'!$BA$1580:$IV$1580</c:f>
              <c:numCache>
                <c:formatCode>0.00</c:formatCode>
                <c:ptCount val="50"/>
                <c:pt idx="0">
                  <c:v>13.665021241545981</c:v>
                </c:pt>
                <c:pt idx="1">
                  <c:v>13.067404168524142</c:v>
                </c:pt>
                <c:pt idx="2">
                  <c:v>0</c:v>
                </c:pt>
                <c:pt idx="3">
                  <c:v>32.243960630846964</c:v>
                </c:pt>
                <c:pt idx="4">
                  <c:v>26.304407297173803</c:v>
                </c:pt>
                <c:pt idx="5">
                  <c:v>24.349407310594476</c:v>
                </c:pt>
                <c:pt idx="6">
                  <c:v>0</c:v>
                </c:pt>
                <c:pt idx="7">
                  <c:v>41.964852817927465</c:v>
                </c:pt>
                <c:pt idx="8">
                  <c:v>57.210968774920779</c:v>
                </c:pt>
                <c:pt idx="9">
                  <c:v>0</c:v>
                </c:pt>
                <c:pt idx="10">
                  <c:v>50.735605460259698</c:v>
                </c:pt>
                <c:pt idx="11">
                  <c:v>53.536219011709875</c:v>
                </c:pt>
                <c:pt idx="12">
                  <c:v>0</c:v>
                </c:pt>
                <c:pt idx="13">
                  <c:v>27.984704019400922</c:v>
                </c:pt>
                <c:pt idx="14">
                  <c:v>25.854257487876218</c:v>
                </c:pt>
                <c:pt idx="15">
                  <c:v>0</c:v>
                </c:pt>
                <c:pt idx="16">
                  <c:v>32.871255073123102</c:v>
                </c:pt>
                <c:pt idx="17">
                  <c:v>42.465120165306153</c:v>
                </c:pt>
                <c:pt idx="18">
                  <c:v>0</c:v>
                </c:pt>
                <c:pt idx="19">
                  <c:v>16.504363952222015</c:v>
                </c:pt>
                <c:pt idx="20">
                  <c:v>34.027791235105212</c:v>
                </c:pt>
                <c:pt idx="21">
                  <c:v>32.2388616794588</c:v>
                </c:pt>
                <c:pt idx="22">
                  <c:v>0</c:v>
                </c:pt>
                <c:pt idx="23">
                  <c:v>16.089097513180185</c:v>
                </c:pt>
                <c:pt idx="24">
                  <c:v>21.13941292954852</c:v>
                </c:pt>
                <c:pt idx="25">
                  <c:v>0</c:v>
                </c:pt>
                <c:pt idx="26">
                  <c:v>52.534489718152535</c:v>
                </c:pt>
                <c:pt idx="27">
                  <c:v>49.271193151976192</c:v>
                </c:pt>
                <c:pt idx="28">
                  <c:v>0</c:v>
                </c:pt>
                <c:pt idx="29">
                  <c:v>44.441131305748854</c:v>
                </c:pt>
                <c:pt idx="30">
                  <c:v>48.071127927568654</c:v>
                </c:pt>
                <c:pt idx="31">
                  <c:v>0</c:v>
                </c:pt>
                <c:pt idx="32">
                  <c:v>45.264146989574748</c:v>
                </c:pt>
                <c:pt idx="33">
                  <c:v>43.010157509785188</c:v>
                </c:pt>
                <c:pt idx="34">
                  <c:v>43.575295575967672</c:v>
                </c:pt>
                <c:pt idx="35">
                  <c:v>0</c:v>
                </c:pt>
                <c:pt idx="36">
                  <c:v>26.686429711299745</c:v>
                </c:pt>
                <c:pt idx="37">
                  <c:v>31.256396990013961</c:v>
                </c:pt>
                <c:pt idx="38">
                  <c:v>46.394008594717818</c:v>
                </c:pt>
                <c:pt idx="39">
                  <c:v>28.892803316337837</c:v>
                </c:pt>
                <c:pt idx="40">
                  <c:v>27.10203728136749</c:v>
                </c:pt>
                <c:pt idx="41">
                  <c:v>34.206238746759553</c:v>
                </c:pt>
                <c:pt idx="42">
                  <c:v>0</c:v>
                </c:pt>
                <c:pt idx="43">
                  <c:v>34.074692094280117</c:v>
                </c:pt>
                <c:pt idx="44">
                  <c:v>29.970430845764511</c:v>
                </c:pt>
                <c:pt idx="45">
                  <c:v>50.967274509897258</c:v>
                </c:pt>
                <c:pt idx="46">
                  <c:v>0</c:v>
                </c:pt>
                <c:pt idx="47">
                  <c:v>30.953731581198397</c:v>
                </c:pt>
                <c:pt idx="48">
                  <c:v>43.832824645524774</c:v>
                </c:pt>
                <c:pt idx="49">
                  <c:v>0</c:v>
                </c:pt>
              </c:numCache>
            </c:numRef>
          </c:val>
          <c:extLst>
            <c:ext xmlns:c16="http://schemas.microsoft.com/office/drawing/2014/chart" uri="{C3380CC4-5D6E-409C-BE32-E72D297353CC}">
              <c16:uniqueId val="{00000000-DE67-7C47-97AE-2B57ED302D46}"/>
            </c:ext>
          </c:extLst>
        </c:ser>
        <c:dLbls>
          <c:showLegendKey val="0"/>
          <c:showVal val="0"/>
          <c:showCatName val="0"/>
          <c:showSerName val="0"/>
          <c:showPercent val="0"/>
          <c:showBubbleSize val="0"/>
        </c:dLbls>
        <c:gapWidth val="10"/>
        <c:overlap val="100"/>
        <c:axId val="157364992"/>
        <c:axId val="157366528"/>
      </c:barChart>
      <c:catAx>
        <c:axId val="157364992"/>
        <c:scaling>
          <c:orientation val="minMax"/>
        </c:scaling>
        <c:delete val="0"/>
        <c:axPos val="b"/>
        <c:numFmt formatCode="General" sourceLinked="1"/>
        <c:majorTickMark val="out"/>
        <c:minorTickMark val="none"/>
        <c:tickLblPos val="nextTo"/>
        <c:spPr>
          <a:ln w="3175">
            <a:solidFill>
              <a:srgbClr val="000000"/>
            </a:solidFill>
            <a:prstDash val="solid"/>
          </a:ln>
        </c:spPr>
        <c:txPr>
          <a:bodyPr rot="-5400000" vert="horz"/>
          <a:lstStyle/>
          <a:p>
            <a:pPr>
              <a:defRPr sz="600" b="0" i="0" u="none" strike="noStrike" baseline="0">
                <a:solidFill>
                  <a:srgbClr val="000000"/>
                </a:solidFill>
                <a:latin typeface="Arial"/>
                <a:ea typeface="Arial"/>
                <a:cs typeface="Arial"/>
              </a:defRPr>
            </a:pPr>
            <a:endParaRPr lang="cs-CZ"/>
          </a:p>
        </c:txPr>
        <c:crossAx val="157366528"/>
        <c:crosses val="autoZero"/>
        <c:auto val="0"/>
        <c:lblAlgn val="ctr"/>
        <c:lblOffset val="100"/>
        <c:tickLblSkip val="1"/>
        <c:tickMarkSkip val="1"/>
        <c:noMultiLvlLbl val="0"/>
      </c:catAx>
      <c:valAx>
        <c:axId val="157366528"/>
        <c:scaling>
          <c:orientation val="minMax"/>
          <c:max val="60"/>
        </c:scaling>
        <c:delete val="0"/>
        <c:axPos val="l"/>
        <c:majorGridlines>
          <c:spPr>
            <a:ln w="3175">
              <a:solidFill>
                <a:srgbClr val="000000"/>
              </a:solidFill>
              <a:prstDash val="sysDash"/>
            </a:ln>
          </c:spPr>
        </c:majorGridlines>
        <c:title>
          <c:tx>
            <c:rich>
              <a:bodyPr/>
              <a:lstStyle/>
              <a:p>
                <a:pPr>
                  <a:defRPr/>
                </a:pPr>
                <a:r>
                  <a:rPr lang="cs-CZ" sz="700"/>
                  <a:t>kg mnlé</a:t>
                </a:r>
                <a:r>
                  <a:rPr lang="cs-CZ" sz="700" baseline="0"/>
                  <a:t> </a:t>
                </a:r>
                <a:r>
                  <a:rPr lang="cs-CZ" sz="700"/>
                  <a:t>ECM / CZK kapitálu</a:t>
                </a:r>
              </a:p>
            </c:rich>
          </c:tx>
          <c:layout>
            <c:manualLayout>
              <c:xMode val="edge"/>
              <c:yMode val="edge"/>
              <c:x val="1.4173749229527126E-2"/>
              <c:y val="0.27739139840488819"/>
            </c:manualLayout>
          </c:layout>
          <c:overlay val="0"/>
        </c:title>
        <c:numFmt formatCode="#,##0" sourceLinked="0"/>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cs-CZ"/>
          </a:p>
        </c:txPr>
        <c:crossAx val="157364992"/>
        <c:crosses val="autoZero"/>
        <c:crossBetween val="between"/>
      </c:valAx>
      <c:spPr>
        <a:noFill/>
        <a:ln w="12700">
          <a:solidFill>
            <a:srgbClr val="808080"/>
          </a:solidFill>
          <a:prstDash val="solid"/>
        </a:ln>
      </c:spPr>
    </c:plotArea>
    <c:plotVisOnly val="1"/>
    <c:dispBlanksAs val="gap"/>
    <c:showDLblsOverMax val="0"/>
  </c:chart>
  <c:spPr>
    <a:solidFill>
      <a:srgbClr val="FFFFFF"/>
    </a:solidFill>
    <a:ln w="3175">
      <a:solidFill>
        <a:srgbClr val="000000"/>
      </a:solidFill>
    </a:ln>
  </c:spPr>
  <c:txPr>
    <a:bodyPr/>
    <a:lstStyle/>
    <a:p>
      <a:pPr>
        <a:defRPr sz="1000" b="0" i="0" u="none" strike="noStrike" baseline="0">
          <a:solidFill>
            <a:srgbClr val="000000"/>
          </a:solidFill>
          <a:latin typeface="Arial"/>
          <a:ea typeface="Arial"/>
          <a:cs typeface="Arial"/>
        </a:defRPr>
      </a:pPr>
      <a:endParaRPr lang="cs-CZ"/>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sz="1000" b="1"/>
              <a:t>Od roku 2012 se zvýšily stavy krav BTPM o 27 %, stavy skotu celkem o 4,5 %, stavy</a:t>
            </a:r>
            <a:r>
              <a:rPr lang="cs-CZ" sz="1000" b="1" baseline="0"/>
              <a:t> </a:t>
            </a:r>
            <a:r>
              <a:rPr lang="cs-CZ" sz="1000" b="1"/>
              <a:t>Rok 2011 = 100 %</a:t>
            </a:r>
          </a:p>
        </c:rich>
      </c:tx>
      <c:layout>
        <c:manualLayout>
          <c:xMode val="edge"/>
          <c:yMode val="edge"/>
          <c:x val="9.3957888994710415E-2"/>
          <c:y val="1.5920398009950248E-2"/>
        </c:manualLayout>
      </c:layout>
      <c:overlay val="0"/>
      <c:spPr>
        <a:solidFill>
          <a:schemeClr val="bg1"/>
        </a:solidFill>
        <a:ln>
          <a:solidFill>
            <a:schemeClr val="tx1">
              <a:lumMod val="50000"/>
              <a:lumOff val="50000"/>
            </a:schemeClr>
          </a:solid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manualLayout>
          <c:layoutTarget val="inner"/>
          <c:xMode val="edge"/>
          <c:yMode val="edge"/>
          <c:x val="8.7516488036951112E-2"/>
          <c:y val="0.11333192306185608"/>
          <c:w val="0.8920405818097269"/>
          <c:h val="0.7039595751465646"/>
        </c:manualLayout>
      </c:layout>
      <c:lineChart>
        <c:grouping val="standard"/>
        <c:varyColors val="0"/>
        <c:ser>
          <c:idx val="0"/>
          <c:order val="0"/>
          <c:tx>
            <c:strRef>
              <c:f>'stavy skot'!$B$13</c:f>
              <c:strCache>
                <c:ptCount val="1"/>
                <c:pt idx="0">
                  <c:v>Skot celkem</c:v>
                </c:pt>
              </c:strCache>
            </c:strRef>
          </c:tx>
          <c:spPr>
            <a:ln w="28575" cap="rnd">
              <a:solidFill>
                <a:srgbClr val="92D050"/>
              </a:solidFill>
              <a:round/>
            </a:ln>
            <a:effectLst/>
          </c:spPr>
          <c:marker>
            <c:symbol val="diamond"/>
            <c:size val="8"/>
            <c:spPr>
              <a:solidFill>
                <a:srgbClr val="00B050"/>
              </a:solidFill>
              <a:ln w="9525">
                <a:solidFill>
                  <a:schemeClr val="accent6">
                    <a:lumMod val="75000"/>
                  </a:schemeClr>
                </a:solidFill>
              </a:ln>
              <a:effectLst/>
            </c:spPr>
          </c:marker>
          <c:dLbls>
            <c:dLbl>
              <c:idx val="9"/>
              <c:layout>
                <c:manualLayout>
                  <c:x val="-3.4071550255536792E-2"/>
                  <c:y val="-7.16417910447761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F96-EE43-ACBF-C5A2D77D6574}"/>
                </c:ext>
              </c:extLst>
            </c:dLbl>
            <c:spPr>
              <a:solidFill>
                <a:schemeClr val="bg1"/>
              </a:solid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cs-CZ"/>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'stavy skot'!$C$12:$L$12</c:f>
              <c:numCache>
                <c:formatCode>General</c:formatCode>
                <c:ptCount val="10"/>
                <c:pt idx="0">
                  <c:v>2011</c:v>
                </c:pt>
                <c:pt idx="1">
                  <c:v>2012</c:v>
                </c:pt>
                <c:pt idx="2">
                  <c:v>2013</c:v>
                </c:pt>
                <c:pt idx="3">
                  <c:v>2014</c:v>
                </c:pt>
                <c:pt idx="4">
                  <c:v>2015</c:v>
                </c:pt>
                <c:pt idx="5">
                  <c:v>2016</c:v>
                </c:pt>
                <c:pt idx="6">
                  <c:v>2017</c:v>
                </c:pt>
                <c:pt idx="7">
                  <c:v>2018</c:v>
                </c:pt>
                <c:pt idx="8">
                  <c:v>2019</c:v>
                </c:pt>
                <c:pt idx="9">
                  <c:v>2020</c:v>
                </c:pt>
              </c:numCache>
            </c:numRef>
          </c:cat>
          <c:val>
            <c:numRef>
              <c:f>'stavy skot'!$C$13:$L$13</c:f>
              <c:numCache>
                <c:formatCode>#\ ##0.0</c:formatCode>
                <c:ptCount val="10"/>
                <c:pt idx="0">
                  <c:v>100</c:v>
                </c:pt>
                <c:pt idx="1">
                  <c:v>100.74414707007442</c:v>
                </c:pt>
                <c:pt idx="2">
                  <c:v>100.6799207552955</c:v>
                </c:pt>
                <c:pt idx="3">
                  <c:v>102.22328728586886</c:v>
                </c:pt>
                <c:pt idx="4">
                  <c:v>104.72178767956206</c:v>
                </c:pt>
                <c:pt idx="5">
                  <c:v>105.35631092383191</c:v>
                </c:pt>
                <c:pt idx="6">
                  <c:v>105.77188420508958</c:v>
                </c:pt>
                <c:pt idx="7">
                  <c:v>105.36464620454483</c:v>
                </c:pt>
                <c:pt idx="8">
                  <c:v>105.53849634512827</c:v>
                </c:pt>
                <c:pt idx="9">
                  <c:v>104.49740489965662</c:v>
                </c:pt>
              </c:numCache>
            </c:numRef>
          </c:val>
          <c:smooth val="0"/>
          <c:extLst>
            <c:ext xmlns:c16="http://schemas.microsoft.com/office/drawing/2014/chart" uri="{C3380CC4-5D6E-409C-BE32-E72D297353CC}">
              <c16:uniqueId val="{00000001-7F96-EE43-ACBF-C5A2D77D6574}"/>
            </c:ext>
          </c:extLst>
        </c:ser>
        <c:ser>
          <c:idx val="1"/>
          <c:order val="1"/>
          <c:tx>
            <c:strRef>
              <c:f>'stavy skot'!$B$14</c:f>
              <c:strCache>
                <c:ptCount val="1"/>
                <c:pt idx="0">
                  <c:v>z toho: -  krávy BTPM </c:v>
                </c:pt>
              </c:strCache>
            </c:strRef>
          </c:tx>
          <c:spPr>
            <a:ln w="28575" cap="rnd">
              <a:solidFill>
                <a:schemeClr val="accent2"/>
              </a:solidFill>
              <a:round/>
            </a:ln>
            <a:effectLst/>
          </c:spPr>
          <c:marker>
            <c:symbol val="triangle"/>
            <c:size val="8"/>
            <c:spPr>
              <a:solidFill>
                <a:srgbClr val="C00000"/>
              </a:solidFill>
              <a:ln w="9525">
                <a:solidFill>
                  <a:schemeClr val="accent2"/>
                </a:solidFill>
              </a:ln>
              <a:effectLst/>
            </c:spPr>
          </c:marker>
          <c:dLbls>
            <c:dLbl>
              <c:idx val="9"/>
              <c:layout>
                <c:manualLayout>
                  <c:x val="-2.7257240204429302E-2"/>
                  <c:y val="-5.57213930348258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F96-EE43-ACBF-C5A2D77D6574}"/>
                </c:ext>
              </c:extLst>
            </c:dLbl>
            <c:spPr>
              <a:solidFill>
                <a:schemeClr val="bg1"/>
              </a:solid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mn-lt"/>
                    <a:ea typeface="+mn-ea"/>
                    <a:cs typeface="+mn-cs"/>
                  </a:defRPr>
                </a:pPr>
                <a:endParaRPr lang="cs-CZ"/>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'stavy skot'!$C$12:$L$12</c:f>
              <c:numCache>
                <c:formatCode>General</c:formatCode>
                <c:ptCount val="10"/>
                <c:pt idx="0">
                  <c:v>2011</c:v>
                </c:pt>
                <c:pt idx="1">
                  <c:v>2012</c:v>
                </c:pt>
                <c:pt idx="2">
                  <c:v>2013</c:v>
                </c:pt>
                <c:pt idx="3">
                  <c:v>2014</c:v>
                </c:pt>
                <c:pt idx="4">
                  <c:v>2015</c:v>
                </c:pt>
                <c:pt idx="5">
                  <c:v>2016</c:v>
                </c:pt>
                <c:pt idx="6">
                  <c:v>2017</c:v>
                </c:pt>
                <c:pt idx="7">
                  <c:v>2018</c:v>
                </c:pt>
                <c:pt idx="8">
                  <c:v>2019</c:v>
                </c:pt>
                <c:pt idx="9">
                  <c:v>2020</c:v>
                </c:pt>
              </c:numCache>
            </c:numRef>
          </c:cat>
          <c:val>
            <c:numRef>
              <c:f>'stavy skot'!$C$14:$L$14</c:f>
              <c:numCache>
                <c:formatCode>#\ ##0.0</c:formatCode>
                <c:ptCount val="10"/>
                <c:pt idx="0">
                  <c:v>100</c:v>
                </c:pt>
                <c:pt idx="1">
                  <c:v>100.22509848058525</c:v>
                </c:pt>
                <c:pt idx="2">
                  <c:v>103.88294879009567</c:v>
                </c:pt>
                <c:pt idx="3">
                  <c:v>107.65334833989873</c:v>
                </c:pt>
                <c:pt idx="4">
                  <c:v>114.8002250984806</c:v>
                </c:pt>
                <c:pt idx="5">
                  <c:v>118.8519977490152</c:v>
                </c:pt>
                <c:pt idx="6">
                  <c:v>121.60382667416995</c:v>
                </c:pt>
                <c:pt idx="7">
                  <c:v>124.87338210467081</c:v>
                </c:pt>
                <c:pt idx="8">
                  <c:v>127.34946539110862</c:v>
                </c:pt>
                <c:pt idx="9">
                  <c:v>127.20540236353406</c:v>
                </c:pt>
              </c:numCache>
            </c:numRef>
          </c:val>
          <c:smooth val="0"/>
          <c:extLst>
            <c:ext xmlns:c16="http://schemas.microsoft.com/office/drawing/2014/chart" uri="{C3380CC4-5D6E-409C-BE32-E72D297353CC}">
              <c16:uniqueId val="{00000003-7F96-EE43-ACBF-C5A2D77D6574}"/>
            </c:ext>
          </c:extLst>
        </c:ser>
        <c:ser>
          <c:idx val="2"/>
          <c:order val="2"/>
          <c:tx>
            <c:strRef>
              <c:f>'stavy skot'!#REF!</c:f>
              <c:strCache>
                <c:ptCount val="1"/>
                <c:pt idx="0">
                  <c:v>#REF!</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'stavy skot'!$C$12:$L$12</c:f>
              <c:numCache>
                <c:formatCode>General</c:formatCode>
                <c:ptCount val="10"/>
                <c:pt idx="0">
                  <c:v>2011</c:v>
                </c:pt>
                <c:pt idx="1">
                  <c:v>2012</c:v>
                </c:pt>
                <c:pt idx="2">
                  <c:v>2013</c:v>
                </c:pt>
                <c:pt idx="3">
                  <c:v>2014</c:v>
                </c:pt>
                <c:pt idx="4">
                  <c:v>2015</c:v>
                </c:pt>
                <c:pt idx="5">
                  <c:v>2016</c:v>
                </c:pt>
                <c:pt idx="6">
                  <c:v>2017</c:v>
                </c:pt>
                <c:pt idx="7">
                  <c:v>2018</c:v>
                </c:pt>
                <c:pt idx="8">
                  <c:v>2019</c:v>
                </c:pt>
                <c:pt idx="9">
                  <c:v>2020</c:v>
                </c:pt>
              </c:numCache>
            </c:numRef>
          </c:cat>
          <c:val>
            <c:numRef>
              <c:f>'stavy skot'!#REF!</c:f>
              <c:numCache>
                <c:formatCode>General</c:formatCode>
                <c:ptCount val="1"/>
                <c:pt idx="0">
                  <c:v>1</c:v>
                </c:pt>
              </c:numCache>
            </c:numRef>
          </c:val>
          <c:smooth val="0"/>
          <c:extLst>
            <c:ext xmlns:c16="http://schemas.microsoft.com/office/drawing/2014/chart" uri="{C3380CC4-5D6E-409C-BE32-E72D297353CC}">
              <c16:uniqueId val="{00000004-7F96-EE43-ACBF-C5A2D77D6574}"/>
            </c:ext>
          </c:extLst>
        </c:ser>
        <c:ser>
          <c:idx val="3"/>
          <c:order val="3"/>
          <c:tx>
            <c:strRef>
              <c:f>'stavy skot'!$B$15</c:f>
              <c:strCache>
                <c:ptCount val="1"/>
                <c:pt idx="0">
                  <c:v> dojené krávy</c:v>
                </c:pt>
              </c:strCache>
            </c:strRef>
          </c:tx>
          <c:spPr>
            <a:ln w="28575" cap="rnd">
              <a:solidFill>
                <a:srgbClr val="FFC000"/>
              </a:solidFill>
              <a:round/>
            </a:ln>
            <a:effectLst/>
          </c:spPr>
          <c:marker>
            <c:symbol val="circle"/>
            <c:size val="8"/>
            <c:spPr>
              <a:solidFill>
                <a:srgbClr val="FFC000"/>
              </a:solidFill>
              <a:ln w="9525">
                <a:solidFill>
                  <a:schemeClr val="accent2">
                    <a:lumMod val="75000"/>
                  </a:schemeClr>
                </a:solidFill>
              </a:ln>
              <a:effectLst/>
            </c:spPr>
          </c:marker>
          <c:dLbls>
            <c:dLbl>
              <c:idx val="9"/>
              <c:layout>
                <c:manualLayout>
                  <c:x val="-3.8614423622941513E-2"/>
                  <c:y val="-5.97014925373134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F96-EE43-ACBF-C5A2D77D6574}"/>
                </c:ext>
              </c:extLst>
            </c:dLbl>
            <c:spPr>
              <a:solidFill>
                <a:schemeClr val="bg1"/>
              </a:solid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cs-CZ"/>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'stavy skot'!$C$12:$L$12</c:f>
              <c:numCache>
                <c:formatCode>General</c:formatCode>
                <c:ptCount val="10"/>
                <c:pt idx="0">
                  <c:v>2011</c:v>
                </c:pt>
                <c:pt idx="1">
                  <c:v>2012</c:v>
                </c:pt>
                <c:pt idx="2">
                  <c:v>2013</c:v>
                </c:pt>
                <c:pt idx="3">
                  <c:v>2014</c:v>
                </c:pt>
                <c:pt idx="4">
                  <c:v>2015</c:v>
                </c:pt>
                <c:pt idx="5">
                  <c:v>2016</c:v>
                </c:pt>
                <c:pt idx="6">
                  <c:v>2017</c:v>
                </c:pt>
                <c:pt idx="7">
                  <c:v>2018</c:v>
                </c:pt>
                <c:pt idx="8">
                  <c:v>2019</c:v>
                </c:pt>
                <c:pt idx="9">
                  <c:v>2020</c:v>
                </c:pt>
              </c:numCache>
            </c:numRef>
          </c:cat>
          <c:val>
            <c:numRef>
              <c:f>'stavy skot'!$C$15:$L$15</c:f>
              <c:numCache>
                <c:formatCode>#\ ##0.0</c:formatCode>
                <c:ptCount val="10"/>
                <c:pt idx="0">
                  <c:v>100</c:v>
                </c:pt>
                <c:pt idx="1">
                  <c:v>99.809809649150978</c:v>
                </c:pt>
                <c:pt idx="2">
                  <c:v>98.258059683925566</c:v>
                </c:pt>
                <c:pt idx="3">
                  <c:v>99.686226045645682</c:v>
                </c:pt>
                <c:pt idx="4">
                  <c:v>100.60614815052591</c:v>
                </c:pt>
                <c:pt idx="5">
                  <c:v>99.655196396280715</c:v>
                </c:pt>
                <c:pt idx="6">
                  <c:v>98.922254678522151</c:v>
                </c:pt>
                <c:pt idx="7">
                  <c:v>97.749280433131119</c:v>
                </c:pt>
                <c:pt idx="8">
                  <c:v>97.427214072480993</c:v>
                </c:pt>
                <c:pt idx="9">
                  <c:v>96.259589766635671</c:v>
                </c:pt>
              </c:numCache>
            </c:numRef>
          </c:val>
          <c:smooth val="0"/>
          <c:extLst>
            <c:ext xmlns:c16="http://schemas.microsoft.com/office/drawing/2014/chart" uri="{C3380CC4-5D6E-409C-BE32-E72D297353CC}">
              <c16:uniqueId val="{00000006-7F96-EE43-ACBF-C5A2D77D6574}"/>
            </c:ext>
          </c:extLst>
        </c:ser>
        <c:dLbls>
          <c:showLegendKey val="0"/>
          <c:showVal val="0"/>
          <c:showCatName val="0"/>
          <c:showSerName val="0"/>
          <c:showPercent val="0"/>
          <c:showBubbleSize val="0"/>
        </c:dLbls>
        <c:marker val="1"/>
        <c:smooth val="0"/>
        <c:axId val="978696208"/>
        <c:axId val="1073325984"/>
      </c:lineChart>
      <c:catAx>
        <c:axId val="978696208"/>
        <c:scaling>
          <c:orientation val="minMax"/>
        </c:scaling>
        <c:delete val="0"/>
        <c:axPos val="b"/>
        <c:numFmt formatCode="General" sourceLinked="1"/>
        <c:majorTickMark val="none"/>
        <c:minorTickMark val="none"/>
        <c:tickLblPos val="nextTo"/>
        <c:spPr>
          <a:noFill/>
          <a:ln w="9525" cap="flat" cmpd="sng" algn="ctr">
            <a:solidFill>
              <a:schemeClr val="tx1">
                <a:lumMod val="50000"/>
                <a:lumOff val="50000"/>
              </a:schemeClr>
            </a:solidFill>
            <a:round/>
          </a:ln>
          <a:effectLst/>
        </c:spPr>
        <c:txPr>
          <a:bodyPr rot="-60000000" spcFirstLastPara="1" vertOverflow="ellipsis" vert="horz" wrap="square" anchor="ctr" anchorCtr="1"/>
          <a:lstStyle/>
          <a:p>
            <a:pPr>
              <a:defRPr sz="1050" b="1" i="0" u="none" strike="noStrike" kern="1200" baseline="0">
                <a:solidFill>
                  <a:schemeClr val="tx1">
                    <a:lumMod val="65000"/>
                    <a:lumOff val="35000"/>
                  </a:schemeClr>
                </a:solidFill>
                <a:latin typeface="+mn-lt"/>
                <a:ea typeface="+mn-ea"/>
                <a:cs typeface="+mn-cs"/>
              </a:defRPr>
            </a:pPr>
            <a:endParaRPr lang="cs-CZ"/>
          </a:p>
        </c:txPr>
        <c:crossAx val="1073325984"/>
        <c:crosses val="autoZero"/>
        <c:auto val="1"/>
        <c:lblAlgn val="ctr"/>
        <c:lblOffset val="100"/>
        <c:noMultiLvlLbl val="0"/>
      </c:catAx>
      <c:valAx>
        <c:axId val="1073325984"/>
        <c:scaling>
          <c:orientation val="minMax"/>
          <c:min val="90"/>
        </c:scaling>
        <c:delete val="0"/>
        <c:axPos val="l"/>
        <c:majorGridlines>
          <c:spPr>
            <a:ln w="9525" cap="flat" cmpd="sng" algn="ctr">
              <a:solidFill>
                <a:schemeClr val="bg1">
                  <a:lumMod val="7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v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 sourceLinked="0"/>
        <c:majorTickMark val="none"/>
        <c:minorTickMark val="none"/>
        <c:tickLblPos val="nextTo"/>
        <c:spPr>
          <a:noFill/>
          <a:ln>
            <a:solidFill>
              <a:schemeClr val="tx1">
                <a:lumMod val="50000"/>
                <a:lumOff val="50000"/>
              </a:schemeClr>
            </a:solid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cs-CZ"/>
          </a:p>
        </c:txPr>
        <c:crossAx val="978696208"/>
        <c:crosses val="autoZero"/>
        <c:crossBetween val="between"/>
      </c:valAx>
      <c:spPr>
        <a:noFill/>
        <a:ln>
          <a:noFill/>
        </a:ln>
        <a:effectLst/>
      </c:spPr>
    </c:plotArea>
    <c:legend>
      <c:legendPos val="b"/>
      <c:legendEntry>
        <c:idx val="2"/>
        <c:delete val="1"/>
      </c:legendEntry>
      <c:layout>
        <c:manualLayout>
          <c:xMode val="edge"/>
          <c:yMode val="edge"/>
          <c:x val="0.13782934714080675"/>
          <c:y val="0.9089547537901046"/>
          <c:w val="0.67436969867693275"/>
          <c:h val="6.7164649194970033E-2"/>
        </c:manualLayout>
      </c:layout>
      <c:overlay val="0"/>
      <c:spPr>
        <a:solidFill>
          <a:schemeClr val="bg1">
            <a:lumMod val="95000"/>
          </a:schemeClr>
        </a:solid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50000"/>
          <a:lumOff val="50000"/>
        </a:schemeClr>
      </a:solidFill>
      <a:round/>
    </a:ln>
    <a:effectLst/>
  </c:spPr>
  <c:txPr>
    <a:bodyPr/>
    <a:lstStyle/>
    <a:p>
      <a:pPr>
        <a:defRPr/>
      </a:pPr>
      <a:endParaRPr lang="cs-CZ"/>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solidFill>
                <a:latin typeface="+mn-lt"/>
                <a:ea typeface="+mn-ea"/>
                <a:cs typeface="+mn-cs"/>
              </a:defRPr>
            </a:pPr>
            <a:r>
              <a:rPr lang="cs-CZ" sz="1050">
                <a:solidFill>
                  <a:schemeClr val="tx1"/>
                </a:solidFill>
              </a:rPr>
              <a:t>Finanční saldo</a:t>
            </a:r>
            <a:r>
              <a:rPr lang="cs-CZ" sz="1050" baseline="0">
                <a:solidFill>
                  <a:schemeClr val="tx1"/>
                </a:solidFill>
              </a:rPr>
              <a:t>  hovězího masa se od roku 2013 zhoršuje</a:t>
            </a:r>
            <a:endParaRPr lang="cs-CZ" sz="1050">
              <a:solidFill>
                <a:schemeClr val="tx1"/>
              </a:solidFill>
            </a:endParaRPr>
          </a:p>
        </c:rich>
      </c:tx>
      <c:layout>
        <c:manualLayout>
          <c:xMode val="edge"/>
          <c:yMode val="edge"/>
          <c:x val="0.11613001241437984"/>
          <c:y val="2.2944550669216062E-2"/>
        </c:manualLayout>
      </c:layout>
      <c:overlay val="0"/>
      <c:spPr>
        <a:solidFill>
          <a:schemeClr val="bg1"/>
        </a:solidFill>
        <a:ln>
          <a:solidFill>
            <a:schemeClr val="bg1">
              <a:lumMod val="65000"/>
            </a:schemeClr>
          </a:solidFill>
        </a:ln>
        <a:effectLst/>
      </c:spPr>
      <c:txPr>
        <a:bodyPr rot="0" spcFirstLastPara="1" vertOverflow="ellipsis" vert="horz" wrap="square" anchor="ctr" anchorCtr="1"/>
        <a:lstStyle/>
        <a:p>
          <a:pPr>
            <a:defRPr sz="1050" b="0" i="0" u="none" strike="noStrike" kern="1200" spc="0" baseline="0">
              <a:solidFill>
                <a:schemeClr val="tx1"/>
              </a:solidFill>
              <a:latin typeface="+mn-lt"/>
              <a:ea typeface="+mn-ea"/>
              <a:cs typeface="+mn-cs"/>
            </a:defRPr>
          </a:pPr>
          <a:endParaRPr lang="cs-CZ"/>
        </a:p>
      </c:txPr>
    </c:title>
    <c:autoTitleDeleted val="0"/>
    <c:plotArea>
      <c:layout>
        <c:manualLayout>
          <c:layoutTarget val="inner"/>
          <c:xMode val="edge"/>
          <c:yMode val="edge"/>
          <c:x val="0.11590724808792506"/>
          <c:y val="5.7567937850980862E-2"/>
          <c:w val="0.85548019368866024"/>
          <c:h val="0.7620556157006273"/>
        </c:manualLayout>
      </c:layout>
      <c:barChart>
        <c:barDir val="col"/>
        <c:grouping val="stacked"/>
        <c:varyColors val="0"/>
        <c:ser>
          <c:idx val="0"/>
          <c:order val="0"/>
          <c:tx>
            <c:strRef>
              <c:f>'ZO_201_202 (2)'!$C$82</c:f>
              <c:strCache>
                <c:ptCount val="1"/>
                <c:pt idx="0">
                  <c:v>saldo hovězí maso</c:v>
                </c:pt>
              </c:strCache>
            </c:strRef>
          </c:tx>
          <c:spPr>
            <a:solidFill>
              <a:srgbClr val="FF6600"/>
            </a:solidFill>
            <a:ln>
              <a:noFill/>
            </a:ln>
            <a:effectLst/>
          </c:spPr>
          <c:invertIfNegative val="0"/>
          <c:dLbls>
            <c:dLbl>
              <c:idx val="0"/>
              <c:layout>
                <c:manualLayout>
                  <c:x val="0"/>
                  <c:y val="-0.1108986615678776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302-7246-B49A-4E3B6A06D93A}"/>
                </c:ext>
              </c:extLst>
            </c:dLbl>
            <c:dLbl>
              <c:idx val="1"/>
              <c:delete val="1"/>
              <c:extLst>
                <c:ext xmlns:c15="http://schemas.microsoft.com/office/drawing/2012/chart" uri="{CE6537A1-D6FC-4f65-9D91-7224C49458BB}"/>
                <c:ext xmlns:c16="http://schemas.microsoft.com/office/drawing/2014/chart" uri="{C3380CC4-5D6E-409C-BE32-E72D297353CC}">
                  <c16:uniqueId val="{00000001-3302-7246-B49A-4E3B6A06D93A}"/>
                </c:ext>
              </c:extLst>
            </c:dLbl>
            <c:dLbl>
              <c:idx val="2"/>
              <c:delete val="1"/>
              <c:extLst>
                <c:ext xmlns:c15="http://schemas.microsoft.com/office/drawing/2012/chart" uri="{CE6537A1-D6FC-4f65-9D91-7224C49458BB}"/>
                <c:ext xmlns:c16="http://schemas.microsoft.com/office/drawing/2014/chart" uri="{C3380CC4-5D6E-409C-BE32-E72D297353CC}">
                  <c16:uniqueId val="{00000002-3302-7246-B49A-4E3B6A06D93A}"/>
                </c:ext>
              </c:extLst>
            </c:dLbl>
            <c:dLbl>
              <c:idx val="3"/>
              <c:delete val="1"/>
              <c:extLst>
                <c:ext xmlns:c15="http://schemas.microsoft.com/office/drawing/2012/chart" uri="{CE6537A1-D6FC-4f65-9D91-7224C49458BB}"/>
                <c:ext xmlns:c16="http://schemas.microsoft.com/office/drawing/2014/chart" uri="{C3380CC4-5D6E-409C-BE32-E72D297353CC}">
                  <c16:uniqueId val="{00000003-3302-7246-B49A-4E3B6A06D93A}"/>
                </c:ext>
              </c:extLst>
            </c:dLbl>
            <c:dLbl>
              <c:idx val="4"/>
              <c:delete val="1"/>
              <c:extLst>
                <c:ext xmlns:c15="http://schemas.microsoft.com/office/drawing/2012/chart" uri="{CE6537A1-D6FC-4f65-9D91-7224C49458BB}"/>
                <c:ext xmlns:c16="http://schemas.microsoft.com/office/drawing/2014/chart" uri="{C3380CC4-5D6E-409C-BE32-E72D297353CC}">
                  <c16:uniqueId val="{00000004-3302-7246-B49A-4E3B6A06D93A}"/>
                </c:ext>
              </c:extLst>
            </c:dLbl>
            <c:dLbl>
              <c:idx val="5"/>
              <c:delete val="1"/>
              <c:extLst>
                <c:ext xmlns:c15="http://schemas.microsoft.com/office/drawing/2012/chart" uri="{CE6537A1-D6FC-4f65-9D91-7224C49458BB}"/>
                <c:ext xmlns:c16="http://schemas.microsoft.com/office/drawing/2014/chart" uri="{C3380CC4-5D6E-409C-BE32-E72D297353CC}">
                  <c16:uniqueId val="{00000005-3302-7246-B49A-4E3B6A06D93A}"/>
                </c:ext>
              </c:extLst>
            </c:dLbl>
            <c:dLbl>
              <c:idx val="6"/>
              <c:layout>
                <c:manualLayout>
                  <c:x val="0"/>
                  <c:y val="-0.1567877629063097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302-7246-B49A-4E3B6A06D93A}"/>
                </c:ext>
              </c:extLst>
            </c:dLbl>
            <c:dLbl>
              <c:idx val="7"/>
              <c:delete val="1"/>
              <c:extLst>
                <c:ext xmlns:c15="http://schemas.microsoft.com/office/drawing/2012/chart" uri="{CE6537A1-D6FC-4f65-9D91-7224C49458BB}"/>
                <c:ext xmlns:c16="http://schemas.microsoft.com/office/drawing/2014/chart" uri="{C3380CC4-5D6E-409C-BE32-E72D297353CC}">
                  <c16:uniqueId val="{00000007-3302-7246-B49A-4E3B6A06D93A}"/>
                </c:ext>
              </c:extLst>
            </c:dLbl>
            <c:dLbl>
              <c:idx val="8"/>
              <c:delete val="1"/>
              <c:extLst>
                <c:ext xmlns:c15="http://schemas.microsoft.com/office/drawing/2012/chart" uri="{CE6537A1-D6FC-4f65-9D91-7224C49458BB}"/>
                <c:ext xmlns:c16="http://schemas.microsoft.com/office/drawing/2014/chart" uri="{C3380CC4-5D6E-409C-BE32-E72D297353CC}">
                  <c16:uniqueId val="{00000008-3302-7246-B49A-4E3B6A06D93A}"/>
                </c:ext>
              </c:extLst>
            </c:dLbl>
            <c:dLbl>
              <c:idx val="9"/>
              <c:layout>
                <c:manualLayout>
                  <c:x val="6.6152149944871588E-3"/>
                  <c:y val="-0.1606118546845124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302-7246-B49A-4E3B6A06D93A}"/>
                </c:ext>
              </c:extLst>
            </c:dLbl>
            <c:spPr>
              <a:noFill/>
              <a:ln>
                <a:solidFill>
                  <a:schemeClr val="bg1">
                    <a:lumMod val="50000"/>
                  </a:schemeClr>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'ZO_201_202 (2)'!$B$83:$B$92</c:f>
              <c:strCache>
                <c:ptCount val="10"/>
                <c:pt idx="0">
                  <c:v>2011</c:v>
                </c:pt>
                <c:pt idx="1">
                  <c:v>2012</c:v>
                </c:pt>
                <c:pt idx="2">
                  <c:v>2013</c:v>
                </c:pt>
                <c:pt idx="3">
                  <c:v>2014</c:v>
                </c:pt>
                <c:pt idx="4">
                  <c:v>2015</c:v>
                </c:pt>
                <c:pt idx="5">
                  <c:v>2016</c:v>
                </c:pt>
                <c:pt idx="6">
                  <c:v>2017</c:v>
                </c:pt>
                <c:pt idx="7">
                  <c:v>2018</c:v>
                </c:pt>
                <c:pt idx="8">
                  <c:v>2019</c:v>
                </c:pt>
                <c:pt idx="9">
                  <c:v>2020</c:v>
                </c:pt>
              </c:strCache>
            </c:strRef>
          </c:cat>
          <c:val>
            <c:numRef>
              <c:f>'ZO_201_202 (2)'!$C$83:$C$92</c:f>
              <c:numCache>
                <c:formatCode>#\ ##0.0</c:formatCode>
                <c:ptCount val="10"/>
                <c:pt idx="0">
                  <c:v>-1427.1426619999997</c:v>
                </c:pt>
                <c:pt idx="1">
                  <c:v>-1380.2509110000001</c:v>
                </c:pt>
                <c:pt idx="2">
                  <c:v>-1643.8316829999999</c:v>
                </c:pt>
                <c:pt idx="3">
                  <c:v>-2036.7950510000001</c:v>
                </c:pt>
                <c:pt idx="4">
                  <c:v>-2137.4341140000001</c:v>
                </c:pt>
                <c:pt idx="5">
                  <c:v>-2595.9303930000001</c:v>
                </c:pt>
                <c:pt idx="6">
                  <c:v>-3238.4799499999999</c:v>
                </c:pt>
                <c:pt idx="7">
                  <c:v>-3376.1013550000007</c:v>
                </c:pt>
                <c:pt idx="8">
                  <c:v>-3420.3980879999999</c:v>
                </c:pt>
                <c:pt idx="9">
                  <c:v>-2810.5963599999995</c:v>
                </c:pt>
              </c:numCache>
            </c:numRef>
          </c:val>
          <c:extLst>
            <c:ext xmlns:c16="http://schemas.microsoft.com/office/drawing/2014/chart" uri="{C3380CC4-5D6E-409C-BE32-E72D297353CC}">
              <c16:uniqueId val="{0000000A-3302-7246-B49A-4E3B6A06D93A}"/>
            </c:ext>
          </c:extLst>
        </c:ser>
        <c:ser>
          <c:idx val="1"/>
          <c:order val="1"/>
          <c:tx>
            <c:strRef>
              <c:f>'ZO_201_202 (2)'!$D$82</c:f>
              <c:strCache>
                <c:ptCount val="1"/>
                <c:pt idx="0">
                  <c:v>saldo živý skot</c:v>
                </c:pt>
              </c:strCache>
            </c:strRef>
          </c:tx>
          <c:spPr>
            <a:solidFill>
              <a:srgbClr val="92D050"/>
            </a:solidFill>
            <a:ln>
              <a:noFill/>
            </a:ln>
            <a:effectLst/>
          </c:spPr>
          <c:invertIfNegative val="0"/>
          <c:dLbls>
            <c:dLbl>
              <c:idx val="0"/>
              <c:layout>
                <c:manualLayout>
                  <c:x val="-2.0212923426183892E-17"/>
                  <c:y val="-0.1606118546845124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302-7246-B49A-4E3B6A06D93A}"/>
                </c:ext>
              </c:extLst>
            </c:dLbl>
            <c:dLbl>
              <c:idx val="1"/>
              <c:delete val="1"/>
              <c:extLst>
                <c:ext xmlns:c15="http://schemas.microsoft.com/office/drawing/2012/chart" uri="{CE6537A1-D6FC-4f65-9D91-7224C49458BB}"/>
                <c:ext xmlns:c16="http://schemas.microsoft.com/office/drawing/2014/chart" uri="{C3380CC4-5D6E-409C-BE32-E72D297353CC}">
                  <c16:uniqueId val="{0000000C-3302-7246-B49A-4E3B6A06D93A}"/>
                </c:ext>
              </c:extLst>
            </c:dLbl>
            <c:dLbl>
              <c:idx val="2"/>
              <c:delete val="1"/>
              <c:extLst>
                <c:ext xmlns:c15="http://schemas.microsoft.com/office/drawing/2012/chart" uri="{CE6537A1-D6FC-4f65-9D91-7224C49458BB}"/>
                <c:ext xmlns:c16="http://schemas.microsoft.com/office/drawing/2014/chart" uri="{C3380CC4-5D6E-409C-BE32-E72D297353CC}">
                  <c16:uniqueId val="{0000000D-3302-7246-B49A-4E3B6A06D93A}"/>
                </c:ext>
              </c:extLst>
            </c:dLbl>
            <c:dLbl>
              <c:idx val="3"/>
              <c:delete val="1"/>
              <c:extLst>
                <c:ext xmlns:c15="http://schemas.microsoft.com/office/drawing/2012/chart" uri="{CE6537A1-D6FC-4f65-9D91-7224C49458BB}"/>
                <c:ext xmlns:c16="http://schemas.microsoft.com/office/drawing/2014/chart" uri="{C3380CC4-5D6E-409C-BE32-E72D297353CC}">
                  <c16:uniqueId val="{0000000E-3302-7246-B49A-4E3B6A06D93A}"/>
                </c:ext>
              </c:extLst>
            </c:dLbl>
            <c:dLbl>
              <c:idx val="4"/>
              <c:delete val="1"/>
              <c:extLst>
                <c:ext xmlns:c15="http://schemas.microsoft.com/office/drawing/2012/chart" uri="{CE6537A1-D6FC-4f65-9D91-7224C49458BB}"/>
                <c:ext xmlns:c16="http://schemas.microsoft.com/office/drawing/2014/chart" uri="{C3380CC4-5D6E-409C-BE32-E72D297353CC}">
                  <c16:uniqueId val="{0000000F-3302-7246-B49A-4E3B6A06D93A}"/>
                </c:ext>
              </c:extLst>
            </c:dLbl>
            <c:dLbl>
              <c:idx val="5"/>
              <c:delete val="1"/>
              <c:extLst>
                <c:ext xmlns:c15="http://schemas.microsoft.com/office/drawing/2012/chart" uri="{CE6537A1-D6FC-4f65-9D91-7224C49458BB}"/>
                <c:ext xmlns:c16="http://schemas.microsoft.com/office/drawing/2014/chart" uri="{C3380CC4-5D6E-409C-BE32-E72D297353CC}">
                  <c16:uniqueId val="{00000010-3302-7246-B49A-4E3B6A06D93A}"/>
                </c:ext>
              </c:extLst>
            </c:dLbl>
            <c:dLbl>
              <c:idx val="6"/>
              <c:layout>
                <c:manualLayout>
                  <c:x val="2.2050716648290988E-2"/>
                  <c:y val="-0.2370936902485659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3302-7246-B49A-4E3B6A06D93A}"/>
                </c:ext>
              </c:extLst>
            </c:dLbl>
            <c:dLbl>
              <c:idx val="7"/>
              <c:delete val="1"/>
              <c:extLst>
                <c:ext xmlns:c15="http://schemas.microsoft.com/office/drawing/2012/chart" uri="{CE6537A1-D6FC-4f65-9D91-7224C49458BB}"/>
                <c:ext xmlns:c16="http://schemas.microsoft.com/office/drawing/2014/chart" uri="{C3380CC4-5D6E-409C-BE32-E72D297353CC}">
                  <c16:uniqueId val="{00000012-3302-7246-B49A-4E3B6A06D93A}"/>
                </c:ext>
              </c:extLst>
            </c:dLbl>
            <c:dLbl>
              <c:idx val="8"/>
              <c:delete val="1"/>
              <c:extLst>
                <c:ext xmlns:c15="http://schemas.microsoft.com/office/drawing/2012/chart" uri="{CE6537A1-D6FC-4f65-9D91-7224C49458BB}"/>
                <c:ext xmlns:c16="http://schemas.microsoft.com/office/drawing/2014/chart" uri="{C3380CC4-5D6E-409C-BE32-E72D297353CC}">
                  <c16:uniqueId val="{00000013-3302-7246-B49A-4E3B6A06D93A}"/>
                </c:ext>
              </c:extLst>
            </c:dLbl>
            <c:dLbl>
              <c:idx val="9"/>
              <c:layout>
                <c:manualLayout>
                  <c:x val="-2.205071664829107E-3"/>
                  <c:y val="-0.23709369024856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3302-7246-B49A-4E3B6A06D93A}"/>
                </c:ext>
              </c:extLst>
            </c:dLbl>
            <c:spPr>
              <a:noFill/>
              <a:ln>
                <a:solidFill>
                  <a:schemeClr val="tx1">
                    <a:lumMod val="50000"/>
                    <a:lumOff val="50000"/>
                  </a:schemeClr>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'ZO_201_202 (2)'!$B$83:$B$92</c:f>
              <c:strCache>
                <c:ptCount val="10"/>
                <c:pt idx="0">
                  <c:v>2011</c:v>
                </c:pt>
                <c:pt idx="1">
                  <c:v>2012</c:v>
                </c:pt>
                <c:pt idx="2">
                  <c:v>2013</c:v>
                </c:pt>
                <c:pt idx="3">
                  <c:v>2014</c:v>
                </c:pt>
                <c:pt idx="4">
                  <c:v>2015</c:v>
                </c:pt>
                <c:pt idx="5">
                  <c:v>2016</c:v>
                </c:pt>
                <c:pt idx="6">
                  <c:v>2017</c:v>
                </c:pt>
                <c:pt idx="7">
                  <c:v>2018</c:v>
                </c:pt>
                <c:pt idx="8">
                  <c:v>2019</c:v>
                </c:pt>
                <c:pt idx="9">
                  <c:v>2020</c:v>
                </c:pt>
              </c:strCache>
            </c:strRef>
          </c:cat>
          <c:val>
            <c:numRef>
              <c:f>'ZO_201_202 (2)'!$D$83:$D$92</c:f>
              <c:numCache>
                <c:formatCode>#\ ##0.0</c:formatCode>
                <c:ptCount val="10"/>
                <c:pt idx="0">
                  <c:v>2855.5226669999997</c:v>
                </c:pt>
                <c:pt idx="1">
                  <c:v>3809.2843440000001</c:v>
                </c:pt>
                <c:pt idx="2">
                  <c:v>3794.9255810000004</c:v>
                </c:pt>
                <c:pt idx="3">
                  <c:v>4006.623634</c:v>
                </c:pt>
                <c:pt idx="4">
                  <c:v>4691.2795240000005</c:v>
                </c:pt>
                <c:pt idx="5">
                  <c:v>4916.0023290000008</c:v>
                </c:pt>
                <c:pt idx="6">
                  <c:v>4968.2085770000003</c:v>
                </c:pt>
                <c:pt idx="7">
                  <c:v>4663.7601570000006</c:v>
                </c:pt>
                <c:pt idx="8">
                  <c:v>4717.3103149999997</c:v>
                </c:pt>
                <c:pt idx="9">
                  <c:v>4801.050706</c:v>
                </c:pt>
              </c:numCache>
            </c:numRef>
          </c:val>
          <c:extLst>
            <c:ext xmlns:c16="http://schemas.microsoft.com/office/drawing/2014/chart" uri="{C3380CC4-5D6E-409C-BE32-E72D297353CC}">
              <c16:uniqueId val="{00000015-3302-7246-B49A-4E3B6A06D93A}"/>
            </c:ext>
          </c:extLst>
        </c:ser>
        <c:dLbls>
          <c:showLegendKey val="0"/>
          <c:showVal val="0"/>
          <c:showCatName val="0"/>
          <c:showSerName val="0"/>
          <c:showPercent val="0"/>
          <c:showBubbleSize val="0"/>
        </c:dLbls>
        <c:gapWidth val="150"/>
        <c:overlap val="100"/>
        <c:axId val="1062975840"/>
        <c:axId val="1129729952"/>
      </c:barChart>
      <c:lineChart>
        <c:grouping val="standard"/>
        <c:varyColors val="0"/>
        <c:ser>
          <c:idx val="2"/>
          <c:order val="2"/>
          <c:tx>
            <c:strRef>
              <c:f>'ZO_201_202 (2)'!$E$82</c:f>
              <c:strCache>
                <c:ptCount val="1"/>
                <c:pt idx="0">
                  <c:v>saldo celkem</c:v>
                </c:pt>
              </c:strCache>
            </c:strRef>
          </c:tx>
          <c:spPr>
            <a:ln w="28575" cap="rnd">
              <a:solidFill>
                <a:schemeClr val="bg1">
                  <a:lumMod val="50000"/>
                </a:schemeClr>
              </a:solidFill>
              <a:round/>
            </a:ln>
            <a:effectLst/>
          </c:spPr>
          <c:marker>
            <c:symbol val="circle"/>
            <c:size val="7"/>
            <c:spPr>
              <a:solidFill>
                <a:srgbClr val="FFFF00"/>
              </a:solidFill>
              <a:ln w="19050">
                <a:solidFill>
                  <a:schemeClr val="bg1">
                    <a:lumMod val="50000"/>
                  </a:schemeClr>
                </a:solidFill>
              </a:ln>
              <a:effectLst/>
            </c:spPr>
          </c:marker>
          <c:cat>
            <c:strRef>
              <c:f>'ZO_201_202 (2)'!$B$83:$B$92</c:f>
              <c:strCache>
                <c:ptCount val="10"/>
                <c:pt idx="0">
                  <c:v>2011</c:v>
                </c:pt>
                <c:pt idx="1">
                  <c:v>2012</c:v>
                </c:pt>
                <c:pt idx="2">
                  <c:v>2013</c:v>
                </c:pt>
                <c:pt idx="3">
                  <c:v>2014</c:v>
                </c:pt>
                <c:pt idx="4">
                  <c:v>2015</c:v>
                </c:pt>
                <c:pt idx="5">
                  <c:v>2016</c:v>
                </c:pt>
                <c:pt idx="6">
                  <c:v>2017</c:v>
                </c:pt>
                <c:pt idx="7">
                  <c:v>2018</c:v>
                </c:pt>
                <c:pt idx="8">
                  <c:v>2019</c:v>
                </c:pt>
                <c:pt idx="9">
                  <c:v>2020</c:v>
                </c:pt>
              </c:strCache>
            </c:strRef>
          </c:cat>
          <c:val>
            <c:numRef>
              <c:f>'ZO_201_202 (2)'!$E$83:$E$92</c:f>
              <c:numCache>
                <c:formatCode>#\ ##0.0</c:formatCode>
                <c:ptCount val="10"/>
                <c:pt idx="0">
                  <c:v>1428.380005</c:v>
                </c:pt>
                <c:pt idx="1">
                  <c:v>2429.0334330000001</c:v>
                </c:pt>
                <c:pt idx="2">
                  <c:v>2151.0938980000005</c:v>
                </c:pt>
                <c:pt idx="3">
                  <c:v>1969.828583</c:v>
                </c:pt>
                <c:pt idx="4">
                  <c:v>2553.8454100000004</c:v>
                </c:pt>
                <c:pt idx="5">
                  <c:v>2320.0719360000007</c:v>
                </c:pt>
                <c:pt idx="6">
                  <c:v>1729.7286270000004</c:v>
                </c:pt>
                <c:pt idx="7">
                  <c:v>1287.6588019999999</c:v>
                </c:pt>
                <c:pt idx="8">
                  <c:v>1296.9122269999998</c:v>
                </c:pt>
                <c:pt idx="9">
                  <c:v>1990.4543460000004</c:v>
                </c:pt>
              </c:numCache>
            </c:numRef>
          </c:val>
          <c:smooth val="0"/>
          <c:extLst>
            <c:ext xmlns:c16="http://schemas.microsoft.com/office/drawing/2014/chart" uri="{C3380CC4-5D6E-409C-BE32-E72D297353CC}">
              <c16:uniqueId val="{00000016-3302-7246-B49A-4E3B6A06D93A}"/>
            </c:ext>
          </c:extLst>
        </c:ser>
        <c:dLbls>
          <c:showLegendKey val="0"/>
          <c:showVal val="0"/>
          <c:showCatName val="0"/>
          <c:showSerName val="0"/>
          <c:showPercent val="0"/>
          <c:showBubbleSize val="0"/>
        </c:dLbls>
        <c:marker val="1"/>
        <c:smooth val="0"/>
        <c:axId val="1062975840"/>
        <c:axId val="1129729952"/>
      </c:lineChart>
      <c:catAx>
        <c:axId val="1062975840"/>
        <c:scaling>
          <c:orientation val="minMax"/>
        </c:scaling>
        <c:delete val="0"/>
        <c:axPos val="b"/>
        <c:numFmt formatCode="General" sourceLinked="1"/>
        <c:majorTickMark val="none"/>
        <c:minorTickMark val="none"/>
        <c:tickLblPos val="low"/>
        <c:spPr>
          <a:noFill/>
          <a:ln w="9525" cap="flat" cmpd="sng" algn="ctr">
            <a:solidFill>
              <a:schemeClr val="tx1">
                <a:lumMod val="50000"/>
                <a:lumOff val="50000"/>
              </a:schemeClr>
            </a:solidFill>
            <a:round/>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cs-CZ"/>
          </a:p>
        </c:txPr>
        <c:crossAx val="1129729952"/>
        <c:crosses val="autoZero"/>
        <c:auto val="1"/>
        <c:lblAlgn val="ctr"/>
        <c:lblOffset val="100"/>
        <c:noMultiLvlLbl val="0"/>
      </c:catAx>
      <c:valAx>
        <c:axId val="1129729952"/>
        <c:scaling>
          <c:orientation val="minMax"/>
        </c:scaling>
        <c:delete val="0"/>
        <c:axPos val="l"/>
        <c:majorGridlines>
          <c:spPr>
            <a:ln w="9525" cap="flat" cmpd="sng" algn="ctr">
              <a:solidFill>
                <a:schemeClr val="bg1">
                  <a:lumMod val="7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en-US" b="1">
                    <a:solidFill>
                      <a:schemeClr val="tx1"/>
                    </a:solidFill>
                  </a:rPr>
                  <a:t>mil. Kč</a:t>
                </a:r>
              </a:p>
            </c:rich>
          </c:tx>
          <c:layout>
            <c:manualLayout>
              <c:xMode val="edge"/>
              <c:yMode val="edge"/>
              <c:x val="6.6006600660066007E-3"/>
              <c:y val="0.37604911762974214"/>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endParaRPr lang="cs-CZ"/>
            </a:p>
          </c:txPr>
        </c:title>
        <c:numFmt formatCode="#\ ##0.0" sourceLinked="1"/>
        <c:majorTickMark val="none"/>
        <c:minorTickMark val="none"/>
        <c:tickLblPos val="nextTo"/>
        <c:spPr>
          <a:noFill/>
          <a:ln>
            <a:solidFill>
              <a:schemeClr val="bg1">
                <a:lumMod val="50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0629758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50000"/>
          <a:lumOff val="50000"/>
        </a:schemeClr>
      </a:solidFill>
      <a:round/>
    </a:ln>
    <a:effectLst/>
  </c:spPr>
  <c:txPr>
    <a:bodyPr/>
    <a:lstStyle/>
    <a:p>
      <a:pPr>
        <a:defRPr/>
      </a:pPr>
      <a:endParaRPr lang="cs-CZ"/>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2193872678814792E-2"/>
          <c:y val="3.5892786129006593E-2"/>
          <c:w val="0.90711317920982037"/>
          <c:h val="0.75152208790802555"/>
        </c:manualLayout>
      </c:layout>
      <c:barChart>
        <c:barDir val="col"/>
        <c:grouping val="stacked"/>
        <c:varyColors val="0"/>
        <c:ser>
          <c:idx val="0"/>
          <c:order val="0"/>
          <c:tx>
            <c:strRef>
              <c:f>Data!$E$553</c:f>
              <c:strCache>
                <c:ptCount val="1"/>
                <c:pt idx="0">
                  <c:v>Účetní náklady</c:v>
                </c:pt>
              </c:strCache>
            </c:strRef>
          </c:tx>
          <c:spPr>
            <a:solidFill>
              <a:srgbClr val="333399"/>
            </a:solidFill>
            <a:ln w="25400">
              <a:noFill/>
            </a:ln>
          </c:spPr>
          <c:invertIfNegative val="0"/>
          <c:cat>
            <c:strRef>
              <c:f>Data!$F$5:$IZ$5</c:f>
              <c:strCache>
                <c:ptCount val="36"/>
                <c:pt idx="0">
                  <c:v>AT_30_25</c:v>
                </c:pt>
                <c:pt idx="1">
                  <c:v>AT_0_35</c:v>
                </c:pt>
                <c:pt idx="2">
                  <c:v>AT_0_120</c:v>
                </c:pt>
                <c:pt idx="3">
                  <c:v>AT_0_175T</c:v>
                </c:pt>
                <c:pt idx="5">
                  <c:v>DE_0_260</c:v>
                </c:pt>
                <c:pt idx="6">
                  <c:v>DE_0_280</c:v>
                </c:pt>
                <c:pt idx="7">
                  <c:v>DE_0_285</c:v>
                </c:pt>
                <c:pt idx="8">
                  <c:v>DE_0_380</c:v>
                </c:pt>
                <c:pt idx="9">
                  <c:v>DE_0_525T</c:v>
                </c:pt>
                <c:pt idx="10">
                  <c:v>DE_0_560</c:v>
                </c:pt>
                <c:pt idx="12">
                  <c:v>FR_80A_70</c:v>
                </c:pt>
                <c:pt idx="13">
                  <c:v>FR_80B_60</c:v>
                </c:pt>
                <c:pt idx="14">
                  <c:v>FR_0_200</c:v>
                </c:pt>
                <c:pt idx="16">
                  <c:v>ES_0_430</c:v>
                </c:pt>
                <c:pt idx="17">
                  <c:v>ES_180_490</c:v>
                </c:pt>
                <c:pt idx="18">
                  <c:v>ES_0_820</c:v>
                </c:pt>
                <c:pt idx="19">
                  <c:v>ES_0_7300</c:v>
                </c:pt>
                <c:pt idx="21">
                  <c:v>IT_0_910</c:v>
                </c:pt>
                <c:pt idx="22">
                  <c:v>IT_0_2660T</c:v>
                </c:pt>
                <c:pt idx="24">
                  <c:v>UK_100_80</c:v>
                </c:pt>
                <c:pt idx="25">
                  <c:v>UK_0_90</c:v>
                </c:pt>
                <c:pt idx="26">
                  <c:v>UK_0_750</c:v>
                </c:pt>
                <c:pt idx="28">
                  <c:v>IE_35_30</c:v>
                </c:pt>
                <c:pt idx="29">
                  <c:v>IE_0_40</c:v>
                </c:pt>
                <c:pt idx="30">
                  <c:v>IE_85_200T</c:v>
                </c:pt>
                <c:pt idx="32">
                  <c:v>PL_45_20</c:v>
                </c:pt>
                <c:pt idx="33">
                  <c:v>PL_0_30</c:v>
                </c:pt>
                <c:pt idx="35">
                  <c:v>CZ_0_500</c:v>
                </c:pt>
              </c:strCache>
            </c:strRef>
          </c:cat>
          <c:val>
            <c:numRef>
              <c:f>Data!$F$553:$IZ$553</c:f>
              <c:numCache>
                <c:formatCode>#,##0</c:formatCode>
                <c:ptCount val="36"/>
                <c:pt idx="0">
                  <c:v>669.48366909881042</c:v>
                </c:pt>
                <c:pt idx="1">
                  <c:v>424.76718733404175</c:v>
                </c:pt>
                <c:pt idx="2">
                  <c:v>462.96550824987338</c:v>
                </c:pt>
                <c:pt idx="3">
                  <c:v>386.92460929889432</c:v>
                </c:pt>
                <c:pt idx="5">
                  <c:v>413.47922706919098</c:v>
                </c:pt>
                <c:pt idx="6">
                  <c:v>381.29428584862859</c:v>
                </c:pt>
                <c:pt idx="7">
                  <c:v>339.48837587084341</c:v>
                </c:pt>
                <c:pt idx="8">
                  <c:v>394.43300209442452</c:v>
                </c:pt>
                <c:pt idx="9">
                  <c:v>352.2453512003234</c:v>
                </c:pt>
                <c:pt idx="10">
                  <c:v>469.55167072447335</c:v>
                </c:pt>
                <c:pt idx="12">
                  <c:v>495.83492432288426</c:v>
                </c:pt>
                <c:pt idx="13">
                  <c:v>498.25927098311587</c:v>
                </c:pt>
                <c:pt idx="14">
                  <c:v>418.72012316824595</c:v>
                </c:pt>
                <c:pt idx="16">
                  <c:v>476.00258591910006</c:v>
                </c:pt>
                <c:pt idx="17">
                  <c:v>460.84240099250735</c:v>
                </c:pt>
                <c:pt idx="18">
                  <c:v>454.92056281467609</c:v>
                </c:pt>
                <c:pt idx="19">
                  <c:v>410.60969630497323</c:v>
                </c:pt>
                <c:pt idx="21">
                  <c:v>500.86772724679412</c:v>
                </c:pt>
                <c:pt idx="22">
                  <c:v>519.37376994016643</c:v>
                </c:pt>
                <c:pt idx="24">
                  <c:v>578.15713498116804</c:v>
                </c:pt>
                <c:pt idx="25">
                  <c:v>388.47935508735156</c:v>
                </c:pt>
                <c:pt idx="26">
                  <c:v>493.90925491231178</c:v>
                </c:pt>
                <c:pt idx="28">
                  <c:v>492.99296817722933</c:v>
                </c:pt>
                <c:pt idx="29">
                  <c:v>379.85076995881843</c:v>
                </c:pt>
                <c:pt idx="30">
                  <c:v>417.84715777672596</c:v>
                </c:pt>
                <c:pt idx="32">
                  <c:v>614.80016019184018</c:v>
                </c:pt>
                <c:pt idx="33">
                  <c:v>446.65738475690927</c:v>
                </c:pt>
                <c:pt idx="35">
                  <c:v>837.1331743362291</c:v>
                </c:pt>
              </c:numCache>
            </c:numRef>
          </c:val>
          <c:extLst>
            <c:ext xmlns:c16="http://schemas.microsoft.com/office/drawing/2014/chart" uri="{C3380CC4-5D6E-409C-BE32-E72D297353CC}">
              <c16:uniqueId val="{00000000-FCB7-FE43-8010-335149C2C4EB}"/>
            </c:ext>
          </c:extLst>
        </c:ser>
        <c:ser>
          <c:idx val="2"/>
          <c:order val="1"/>
          <c:tx>
            <c:strRef>
              <c:f>Data!$E$554</c:f>
              <c:strCache>
                <c:ptCount val="1"/>
                <c:pt idx="0">
                  <c:v>Náklady ušlých příležitostí</c:v>
                </c:pt>
              </c:strCache>
            </c:strRef>
          </c:tx>
          <c:spPr>
            <a:solidFill>
              <a:srgbClr val="99CCFF"/>
            </a:solidFill>
            <a:ln w="25400">
              <a:noFill/>
            </a:ln>
          </c:spPr>
          <c:invertIfNegative val="0"/>
          <c:cat>
            <c:strRef>
              <c:f>Data!$F$5:$IZ$5</c:f>
              <c:strCache>
                <c:ptCount val="36"/>
                <c:pt idx="0">
                  <c:v>AT_30_25</c:v>
                </c:pt>
                <c:pt idx="1">
                  <c:v>AT_0_35</c:v>
                </c:pt>
                <c:pt idx="2">
                  <c:v>AT_0_120</c:v>
                </c:pt>
                <c:pt idx="3">
                  <c:v>AT_0_175T</c:v>
                </c:pt>
                <c:pt idx="5">
                  <c:v>DE_0_260</c:v>
                </c:pt>
                <c:pt idx="6">
                  <c:v>DE_0_280</c:v>
                </c:pt>
                <c:pt idx="7">
                  <c:v>DE_0_285</c:v>
                </c:pt>
                <c:pt idx="8">
                  <c:v>DE_0_380</c:v>
                </c:pt>
                <c:pt idx="9">
                  <c:v>DE_0_525T</c:v>
                </c:pt>
                <c:pt idx="10">
                  <c:v>DE_0_560</c:v>
                </c:pt>
                <c:pt idx="12">
                  <c:v>FR_80A_70</c:v>
                </c:pt>
                <c:pt idx="13">
                  <c:v>FR_80B_60</c:v>
                </c:pt>
                <c:pt idx="14">
                  <c:v>FR_0_200</c:v>
                </c:pt>
                <c:pt idx="16">
                  <c:v>ES_0_430</c:v>
                </c:pt>
                <c:pt idx="17">
                  <c:v>ES_180_490</c:v>
                </c:pt>
                <c:pt idx="18">
                  <c:v>ES_0_820</c:v>
                </c:pt>
                <c:pt idx="19">
                  <c:v>ES_0_7300</c:v>
                </c:pt>
                <c:pt idx="21">
                  <c:v>IT_0_910</c:v>
                </c:pt>
                <c:pt idx="22">
                  <c:v>IT_0_2660T</c:v>
                </c:pt>
                <c:pt idx="24">
                  <c:v>UK_100_80</c:v>
                </c:pt>
                <c:pt idx="25">
                  <c:v>UK_0_90</c:v>
                </c:pt>
                <c:pt idx="26">
                  <c:v>UK_0_750</c:v>
                </c:pt>
                <c:pt idx="28">
                  <c:v>IE_35_30</c:v>
                </c:pt>
                <c:pt idx="29">
                  <c:v>IE_0_40</c:v>
                </c:pt>
                <c:pt idx="30">
                  <c:v>IE_85_200T</c:v>
                </c:pt>
                <c:pt idx="32">
                  <c:v>PL_45_20</c:v>
                </c:pt>
                <c:pt idx="33">
                  <c:v>PL_0_30</c:v>
                </c:pt>
                <c:pt idx="35">
                  <c:v>CZ_0_500</c:v>
                </c:pt>
              </c:strCache>
            </c:strRef>
          </c:cat>
          <c:val>
            <c:numRef>
              <c:f>Data!$F$554:$IZ$554</c:f>
              <c:numCache>
                <c:formatCode>#,##0</c:formatCode>
                <c:ptCount val="36"/>
                <c:pt idx="0">
                  <c:v>439.69269998958714</c:v>
                </c:pt>
                <c:pt idx="1">
                  <c:v>238.06824356140714</c:v>
                </c:pt>
                <c:pt idx="2">
                  <c:v>151.58296373653224</c:v>
                </c:pt>
                <c:pt idx="3">
                  <c:v>138.41652034777385</c:v>
                </c:pt>
                <c:pt idx="5">
                  <c:v>142.12015482279506</c:v>
                </c:pt>
                <c:pt idx="6">
                  <c:v>57.295540162994072</c:v>
                </c:pt>
                <c:pt idx="7">
                  <c:v>65.436559409469908</c:v>
                </c:pt>
                <c:pt idx="8">
                  <c:v>85.761254249293785</c:v>
                </c:pt>
                <c:pt idx="9">
                  <c:v>78.012918151072853</c:v>
                </c:pt>
                <c:pt idx="10">
                  <c:v>40.807673493946886</c:v>
                </c:pt>
                <c:pt idx="12">
                  <c:v>142.69753464414006</c:v>
                </c:pt>
                <c:pt idx="13">
                  <c:v>81.532503979950476</c:v>
                </c:pt>
                <c:pt idx="14">
                  <c:v>45.190088520875527</c:v>
                </c:pt>
                <c:pt idx="16">
                  <c:v>36.007652853638014</c:v>
                </c:pt>
                <c:pt idx="17">
                  <c:v>38.35897454611419</c:v>
                </c:pt>
                <c:pt idx="18">
                  <c:v>5.470673323050943</c:v>
                </c:pt>
                <c:pt idx="19">
                  <c:v>0.64255312632556605</c:v>
                </c:pt>
                <c:pt idx="21">
                  <c:v>15.026875416723179</c:v>
                </c:pt>
                <c:pt idx="22">
                  <c:v>6.3444558966125921</c:v>
                </c:pt>
                <c:pt idx="24">
                  <c:v>217.87848140919377</c:v>
                </c:pt>
                <c:pt idx="25">
                  <c:v>66.161754814680393</c:v>
                </c:pt>
                <c:pt idx="26">
                  <c:v>28.373035424371022</c:v>
                </c:pt>
                <c:pt idx="28">
                  <c:v>246.24733507464899</c:v>
                </c:pt>
                <c:pt idx="29">
                  <c:v>206.92591739915554</c:v>
                </c:pt>
                <c:pt idx="30">
                  <c:v>166.6915587813813</c:v>
                </c:pt>
                <c:pt idx="32">
                  <c:v>420.72645136503007</c:v>
                </c:pt>
                <c:pt idx="33">
                  <c:v>98.435087591008084</c:v>
                </c:pt>
                <c:pt idx="35">
                  <c:v>4.7293040460529649</c:v>
                </c:pt>
              </c:numCache>
            </c:numRef>
          </c:val>
          <c:extLst>
            <c:ext xmlns:c16="http://schemas.microsoft.com/office/drawing/2014/chart" uri="{C3380CC4-5D6E-409C-BE32-E72D297353CC}">
              <c16:uniqueId val="{00000001-FCB7-FE43-8010-335149C2C4EB}"/>
            </c:ext>
          </c:extLst>
        </c:ser>
        <c:dLbls>
          <c:showLegendKey val="0"/>
          <c:showVal val="0"/>
          <c:showCatName val="0"/>
          <c:showSerName val="0"/>
          <c:showPercent val="0"/>
          <c:showBubbleSize val="0"/>
        </c:dLbls>
        <c:gapWidth val="60"/>
        <c:overlap val="100"/>
        <c:axId val="233835904"/>
        <c:axId val="233838080"/>
      </c:barChart>
      <c:lineChart>
        <c:grouping val="standard"/>
        <c:varyColors val="0"/>
        <c:ser>
          <c:idx val="4"/>
          <c:order val="2"/>
          <c:tx>
            <c:strRef>
              <c:f>Data!$E$557</c:f>
              <c:strCache>
                <c:ptCount val="1"/>
                <c:pt idx="0">
                  <c:v>Příjmy za skot</c:v>
                </c:pt>
              </c:strCache>
            </c:strRef>
          </c:tx>
          <c:spPr>
            <a:ln w="28575">
              <a:noFill/>
            </a:ln>
          </c:spPr>
          <c:marker>
            <c:symbol val="circle"/>
            <c:size val="6"/>
            <c:spPr>
              <a:solidFill>
                <a:srgbClr val="FF0000"/>
              </a:solidFill>
              <a:ln>
                <a:solidFill>
                  <a:srgbClr val="FF0000"/>
                </a:solidFill>
                <a:prstDash val="solid"/>
              </a:ln>
            </c:spPr>
          </c:marker>
          <c:cat>
            <c:strRef>
              <c:f>Data!$F$5:$IZ$5</c:f>
              <c:strCache>
                <c:ptCount val="36"/>
                <c:pt idx="0">
                  <c:v>AT_30_25</c:v>
                </c:pt>
                <c:pt idx="1">
                  <c:v>AT_0_35</c:v>
                </c:pt>
                <c:pt idx="2">
                  <c:v>AT_0_120</c:v>
                </c:pt>
                <c:pt idx="3">
                  <c:v>AT_0_175T</c:v>
                </c:pt>
                <c:pt idx="5">
                  <c:v>DE_0_260</c:v>
                </c:pt>
                <c:pt idx="6">
                  <c:v>DE_0_280</c:v>
                </c:pt>
                <c:pt idx="7">
                  <c:v>DE_0_285</c:v>
                </c:pt>
                <c:pt idx="8">
                  <c:v>DE_0_380</c:v>
                </c:pt>
                <c:pt idx="9">
                  <c:v>DE_0_525T</c:v>
                </c:pt>
                <c:pt idx="10">
                  <c:v>DE_0_560</c:v>
                </c:pt>
                <c:pt idx="12">
                  <c:v>FR_80A_70</c:v>
                </c:pt>
                <c:pt idx="13">
                  <c:v>FR_80B_60</c:v>
                </c:pt>
                <c:pt idx="14">
                  <c:v>FR_0_200</c:v>
                </c:pt>
                <c:pt idx="16">
                  <c:v>ES_0_430</c:v>
                </c:pt>
                <c:pt idx="17">
                  <c:v>ES_180_490</c:v>
                </c:pt>
                <c:pt idx="18">
                  <c:v>ES_0_820</c:v>
                </c:pt>
                <c:pt idx="19">
                  <c:v>ES_0_7300</c:v>
                </c:pt>
                <c:pt idx="21">
                  <c:v>IT_0_910</c:v>
                </c:pt>
                <c:pt idx="22">
                  <c:v>IT_0_2660T</c:v>
                </c:pt>
                <c:pt idx="24">
                  <c:v>UK_100_80</c:v>
                </c:pt>
                <c:pt idx="25">
                  <c:v>UK_0_90</c:v>
                </c:pt>
                <c:pt idx="26">
                  <c:v>UK_0_750</c:v>
                </c:pt>
                <c:pt idx="28">
                  <c:v>IE_35_30</c:v>
                </c:pt>
                <c:pt idx="29">
                  <c:v>IE_0_40</c:v>
                </c:pt>
                <c:pt idx="30">
                  <c:v>IE_85_200T</c:v>
                </c:pt>
                <c:pt idx="32">
                  <c:v>PL_45_20</c:v>
                </c:pt>
                <c:pt idx="33">
                  <c:v>PL_0_30</c:v>
                </c:pt>
                <c:pt idx="35">
                  <c:v>CZ_0_500</c:v>
                </c:pt>
              </c:strCache>
            </c:strRef>
          </c:cat>
          <c:val>
            <c:numRef>
              <c:f>Data!$F$557:$IZ$557</c:f>
              <c:numCache>
                <c:formatCode>#,##0</c:formatCode>
                <c:ptCount val="36"/>
                <c:pt idx="0">
                  <c:v>434.74640286471578</c:v>
                </c:pt>
                <c:pt idx="1">
                  <c:v>434.74640286471578</c:v>
                </c:pt>
                <c:pt idx="2">
                  <c:v>434.74640286471578</c:v>
                </c:pt>
                <c:pt idx="3">
                  <c:v>434.69714241247465</c:v>
                </c:pt>
                <c:pt idx="5">
                  <c:v>429.84224565708217</c:v>
                </c:pt>
                <c:pt idx="6">
                  <c:v>426.4841031128862</c:v>
                </c:pt>
                <c:pt idx="7">
                  <c:v>316.69149826514627</c:v>
                </c:pt>
                <c:pt idx="8">
                  <c:v>399.61896275931855</c:v>
                </c:pt>
                <c:pt idx="9">
                  <c:v>398.49958191125324</c:v>
                </c:pt>
                <c:pt idx="10">
                  <c:v>377.53921614737129</c:v>
                </c:pt>
                <c:pt idx="12">
                  <c:v>426.48410311288626</c:v>
                </c:pt>
                <c:pt idx="13">
                  <c:v>416.40967548029835</c:v>
                </c:pt>
                <c:pt idx="14">
                  <c:v>418.6484371764289</c:v>
                </c:pt>
                <c:pt idx="16">
                  <c:v>411.89055653959917</c:v>
                </c:pt>
                <c:pt idx="17">
                  <c:v>425.80378367132187</c:v>
                </c:pt>
                <c:pt idx="18">
                  <c:v>423.80328961971247</c:v>
                </c:pt>
                <c:pt idx="19">
                  <c:v>410.61732152044442</c:v>
                </c:pt>
                <c:pt idx="21">
                  <c:v>460.9542570959332</c:v>
                </c:pt>
                <c:pt idx="22">
                  <c:v>469.26473048107619</c:v>
                </c:pt>
                <c:pt idx="24">
                  <c:v>427.77731084134535</c:v>
                </c:pt>
                <c:pt idx="25">
                  <c:v>402.24313913121659</c:v>
                </c:pt>
                <c:pt idx="26">
                  <c:v>427.77731084134535</c:v>
                </c:pt>
                <c:pt idx="28">
                  <c:v>453.69712739300076</c:v>
                </c:pt>
                <c:pt idx="29">
                  <c:v>403.83790680415962</c:v>
                </c:pt>
                <c:pt idx="30">
                  <c:v>471.25086393335891</c:v>
                </c:pt>
                <c:pt idx="32">
                  <c:v>436.20352204606803</c:v>
                </c:pt>
                <c:pt idx="33">
                  <c:v>248.94815091148618</c:v>
                </c:pt>
                <c:pt idx="35">
                  <c:v>362.99233729979386</c:v>
                </c:pt>
              </c:numCache>
            </c:numRef>
          </c:val>
          <c:smooth val="0"/>
          <c:extLst>
            <c:ext xmlns:c16="http://schemas.microsoft.com/office/drawing/2014/chart" uri="{C3380CC4-5D6E-409C-BE32-E72D297353CC}">
              <c16:uniqueId val="{00000002-FCB7-FE43-8010-335149C2C4EB}"/>
            </c:ext>
          </c:extLst>
        </c:ser>
        <c:ser>
          <c:idx val="5"/>
          <c:order val="3"/>
          <c:tx>
            <c:strRef>
              <c:f>Data!$E$542</c:f>
              <c:strCache>
                <c:ptCount val="1"/>
                <c:pt idx="0">
                  <c:v>Příjmy za skot + za vedlejší produkty</c:v>
                </c:pt>
              </c:strCache>
            </c:strRef>
          </c:tx>
          <c:val>
            <c:numRef>
              <c:f>Data!$F$542:$BA$542</c:f>
              <c:numCache>
                <c:formatCode>General</c:formatCode>
                <c:ptCount val="36"/>
                <c:pt idx="16" formatCode="#,##0">
                  <c:v>417.65604462730835</c:v>
                </c:pt>
              </c:numCache>
            </c:numRef>
          </c:val>
          <c:smooth val="0"/>
          <c:extLst>
            <c:ext xmlns:c16="http://schemas.microsoft.com/office/drawing/2014/chart" uri="{C3380CC4-5D6E-409C-BE32-E72D297353CC}">
              <c16:uniqueId val="{00000003-FCB7-FE43-8010-335149C2C4EB}"/>
            </c:ext>
          </c:extLst>
        </c:ser>
        <c:ser>
          <c:idx val="3"/>
          <c:order val="4"/>
          <c:tx>
            <c:strRef>
              <c:f>Data!$E$555</c:f>
              <c:strCache>
                <c:ptCount val="1"/>
                <c:pt idx="0">
                  <c:v>Příjmy za skot + za vedlejší produkty + vázané podpory</c:v>
                </c:pt>
              </c:strCache>
            </c:strRef>
          </c:tx>
          <c:spPr>
            <a:ln w="28575">
              <a:noFill/>
            </a:ln>
          </c:spPr>
          <c:marker>
            <c:symbol val="diamond"/>
            <c:size val="6"/>
            <c:spPr>
              <a:solidFill>
                <a:srgbClr val="FF9900"/>
              </a:solidFill>
              <a:ln>
                <a:solidFill>
                  <a:srgbClr val="FF9900"/>
                </a:solidFill>
                <a:prstDash val="solid"/>
              </a:ln>
            </c:spPr>
          </c:marker>
          <c:cat>
            <c:strRef>
              <c:f>Data!$F$5:$IZ$5</c:f>
              <c:strCache>
                <c:ptCount val="36"/>
                <c:pt idx="0">
                  <c:v>AT_30_25</c:v>
                </c:pt>
                <c:pt idx="1">
                  <c:v>AT_0_35</c:v>
                </c:pt>
                <c:pt idx="2">
                  <c:v>AT_0_120</c:v>
                </c:pt>
                <c:pt idx="3">
                  <c:v>AT_0_175T</c:v>
                </c:pt>
                <c:pt idx="5">
                  <c:v>DE_0_260</c:v>
                </c:pt>
                <c:pt idx="6">
                  <c:v>DE_0_280</c:v>
                </c:pt>
                <c:pt idx="7">
                  <c:v>DE_0_285</c:v>
                </c:pt>
                <c:pt idx="8">
                  <c:v>DE_0_380</c:v>
                </c:pt>
                <c:pt idx="9">
                  <c:v>DE_0_525T</c:v>
                </c:pt>
                <c:pt idx="10">
                  <c:v>DE_0_560</c:v>
                </c:pt>
                <c:pt idx="12">
                  <c:v>FR_80A_70</c:v>
                </c:pt>
                <c:pt idx="13">
                  <c:v>FR_80B_60</c:v>
                </c:pt>
                <c:pt idx="14">
                  <c:v>FR_0_200</c:v>
                </c:pt>
                <c:pt idx="16">
                  <c:v>ES_0_430</c:v>
                </c:pt>
                <c:pt idx="17">
                  <c:v>ES_180_490</c:v>
                </c:pt>
                <c:pt idx="18">
                  <c:v>ES_0_820</c:v>
                </c:pt>
                <c:pt idx="19">
                  <c:v>ES_0_7300</c:v>
                </c:pt>
                <c:pt idx="21">
                  <c:v>IT_0_910</c:v>
                </c:pt>
                <c:pt idx="22">
                  <c:v>IT_0_2660T</c:v>
                </c:pt>
                <c:pt idx="24">
                  <c:v>UK_100_80</c:v>
                </c:pt>
                <c:pt idx="25">
                  <c:v>UK_0_90</c:v>
                </c:pt>
                <c:pt idx="26">
                  <c:v>UK_0_750</c:v>
                </c:pt>
                <c:pt idx="28">
                  <c:v>IE_35_30</c:v>
                </c:pt>
                <c:pt idx="29">
                  <c:v>IE_0_40</c:v>
                </c:pt>
                <c:pt idx="30">
                  <c:v>IE_85_200T</c:v>
                </c:pt>
                <c:pt idx="32">
                  <c:v>PL_45_20</c:v>
                </c:pt>
                <c:pt idx="33">
                  <c:v>PL_0_30</c:v>
                </c:pt>
                <c:pt idx="35">
                  <c:v>CZ_0_500</c:v>
                </c:pt>
              </c:strCache>
            </c:strRef>
          </c:cat>
          <c:val>
            <c:numRef>
              <c:f>Data!$F$555:$IZ$555</c:f>
              <c:numCache>
                <c:formatCode>#,##0</c:formatCode>
                <c:ptCount val="36"/>
                <c:pt idx="0">
                  <c:v>467.30849357429372</c:v>
                </c:pt>
                <c:pt idx="1">
                  <c:v>458.65662262004128</c:v>
                </c:pt>
                <c:pt idx="2">
                  <c:v>443.15763035434344</c:v>
                </c:pt>
                <c:pt idx="3">
                  <c:v>440.24826885947584</c:v>
                </c:pt>
                <c:pt idx="5">
                  <c:v>431.98334623506031</c:v>
                </c:pt>
                <c:pt idx="9">
                  <c:v>399.38120747421215</c:v>
                </c:pt>
                <c:pt idx="16">
                  <c:v>423.76152996498149</c:v>
                </c:pt>
                <c:pt idx="17">
                  <c:v>434.67068784089889</c:v>
                </c:pt>
                <c:pt idx="18">
                  <c:v>428.86975309470591</c:v>
                </c:pt>
                <c:pt idx="21">
                  <c:v>472.8295198010544</c:v>
                </c:pt>
                <c:pt idx="22">
                  <c:v>480.9309133100972</c:v>
                </c:pt>
                <c:pt idx="24">
                  <c:v>441.13887974511204</c:v>
                </c:pt>
                <c:pt idx="26">
                  <c:v>430.5643173701929</c:v>
                </c:pt>
                <c:pt idx="28">
                  <c:v>461.94104927740119</c:v>
                </c:pt>
                <c:pt idx="29">
                  <c:v>409.53010885629726</c:v>
                </c:pt>
                <c:pt idx="32">
                  <c:v>442.10105561933869</c:v>
                </c:pt>
                <c:pt idx="33">
                  <c:v>259.05317850254795</c:v>
                </c:pt>
                <c:pt idx="35">
                  <c:v>363.91222056390757</c:v>
                </c:pt>
              </c:numCache>
            </c:numRef>
          </c:val>
          <c:smooth val="0"/>
          <c:extLst>
            <c:ext xmlns:c16="http://schemas.microsoft.com/office/drawing/2014/chart" uri="{C3380CC4-5D6E-409C-BE32-E72D297353CC}">
              <c16:uniqueId val="{00000004-FCB7-FE43-8010-335149C2C4EB}"/>
            </c:ext>
          </c:extLst>
        </c:ser>
        <c:dLbls>
          <c:showLegendKey val="0"/>
          <c:showVal val="0"/>
          <c:showCatName val="0"/>
          <c:showSerName val="0"/>
          <c:showPercent val="0"/>
          <c:showBubbleSize val="0"/>
        </c:dLbls>
        <c:marker val="1"/>
        <c:smooth val="0"/>
        <c:axId val="233835904"/>
        <c:axId val="233838080"/>
      </c:lineChart>
      <c:catAx>
        <c:axId val="233835904"/>
        <c:scaling>
          <c:orientation val="minMax"/>
        </c:scaling>
        <c:delete val="0"/>
        <c:axPos val="b"/>
        <c:title>
          <c:tx>
            <c:rich>
              <a:bodyPr/>
              <a:lstStyle/>
              <a:p>
                <a:pPr>
                  <a:defRPr/>
                </a:pPr>
                <a:r>
                  <a:rPr lang="cs-CZ"/>
                  <a:t>Typické farmy s výkrmem skotu</a:t>
                </a:r>
              </a:p>
            </c:rich>
          </c:tx>
          <c:overlay val="0"/>
        </c:title>
        <c:numFmt formatCode="General" sourceLinked="1"/>
        <c:majorTickMark val="out"/>
        <c:minorTickMark val="none"/>
        <c:tickLblPos val="nextTo"/>
        <c:spPr>
          <a:ln w="3175">
            <a:solidFill>
              <a:srgbClr val="000000"/>
            </a:solidFill>
            <a:prstDash val="solid"/>
          </a:ln>
        </c:spPr>
        <c:txPr>
          <a:bodyPr rot="-5400000" vert="horz"/>
          <a:lstStyle/>
          <a:p>
            <a:pPr>
              <a:defRPr sz="800"/>
            </a:pPr>
            <a:endParaRPr lang="cs-CZ"/>
          </a:p>
        </c:txPr>
        <c:crossAx val="233838080"/>
        <c:crosses val="autoZero"/>
        <c:auto val="1"/>
        <c:lblAlgn val="ctr"/>
        <c:lblOffset val="100"/>
        <c:tickLblSkip val="1"/>
        <c:tickMarkSkip val="1"/>
        <c:noMultiLvlLbl val="0"/>
      </c:catAx>
      <c:valAx>
        <c:axId val="233838080"/>
        <c:scaling>
          <c:orientation val="minMax"/>
        </c:scaling>
        <c:delete val="0"/>
        <c:axPos val="l"/>
        <c:majorGridlines>
          <c:spPr>
            <a:ln w="3175">
              <a:solidFill>
                <a:srgbClr val="000000"/>
              </a:solidFill>
              <a:prstDash val="solid"/>
            </a:ln>
          </c:spPr>
        </c:majorGridlines>
        <c:title>
          <c:tx>
            <c:rich>
              <a:bodyPr/>
              <a:lstStyle/>
              <a:p>
                <a:pPr>
                  <a:defRPr/>
                </a:pPr>
                <a:r>
                  <a:rPr lang="cs-CZ"/>
                  <a:t>USD/100 kg prodané j. hm.</a:t>
                </a:r>
              </a:p>
            </c:rich>
          </c:tx>
          <c:overlay val="0"/>
        </c:title>
        <c:numFmt formatCode="#,##0" sourceLinked="0"/>
        <c:majorTickMark val="out"/>
        <c:minorTickMark val="none"/>
        <c:tickLblPos val="nextTo"/>
        <c:spPr>
          <a:ln w="3175">
            <a:noFill/>
            <a:prstDash val="solid"/>
          </a:ln>
        </c:spPr>
        <c:txPr>
          <a:bodyPr rot="0" vert="horz"/>
          <a:lstStyle/>
          <a:p>
            <a:pPr>
              <a:defRPr/>
            </a:pPr>
            <a:endParaRPr lang="cs-CZ"/>
          </a:p>
        </c:txPr>
        <c:crossAx val="233835904"/>
        <c:crosses val="autoZero"/>
        <c:crossBetween val="between"/>
      </c:valAx>
      <c:spPr>
        <a:noFill/>
        <a:ln w="3175">
          <a:noFill/>
          <a:prstDash val="solid"/>
        </a:ln>
      </c:spPr>
    </c:plotArea>
    <c:legend>
      <c:legendPos val="r"/>
      <c:layout>
        <c:manualLayout>
          <c:xMode val="edge"/>
          <c:yMode val="edge"/>
          <c:x val="0.16040199836131594"/>
          <c:y val="1.8712457611098469E-2"/>
          <c:w val="0.50764539849185519"/>
          <c:h val="0.28052909227930667"/>
        </c:manualLayout>
      </c:layout>
      <c:overlay val="0"/>
      <c:spPr>
        <a:solidFill>
          <a:schemeClr val="bg1"/>
        </a:solidFill>
        <a:ln w="3175">
          <a:solidFill>
            <a:srgbClr val="000000"/>
          </a:solidFill>
          <a:prstDash val="solid"/>
        </a:ln>
      </c:spPr>
    </c:legend>
    <c:plotVisOnly val="1"/>
    <c:dispBlanksAs val="gap"/>
    <c:showDLblsOverMax val="0"/>
  </c:chart>
  <c:spPr>
    <a:solidFill>
      <a:srgbClr val="FFFFFF"/>
    </a:solidFill>
    <a:ln w="9525">
      <a:noFill/>
    </a:ln>
  </c:spPr>
  <c:txPr>
    <a:bodyPr/>
    <a:lstStyle/>
    <a:p>
      <a:pPr>
        <a:defRPr sz="900" b="0" i="0" u="none" strike="noStrike" baseline="0">
          <a:solidFill>
            <a:srgbClr val="000000"/>
          </a:solidFill>
          <a:latin typeface="+mn-lt"/>
          <a:ea typeface="Myriad Roman"/>
          <a:cs typeface="Myriad Roman"/>
        </a:defRPr>
      </a:pPr>
      <a:endParaRPr lang="cs-CZ"/>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sz="1800" b="1" i="0" baseline="0">
                <a:effectLst/>
              </a:rPr>
              <a:t>Struktura podpor u KBTPM (Kč/ks)</a:t>
            </a:r>
            <a:endParaRPr lang="cs-CZ">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manualLayout>
          <c:layoutTarget val="inner"/>
          <c:xMode val="edge"/>
          <c:yMode val="edge"/>
          <c:x val="7.8272531022379604E-2"/>
          <c:y val="8.7149087384241319E-2"/>
          <c:w val="0.90003121651213713"/>
          <c:h val="0.62226891079820612"/>
        </c:manualLayout>
      </c:layout>
      <c:barChart>
        <c:barDir val="col"/>
        <c:grouping val="stacked"/>
        <c:varyColors val="0"/>
        <c:ser>
          <c:idx val="0"/>
          <c:order val="0"/>
          <c:tx>
            <c:strRef>
              <c:f>'grafD-KBTPM'!$O$3</c:f>
              <c:strCache>
                <c:ptCount val="1"/>
                <c:pt idx="0">
                  <c:v>   PVP - Přežvýkavci (historické VDJ)</c:v>
                </c:pt>
              </c:strCache>
            </c:strRef>
          </c:tx>
          <c:spPr>
            <a:solidFill>
              <a:schemeClr val="accent1"/>
            </a:solidFill>
            <a:ln>
              <a:noFill/>
            </a:ln>
            <a:effectLst/>
          </c:spPr>
          <c:invertIfNegative val="0"/>
          <c:cat>
            <c:strRef>
              <c:f>'grafD-KBTPM'!$P$2:$AA$2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'grafD-KBTPM'!$P$3:$AA$3</c:f>
              <c:numCache>
                <c:formatCode>#,##0</c:formatCode>
                <c:ptCount val="10"/>
                <c:pt idx="0">
                  <c:v>1056.528</c:v>
                </c:pt>
                <c:pt idx="1">
                  <c:v>585.28960000000006</c:v>
                </c:pt>
                <c:pt idx="2">
                  <c:v>150.12719999999999</c:v>
                </c:pt>
                <c:pt idx="3">
                  <c:v>112.1024</c:v>
                </c:pt>
                <c:pt idx="4">
                  <c:v>134.1516</c:v>
                </c:pt>
                <c:pt idx="5">
                  <c:v>125.92800000000001</c:v>
                </c:pt>
                <c:pt idx="6">
                  <c:v>113.05800000000001</c:v>
                </c:pt>
                <c:pt idx="7">
                  <c:v>100.914</c:v>
                </c:pt>
                <c:pt idx="8">
                  <c:v>92.650800000000004</c:v>
                </c:pt>
                <c:pt idx="9">
                  <c:v>84.79679999999999</c:v>
                </c:pt>
              </c:numCache>
              <c:extLst/>
            </c:numRef>
          </c:val>
          <c:extLst>
            <c:ext xmlns:c16="http://schemas.microsoft.com/office/drawing/2014/chart" uri="{C3380CC4-5D6E-409C-BE32-E72D297353CC}">
              <c16:uniqueId val="{00000000-86CD-1145-95BC-98EA10FF5284}"/>
            </c:ext>
          </c:extLst>
        </c:ser>
        <c:ser>
          <c:idx val="1"/>
          <c:order val="1"/>
          <c:tx>
            <c:strRef>
              <c:f>'grafD-KBTPM'!$O$4</c:f>
              <c:strCache>
                <c:ptCount val="1"/>
                <c:pt idx="0">
                  <c:v>   PVP - KBTPM</c:v>
                </c:pt>
              </c:strCache>
            </c:strRef>
          </c:tx>
          <c:spPr>
            <a:solidFill>
              <a:schemeClr val="accent2"/>
            </a:solidFill>
            <a:ln>
              <a:noFill/>
            </a:ln>
            <a:effectLst/>
          </c:spPr>
          <c:invertIfNegative val="0"/>
          <c:cat>
            <c:strRef>
              <c:f>'grafD-KBTPM'!$P$2:$AA$2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'grafD-KBTPM'!$P$4:$AA$4</c:f>
              <c:numCache>
                <c:formatCode>#,##0</c:formatCode>
                <c:ptCount val="10"/>
                <c:pt idx="0">
                  <c:v>1393.8</c:v>
                </c:pt>
                <c:pt idx="1">
                  <c:v>778.43</c:v>
                </c:pt>
                <c:pt idx="2">
                  <c:v>190.92</c:v>
                </c:pt>
                <c:pt idx="3">
                  <c:v>131.94999999999999</c:v>
                </c:pt>
                <c:pt idx="4">
                  <c:v>131.63</c:v>
                </c:pt>
                <c:pt idx="5">
                  <c:v>121.28</c:v>
                </c:pt>
                <c:pt idx="6">
                  <c:v>100.93</c:v>
                </c:pt>
                <c:pt idx="7">
                  <c:v>87.72</c:v>
                </c:pt>
                <c:pt idx="8">
                  <c:v>80.38</c:v>
                </c:pt>
                <c:pt idx="9">
                  <c:v>72.400000000000006</c:v>
                </c:pt>
              </c:numCache>
              <c:extLst/>
            </c:numRef>
          </c:val>
          <c:extLst>
            <c:ext xmlns:c16="http://schemas.microsoft.com/office/drawing/2014/chart" uri="{C3380CC4-5D6E-409C-BE32-E72D297353CC}">
              <c16:uniqueId val="{00000001-86CD-1145-95BC-98EA10FF5284}"/>
            </c:ext>
          </c:extLst>
        </c:ser>
        <c:ser>
          <c:idx val="2"/>
          <c:order val="2"/>
          <c:tx>
            <c:strRef>
              <c:f>'grafD-KBTPM'!$O$5</c:f>
              <c:strCache>
                <c:ptCount val="1"/>
                <c:pt idx="0">
                  <c:v>   VCS - podpora masné tele</c:v>
                </c:pt>
              </c:strCache>
            </c:strRef>
          </c:tx>
          <c:spPr>
            <a:solidFill>
              <a:schemeClr val="accent4">
                <a:lumMod val="60000"/>
                <a:lumOff val="40000"/>
              </a:schemeClr>
            </a:solidFill>
            <a:ln>
              <a:noFill/>
            </a:ln>
            <a:effectLst/>
          </c:spPr>
          <c:invertIfNegative val="0"/>
          <c:cat>
            <c:strRef>
              <c:f>'grafD-KBTPM'!$P$2:$AA$2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'grafD-KBTPM'!$P$5:$AA$5</c:f>
              <c:numCache>
                <c:formatCode>#,##0</c:formatCode>
                <c:ptCount val="10"/>
                <c:pt idx="0">
                  <c:v>0</c:v>
                </c:pt>
                <c:pt idx="1">
                  <c:v>1303.7600000000002</c:v>
                </c:pt>
                <c:pt idx="2">
                  <c:v>1863.92</c:v>
                </c:pt>
                <c:pt idx="3">
                  <c:v>2434.2960000000003</c:v>
                </c:pt>
                <c:pt idx="4">
                  <c:v>3200.5696000000007</c:v>
                </c:pt>
                <c:pt idx="5">
                  <c:v>2980.1568000000002</c:v>
                </c:pt>
                <c:pt idx="6">
                  <c:v>2739.2800000000007</c:v>
                </c:pt>
                <c:pt idx="7">
                  <c:v>2780.4480000000003</c:v>
                </c:pt>
                <c:pt idx="8">
                  <c:v>2586.8768</c:v>
                </c:pt>
                <c:pt idx="9">
                  <c:v>2832.7712000000001</c:v>
                </c:pt>
              </c:numCache>
              <c:extLst/>
            </c:numRef>
          </c:val>
          <c:extLst>
            <c:ext xmlns:c16="http://schemas.microsoft.com/office/drawing/2014/chart" uri="{C3380CC4-5D6E-409C-BE32-E72D297353CC}">
              <c16:uniqueId val="{00000002-86CD-1145-95BC-98EA10FF5284}"/>
            </c:ext>
          </c:extLst>
        </c:ser>
        <c:ser>
          <c:idx val="12"/>
          <c:order val="3"/>
          <c:tx>
            <c:strRef>
              <c:f>'grafD-KBTPM'!$O$6</c:f>
              <c:strCache>
                <c:ptCount val="1"/>
                <c:pt idx="0">
                  <c:v>   DT 20.D. Zlepšení životních podmínek v chovu KBTPM</c:v>
                </c:pt>
              </c:strCache>
            </c:strRef>
          </c:tx>
          <c:spPr>
            <a:solidFill>
              <a:schemeClr val="accent1">
                <a:lumMod val="80000"/>
                <a:lumOff val="20000"/>
              </a:schemeClr>
            </a:solidFill>
            <a:ln>
              <a:noFill/>
            </a:ln>
            <a:effectLst/>
          </c:spPr>
          <c:invertIfNegative val="0"/>
          <c:cat>
            <c:strRef>
              <c:f>'grafD-KBTPM'!$P$2:$AA$2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'grafD-KBTPM'!$P$6:$AA$6</c:f>
              <c:numCache>
                <c:formatCode>#,##0</c:formatCode>
                <c:ptCount val="10"/>
                <c:pt idx="0">
                  <c:v>0</c:v>
                </c:pt>
                <c:pt idx="1">
                  <c:v>0</c:v>
                </c:pt>
                <c:pt idx="2">
                  <c:v>0</c:v>
                </c:pt>
                <c:pt idx="3">
                  <c:v>0</c:v>
                </c:pt>
                <c:pt idx="4">
                  <c:v>0</c:v>
                </c:pt>
                <c:pt idx="5">
                  <c:v>0</c:v>
                </c:pt>
                <c:pt idx="6">
                  <c:v>0</c:v>
                </c:pt>
                <c:pt idx="7">
                  <c:v>0</c:v>
                </c:pt>
                <c:pt idx="8">
                  <c:v>86.489836688691966</c:v>
                </c:pt>
                <c:pt idx="9">
                  <c:v>341.03923203729016</c:v>
                </c:pt>
              </c:numCache>
              <c:extLst/>
            </c:numRef>
          </c:val>
          <c:extLst>
            <c:ext xmlns:c16="http://schemas.microsoft.com/office/drawing/2014/chart" uri="{C3380CC4-5D6E-409C-BE32-E72D297353CC}">
              <c16:uniqueId val="{00000003-86CD-1145-95BC-98EA10FF5284}"/>
            </c:ext>
          </c:extLst>
        </c:ser>
        <c:ser>
          <c:idx val="3"/>
          <c:order val="4"/>
          <c:tx>
            <c:strRef>
              <c:f>'grafD-KBTPM'!$O$7</c:f>
              <c:strCache>
                <c:ptCount val="1"/>
                <c:pt idx="0">
                  <c:v>   Zelená nafta</c:v>
                </c:pt>
              </c:strCache>
            </c:strRef>
          </c:tx>
          <c:spPr>
            <a:solidFill>
              <a:srgbClr val="92D050"/>
            </a:solidFill>
            <a:ln>
              <a:noFill/>
            </a:ln>
            <a:effectLst/>
          </c:spPr>
          <c:invertIfNegative val="0"/>
          <c:cat>
            <c:strRef>
              <c:f>'grafD-KBTPM'!$P$2:$AA$2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'grafD-KBTPM'!$P$7:$AA$7</c:f>
              <c:numCache>
                <c:formatCode>#,##0</c:formatCode>
                <c:ptCount val="10"/>
                <c:pt idx="0">
                  <c:v>0</c:v>
                </c:pt>
                <c:pt idx="1">
                  <c:v>0</c:v>
                </c:pt>
                <c:pt idx="2">
                  <c:v>0</c:v>
                </c:pt>
                <c:pt idx="3">
                  <c:v>0</c:v>
                </c:pt>
                <c:pt idx="4">
                  <c:v>0</c:v>
                </c:pt>
                <c:pt idx="5">
                  <c:v>362.40714449295518</c:v>
                </c:pt>
                <c:pt idx="6">
                  <c:v>349.24896957992411</c:v>
                </c:pt>
                <c:pt idx="7">
                  <c:v>713.30970731318689</c:v>
                </c:pt>
                <c:pt idx="8">
                  <c:v>787.69430335066227</c:v>
                </c:pt>
                <c:pt idx="9">
                  <c:v>832.84827486203392</c:v>
                </c:pt>
              </c:numCache>
              <c:extLst/>
            </c:numRef>
          </c:val>
          <c:extLst>
            <c:ext xmlns:c16="http://schemas.microsoft.com/office/drawing/2014/chart" uri="{C3380CC4-5D6E-409C-BE32-E72D297353CC}">
              <c16:uniqueId val="{00000004-86CD-1145-95BC-98EA10FF5284}"/>
            </c:ext>
          </c:extLst>
        </c:ser>
        <c:ser>
          <c:idx val="4"/>
          <c:order val="5"/>
          <c:tx>
            <c:strRef>
              <c:f>'grafD-KBTPM'!$O$8</c:f>
              <c:strCache>
                <c:ptCount val="1"/>
                <c:pt idx="0">
                  <c:v>  Podpora pojištění ŽV</c:v>
                </c:pt>
              </c:strCache>
            </c:strRef>
          </c:tx>
          <c:spPr>
            <a:solidFill>
              <a:schemeClr val="accent5"/>
            </a:solidFill>
            <a:ln>
              <a:noFill/>
            </a:ln>
            <a:effectLst/>
          </c:spPr>
          <c:invertIfNegative val="0"/>
          <c:cat>
            <c:strRef>
              <c:f>'grafD-KBTPM'!$P$2:$AA$2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'grafD-KBTPM'!$P$8:$AA$8</c:f>
              <c:numCache>
                <c:formatCode>#,##0</c:formatCode>
                <c:ptCount val="10"/>
                <c:pt idx="0">
                  <c:v>51.921685580636144</c:v>
                </c:pt>
                <c:pt idx="1">
                  <c:v>41.960128498453876</c:v>
                </c:pt>
                <c:pt idx="2">
                  <c:v>51.526205152818513</c:v>
                </c:pt>
                <c:pt idx="3">
                  <c:v>52.381637959871355</c:v>
                </c:pt>
                <c:pt idx="4">
                  <c:v>59.358747727443983</c:v>
                </c:pt>
                <c:pt idx="5">
                  <c:v>58.031653751930691</c:v>
                </c:pt>
                <c:pt idx="6">
                  <c:v>56.898867393664915</c:v>
                </c:pt>
                <c:pt idx="7">
                  <c:v>57.311716823800644</c:v>
                </c:pt>
                <c:pt idx="8">
                  <c:v>54.729105011709073</c:v>
                </c:pt>
                <c:pt idx="9">
                  <c:v>55.189286828560491</c:v>
                </c:pt>
              </c:numCache>
              <c:extLst/>
            </c:numRef>
          </c:val>
          <c:extLst>
            <c:ext xmlns:c16="http://schemas.microsoft.com/office/drawing/2014/chart" uri="{C3380CC4-5D6E-409C-BE32-E72D297353CC}">
              <c16:uniqueId val="{00000005-86CD-1145-95BC-98EA10FF5284}"/>
            </c:ext>
          </c:extLst>
        </c:ser>
        <c:ser>
          <c:idx val="5"/>
          <c:order val="6"/>
          <c:tx>
            <c:strRef>
              <c:f>'grafD-KBTPM'!$O$9</c:f>
              <c:strCache>
                <c:ptCount val="1"/>
                <c:pt idx="0">
                  <c:v>SAPS (+ greening) vázající se na krmné plodiny</c:v>
                </c:pt>
              </c:strCache>
            </c:strRef>
          </c:tx>
          <c:spPr>
            <a:solidFill>
              <a:schemeClr val="accent6">
                <a:lumMod val="40000"/>
                <a:lumOff val="60000"/>
              </a:schemeClr>
            </a:solidFill>
            <a:ln>
              <a:noFill/>
            </a:ln>
            <a:effectLst/>
          </c:spPr>
          <c:invertIfNegative val="0"/>
          <c:cat>
            <c:strRef>
              <c:f>'grafD-KBTPM'!$P$2:$AA$2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'grafD-KBTPM'!$P$9:$AA$9</c:f>
              <c:numCache>
                <c:formatCode>#,##0</c:formatCode>
                <c:ptCount val="10"/>
                <c:pt idx="0">
                  <c:v>10450.895</c:v>
                </c:pt>
                <c:pt idx="1">
                  <c:v>12013.679</c:v>
                </c:pt>
                <c:pt idx="2">
                  <c:v>13533.6024</c:v>
                </c:pt>
                <c:pt idx="3">
                  <c:v>13373.822899999999</c:v>
                </c:pt>
                <c:pt idx="4">
                  <c:v>12237.191899999998</c:v>
                </c:pt>
                <c:pt idx="5">
                  <c:v>12137.823099999998</c:v>
                </c:pt>
                <c:pt idx="6">
                  <c:v>11665.3084</c:v>
                </c:pt>
                <c:pt idx="7">
                  <c:v>11742.1319</c:v>
                </c:pt>
                <c:pt idx="8">
                  <c:v>11770.854299999999</c:v>
                </c:pt>
                <c:pt idx="9">
                  <c:v>12616.9609</c:v>
                </c:pt>
              </c:numCache>
              <c:extLst/>
            </c:numRef>
          </c:val>
          <c:extLst>
            <c:ext xmlns:c16="http://schemas.microsoft.com/office/drawing/2014/chart" uri="{C3380CC4-5D6E-409C-BE32-E72D297353CC}">
              <c16:uniqueId val="{00000006-86CD-1145-95BC-98EA10FF5284}"/>
            </c:ext>
          </c:extLst>
        </c:ser>
        <c:ser>
          <c:idx val="6"/>
          <c:order val="7"/>
          <c:tx>
            <c:strRef>
              <c:f>'grafD-KBTPM'!$O$10</c:f>
              <c:strCache>
                <c:ptCount val="1"/>
                <c:pt idx="0">
                  <c:v>PVP na z.p. - krmné plodiny</c:v>
                </c:pt>
              </c:strCache>
            </c:strRef>
          </c:tx>
          <c:spPr>
            <a:solidFill>
              <a:srgbClr val="7030A0"/>
            </a:solidFill>
            <a:ln>
              <a:noFill/>
            </a:ln>
            <a:effectLst/>
          </c:spPr>
          <c:invertIfNegative val="0"/>
          <c:cat>
            <c:strRef>
              <c:f>'grafD-KBTPM'!$P$2:$AA$2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'grafD-KBTPM'!$P$10:$AA$10</c:f>
              <c:numCache>
                <c:formatCode>#,##0</c:formatCode>
                <c:ptCount val="10"/>
                <c:pt idx="0">
                  <c:v>0</c:v>
                </c:pt>
                <c:pt idx="1">
                  <c:v>1095.8888999999999</c:v>
                </c:pt>
                <c:pt idx="2">
                  <c:v>552.54939999999999</c:v>
                </c:pt>
                <c:pt idx="3">
                  <c:v>412.68379999999996</c:v>
                </c:pt>
                <c:pt idx="4">
                  <c:v>428.53909999999996</c:v>
                </c:pt>
                <c:pt idx="5">
                  <c:v>397.65359999999993</c:v>
                </c:pt>
                <c:pt idx="6">
                  <c:v>355.1275</c:v>
                </c:pt>
                <c:pt idx="7">
                  <c:v>315.72340000000008</c:v>
                </c:pt>
                <c:pt idx="8">
                  <c:v>289.58780000000002</c:v>
                </c:pt>
                <c:pt idx="9">
                  <c:v>263.22919999999999</c:v>
                </c:pt>
              </c:numCache>
              <c:extLst/>
            </c:numRef>
          </c:val>
          <c:extLst>
            <c:ext xmlns:c16="http://schemas.microsoft.com/office/drawing/2014/chart" uri="{C3380CC4-5D6E-409C-BE32-E72D297353CC}">
              <c16:uniqueId val="{00000007-86CD-1145-95BC-98EA10FF5284}"/>
            </c:ext>
          </c:extLst>
        </c:ser>
        <c:ser>
          <c:idx val="7"/>
          <c:order val="8"/>
          <c:tx>
            <c:strRef>
              <c:f>'grafD-KBTPM'!$O$11</c:f>
              <c:strCache>
                <c:ptCount val="1"/>
                <c:pt idx="0">
                  <c:v>LFA platby (TTP nebo z.p.)</c:v>
                </c:pt>
              </c:strCache>
            </c:strRef>
          </c:tx>
          <c:spPr>
            <a:solidFill>
              <a:srgbClr val="00B050"/>
            </a:solidFill>
            <a:ln>
              <a:noFill/>
            </a:ln>
            <a:effectLst/>
          </c:spPr>
          <c:invertIfNegative val="0"/>
          <c:cat>
            <c:strRef>
              <c:f>'grafD-KBTPM'!$P$2:$AA$2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'grafD-KBTPM'!$P$11:$AA$11</c:f>
              <c:numCache>
                <c:formatCode>#,##0</c:formatCode>
                <c:ptCount val="10"/>
                <c:pt idx="0">
                  <c:v>6760.939566071931</c:v>
                </c:pt>
                <c:pt idx="1">
                  <c:v>6746.7834356850508</c:v>
                </c:pt>
                <c:pt idx="2">
                  <c:v>6845.0314992050007</c:v>
                </c:pt>
                <c:pt idx="3">
                  <c:v>7460.2704793573967</c:v>
                </c:pt>
                <c:pt idx="4">
                  <c:v>2857.5314212443832</c:v>
                </c:pt>
                <c:pt idx="5">
                  <c:v>2784.1742057431757</c:v>
                </c:pt>
                <c:pt idx="6">
                  <c:v>2783.9681461490713</c:v>
                </c:pt>
                <c:pt idx="7">
                  <c:v>5350.5518252487254</c:v>
                </c:pt>
                <c:pt idx="8">
                  <c:v>5390.154499811958</c:v>
                </c:pt>
                <c:pt idx="9">
                  <c:v>5284.8243187653379</c:v>
                </c:pt>
              </c:numCache>
              <c:extLst/>
            </c:numRef>
          </c:val>
          <c:extLst>
            <c:ext xmlns:c16="http://schemas.microsoft.com/office/drawing/2014/chart" uri="{C3380CC4-5D6E-409C-BE32-E72D297353CC}">
              <c16:uniqueId val="{00000008-86CD-1145-95BC-98EA10FF5284}"/>
            </c:ext>
          </c:extLst>
        </c:ser>
        <c:ser>
          <c:idx val="8"/>
          <c:order val="9"/>
          <c:tx>
            <c:strRef>
              <c:f>'grafD-KBTPM'!$O$12</c:f>
              <c:strCache>
                <c:ptCount val="1"/>
                <c:pt idx="0">
                  <c:v>AEKO (na TTP)</c:v>
                </c:pt>
              </c:strCache>
            </c:strRef>
          </c:tx>
          <c:spPr>
            <a:solidFill>
              <a:srgbClr val="92D050"/>
            </a:solidFill>
            <a:ln>
              <a:noFill/>
            </a:ln>
            <a:effectLst/>
          </c:spPr>
          <c:invertIfNegative val="0"/>
          <c:cat>
            <c:strRef>
              <c:f>'grafD-KBTPM'!$P$2:$AA$2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'grafD-KBTPM'!$P$12:$AA$12</c:f>
              <c:numCache>
                <c:formatCode>#,##0</c:formatCode>
                <c:ptCount val="10"/>
                <c:pt idx="0">
                  <c:v>5243.27</c:v>
                </c:pt>
                <c:pt idx="1">
                  <c:v>5330.48</c:v>
                </c:pt>
                <c:pt idx="2">
                  <c:v>5271.2199999999993</c:v>
                </c:pt>
                <c:pt idx="3">
                  <c:v>5745.1810999999998</c:v>
                </c:pt>
                <c:pt idx="4">
                  <c:v>5789.5085999999992</c:v>
                </c:pt>
                <c:pt idx="5">
                  <c:v>5785.0882999999994</c:v>
                </c:pt>
                <c:pt idx="6">
                  <c:v>5784.6645999999992</c:v>
                </c:pt>
                <c:pt idx="7">
                  <c:v>5466.5328000000009</c:v>
                </c:pt>
                <c:pt idx="8">
                  <c:v>5506.993919999999</c:v>
                </c:pt>
                <c:pt idx="9">
                  <c:v>5506.993919999999</c:v>
                </c:pt>
              </c:numCache>
              <c:extLst/>
            </c:numRef>
          </c:val>
          <c:extLst>
            <c:ext xmlns:c16="http://schemas.microsoft.com/office/drawing/2014/chart" uri="{C3380CC4-5D6E-409C-BE32-E72D297353CC}">
              <c16:uniqueId val="{00000009-86CD-1145-95BC-98EA10FF5284}"/>
            </c:ext>
          </c:extLst>
        </c:ser>
        <c:ser>
          <c:idx val="11"/>
          <c:order val="10"/>
          <c:tx>
            <c:strRef>
              <c:f>'grafD-KBTPM'!$O$15</c:f>
              <c:strCache>
                <c:ptCount val="1"/>
                <c:pt idx="0">
                  <c:v>Ekologické zemědělství (TTP)</c:v>
                </c:pt>
              </c:strCache>
            </c:strRef>
          </c:tx>
          <c:spPr>
            <a:solidFill>
              <a:schemeClr val="accent6">
                <a:lumMod val="60000"/>
              </a:schemeClr>
            </a:solidFill>
            <a:ln>
              <a:noFill/>
            </a:ln>
            <a:effectLst/>
          </c:spPr>
          <c:invertIfNegative val="0"/>
          <c:cat>
            <c:strRef>
              <c:f>'grafD-KBTPM'!$P$2:$AA$2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'grafD-KBTPM'!$P$15:$AA$15</c:f>
              <c:numCache>
                <c:formatCode>#,##0</c:formatCode>
                <c:ptCount val="10"/>
                <c:pt idx="0">
                  <c:v>2670.108271506178</c:v>
                </c:pt>
                <c:pt idx="1">
                  <c:v>2714.3509970080722</c:v>
                </c:pt>
                <c:pt idx="2">
                  <c:v>2683.2615142229574</c:v>
                </c:pt>
                <c:pt idx="3">
                  <c:v>2924.5756881023403</c:v>
                </c:pt>
                <c:pt idx="4">
                  <c:v>2752.6149758205206</c:v>
                </c:pt>
                <c:pt idx="5">
                  <c:v>2681.9581474446586</c:v>
                </c:pt>
                <c:pt idx="6">
                  <c:v>2681.7548700572174</c:v>
                </c:pt>
                <c:pt idx="7">
                  <c:v>2533.7928469868302</c:v>
                </c:pt>
                <c:pt idx="8">
                  <c:v>2553.0348453321408</c:v>
                </c:pt>
                <c:pt idx="9">
                  <c:v>2521.6727316979868</c:v>
                </c:pt>
              </c:numCache>
              <c:extLst/>
            </c:numRef>
          </c:val>
          <c:extLst>
            <c:ext xmlns:c16="http://schemas.microsoft.com/office/drawing/2014/chart" uri="{C3380CC4-5D6E-409C-BE32-E72D297353CC}">
              <c16:uniqueId val="{0000000A-86CD-1145-95BC-98EA10FF5284}"/>
            </c:ext>
          </c:extLst>
        </c:ser>
        <c:ser>
          <c:idx val="10"/>
          <c:order val="11"/>
          <c:tx>
            <c:strRef>
              <c:f>'grafD-KBTPM'!$O$14</c:f>
              <c:strCache>
                <c:ptCount val="1"/>
                <c:pt idx="0">
                  <c:v>Zelená nafta RV (od 1.7.2017 dle zatížení DJ zvířat)</c:v>
                </c:pt>
              </c:strCache>
            </c:strRef>
          </c:tx>
          <c:spPr>
            <a:solidFill>
              <a:srgbClr val="FF0000"/>
            </a:solidFill>
            <a:ln>
              <a:noFill/>
            </a:ln>
            <a:effectLst/>
          </c:spPr>
          <c:invertIfNegative val="0"/>
          <c:cat>
            <c:strRef>
              <c:f>'grafD-KBTPM'!$P$2:$AA$2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'grafD-KBTPM'!$P$14:$AA$14</c:f>
              <c:numCache>
                <c:formatCode>#,##0</c:formatCode>
                <c:ptCount val="10"/>
                <c:pt idx="0">
                  <c:v>488.95246816083534</c:v>
                </c:pt>
                <c:pt idx="1">
                  <c:v>470.81270516971699</c:v>
                </c:pt>
                <c:pt idx="2">
                  <c:v>332.63615608104453</c:v>
                </c:pt>
                <c:pt idx="3">
                  <c:v>260.76556498487503</c:v>
                </c:pt>
                <c:pt idx="4">
                  <c:v>331.18583810702216</c:v>
                </c:pt>
                <c:pt idx="5">
                  <c:v>337.39188879760013</c:v>
                </c:pt>
                <c:pt idx="6">
                  <c:v>292.79532573942947</c:v>
                </c:pt>
                <c:pt idx="7">
                  <c:v>322.21252282055718</c:v>
                </c:pt>
                <c:pt idx="8">
                  <c:v>361.05767740819022</c:v>
                </c:pt>
                <c:pt idx="9">
                  <c:v>384.17149115308109</c:v>
                </c:pt>
              </c:numCache>
              <c:extLst/>
            </c:numRef>
          </c:val>
          <c:extLst>
            <c:ext xmlns:c16="http://schemas.microsoft.com/office/drawing/2014/chart" uri="{C3380CC4-5D6E-409C-BE32-E72D297353CC}">
              <c16:uniqueId val="{0000000B-86CD-1145-95BC-98EA10FF5284}"/>
            </c:ext>
          </c:extLst>
        </c:ser>
        <c:ser>
          <c:idx val="9"/>
          <c:order val="12"/>
          <c:tx>
            <c:strRef>
              <c:f>'grafD-KBTPM'!$O$13</c:f>
              <c:strCache>
                <c:ptCount val="1"/>
                <c:pt idx="0">
                  <c:v>Kompenzace sucho</c:v>
                </c:pt>
              </c:strCache>
            </c:strRef>
          </c:tx>
          <c:spPr>
            <a:solidFill>
              <a:srgbClr val="FFFF00"/>
            </a:solidFill>
            <a:ln>
              <a:noFill/>
            </a:ln>
            <a:effectLst/>
          </c:spPr>
          <c:invertIfNegative val="0"/>
          <c:cat>
            <c:strRef>
              <c:f>'grafD-KBTPM'!$P$2:$AA$2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'grafD-KBTPM'!$P$13:$AA$13</c:f>
              <c:numCache>
                <c:formatCode>#,##0</c:formatCode>
                <c:ptCount val="10"/>
                <c:pt idx="0">
                  <c:v>0</c:v>
                </c:pt>
                <c:pt idx="1">
                  <c:v>0</c:v>
                </c:pt>
                <c:pt idx="2">
                  <c:v>0</c:v>
                </c:pt>
                <c:pt idx="3">
                  <c:v>0</c:v>
                </c:pt>
                <c:pt idx="4">
                  <c:v>413.78275858625011</c:v>
                </c:pt>
                <c:pt idx="5">
                  <c:v>0</c:v>
                </c:pt>
                <c:pt idx="6">
                  <c:v>102.13399999999999</c:v>
                </c:pt>
                <c:pt idx="7">
                  <c:v>1536.9181197546</c:v>
                </c:pt>
                <c:pt idx="8">
                  <c:v>0</c:v>
                </c:pt>
                <c:pt idx="9">
                  <c:v>0</c:v>
                </c:pt>
              </c:numCache>
              <c:extLst/>
            </c:numRef>
          </c:val>
          <c:extLst>
            <c:ext xmlns:c16="http://schemas.microsoft.com/office/drawing/2014/chart" uri="{C3380CC4-5D6E-409C-BE32-E72D297353CC}">
              <c16:uniqueId val="{0000000C-86CD-1145-95BC-98EA10FF5284}"/>
            </c:ext>
          </c:extLst>
        </c:ser>
        <c:dLbls>
          <c:showLegendKey val="0"/>
          <c:showVal val="0"/>
          <c:showCatName val="0"/>
          <c:showSerName val="0"/>
          <c:showPercent val="0"/>
          <c:showBubbleSize val="0"/>
        </c:dLbls>
        <c:gapWidth val="150"/>
        <c:overlap val="100"/>
        <c:axId val="611508280"/>
        <c:axId val="496110968"/>
      </c:barChart>
      <c:catAx>
        <c:axId val="611508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96110968"/>
        <c:crosses val="autoZero"/>
        <c:auto val="1"/>
        <c:lblAlgn val="ctr"/>
        <c:lblOffset val="100"/>
        <c:noMultiLvlLbl val="0"/>
      </c:catAx>
      <c:valAx>
        <c:axId val="49611096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611508280"/>
        <c:crosses val="autoZero"/>
        <c:crossBetween val="between"/>
      </c:valAx>
      <c:spPr>
        <a:noFill/>
        <a:ln>
          <a:noFill/>
        </a:ln>
        <a:effectLst/>
      </c:spPr>
    </c:plotArea>
    <c:legend>
      <c:legendPos val="b"/>
      <c:layout>
        <c:manualLayout>
          <c:xMode val="edge"/>
          <c:yMode val="edge"/>
          <c:x val="3.8486076814362703E-2"/>
          <c:y val="0.76015672489258368"/>
          <c:w val="0.94916305580145677"/>
          <c:h val="0.2398432751074164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sz="1800" b="1" i="0" baseline="0">
                <a:effectLst/>
              </a:rPr>
              <a:t>Struktura podpor u výkrmu skotu (Kč/ks)</a:t>
            </a:r>
            <a:endParaRPr lang="cs-CZ">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manualLayout>
          <c:layoutTarget val="inner"/>
          <c:xMode val="edge"/>
          <c:yMode val="edge"/>
          <c:x val="7.3635583287938067E-2"/>
          <c:y val="8.5337927271185693E-2"/>
          <c:w val="0.90330362006635967"/>
          <c:h val="0.67692941222934866"/>
        </c:manualLayout>
      </c:layout>
      <c:barChart>
        <c:barDir val="col"/>
        <c:grouping val="stacked"/>
        <c:varyColors val="0"/>
        <c:ser>
          <c:idx val="0"/>
          <c:order val="0"/>
          <c:tx>
            <c:strRef>
              <c:f>'Dot-výkrm skotu'!$B$28:$C$28</c:f>
              <c:strCache>
                <c:ptCount val="2"/>
                <c:pt idx="0">
                  <c:v>   PVP - Přežvýkavci (historické VDJ)1)</c:v>
                </c:pt>
              </c:strCache>
            </c:strRef>
          </c:tx>
          <c:spPr>
            <a:solidFill>
              <a:schemeClr val="accent1"/>
            </a:solidFill>
            <a:ln>
              <a:noFill/>
            </a:ln>
            <a:effectLst/>
          </c:spPr>
          <c:invertIfNegative val="0"/>
          <c:cat>
            <c:strRef>
              <c:f>'Dot-výkrm skotu'!$T$27:$AC$27</c:f>
              <c:strCache>
                <c:ptCount val="10"/>
                <c:pt idx="0">
                  <c:v>2011</c:v>
                </c:pt>
                <c:pt idx="1">
                  <c:v>2012</c:v>
                </c:pt>
                <c:pt idx="2">
                  <c:v>2013</c:v>
                </c:pt>
                <c:pt idx="3">
                  <c:v>2014</c:v>
                </c:pt>
                <c:pt idx="4">
                  <c:v>2015</c:v>
                </c:pt>
                <c:pt idx="5">
                  <c:v>2016</c:v>
                </c:pt>
                <c:pt idx="6">
                  <c:v>2017</c:v>
                </c:pt>
                <c:pt idx="7">
                  <c:v>2018</c:v>
                </c:pt>
                <c:pt idx="8">
                  <c:v>2019</c:v>
                </c:pt>
                <c:pt idx="9">
                  <c:v>2020p</c:v>
                </c:pt>
              </c:strCache>
            </c:strRef>
          </c:cat>
          <c:val>
            <c:numRef>
              <c:f>'Dot-výkrm skotu'!$T$28:$AC$28</c:f>
              <c:numCache>
                <c:formatCode>#,##0</c:formatCode>
                <c:ptCount val="10"/>
                <c:pt idx="0">
                  <c:v>728.64</c:v>
                </c:pt>
                <c:pt idx="1">
                  <c:v>403.64800000000002</c:v>
                </c:pt>
                <c:pt idx="2">
                  <c:v>103.536</c:v>
                </c:pt>
                <c:pt idx="3">
                  <c:v>77.312000000000012</c:v>
                </c:pt>
                <c:pt idx="4">
                  <c:v>81.304000000000002</c:v>
                </c:pt>
                <c:pt idx="5">
                  <c:v>76.320000000000007</c:v>
                </c:pt>
                <c:pt idx="6">
                  <c:v>68.52000000000001</c:v>
                </c:pt>
                <c:pt idx="7">
                  <c:v>61.160000000000004</c:v>
                </c:pt>
                <c:pt idx="8">
                  <c:v>56.152000000000001</c:v>
                </c:pt>
                <c:pt idx="9">
                  <c:v>51.391999999999996</c:v>
                </c:pt>
              </c:numCache>
            </c:numRef>
          </c:val>
          <c:extLst>
            <c:ext xmlns:c16="http://schemas.microsoft.com/office/drawing/2014/chart" uri="{C3380CC4-5D6E-409C-BE32-E72D297353CC}">
              <c16:uniqueId val="{00000000-BBB8-2C44-9702-DF6AFD0306D2}"/>
            </c:ext>
          </c:extLst>
        </c:ser>
        <c:ser>
          <c:idx val="1"/>
          <c:order val="1"/>
          <c:tx>
            <c:strRef>
              <c:f>'Dot-výkrm skotu'!$B$29:$C$29</c:f>
              <c:strCache>
                <c:ptCount val="2"/>
                <c:pt idx="0">
                  <c:v>   Zelená nafta ŽV</c:v>
                </c:pt>
              </c:strCache>
            </c:strRef>
          </c:tx>
          <c:spPr>
            <a:solidFill>
              <a:schemeClr val="accent2"/>
            </a:solidFill>
            <a:ln>
              <a:noFill/>
            </a:ln>
            <a:effectLst/>
          </c:spPr>
          <c:invertIfNegative val="0"/>
          <c:cat>
            <c:strRef>
              <c:f>'Dot-výkrm skotu'!$T$27:$AC$27</c:f>
              <c:strCache>
                <c:ptCount val="10"/>
                <c:pt idx="0">
                  <c:v>2011</c:v>
                </c:pt>
                <c:pt idx="1">
                  <c:v>2012</c:v>
                </c:pt>
                <c:pt idx="2">
                  <c:v>2013</c:v>
                </c:pt>
                <c:pt idx="3">
                  <c:v>2014</c:v>
                </c:pt>
                <c:pt idx="4">
                  <c:v>2015</c:v>
                </c:pt>
                <c:pt idx="5">
                  <c:v>2016</c:v>
                </c:pt>
                <c:pt idx="6">
                  <c:v>2017</c:v>
                </c:pt>
                <c:pt idx="7">
                  <c:v>2018</c:v>
                </c:pt>
                <c:pt idx="8">
                  <c:v>2019</c:v>
                </c:pt>
                <c:pt idx="9">
                  <c:v>2020p</c:v>
                </c:pt>
              </c:strCache>
            </c:strRef>
          </c:cat>
          <c:val>
            <c:numRef>
              <c:f>'Dot-výkrm skotu'!$T$29:$AC$29</c:f>
              <c:numCache>
                <c:formatCode>#,##0</c:formatCode>
                <c:ptCount val="10"/>
                <c:pt idx="0">
                  <c:v>0</c:v>
                </c:pt>
                <c:pt idx="1">
                  <c:v>0</c:v>
                </c:pt>
                <c:pt idx="2">
                  <c:v>0</c:v>
                </c:pt>
                <c:pt idx="3">
                  <c:v>0</c:v>
                </c:pt>
                <c:pt idx="4">
                  <c:v>0</c:v>
                </c:pt>
                <c:pt idx="5">
                  <c:v>541.32093018273213</c:v>
                </c:pt>
                <c:pt idx="6">
                  <c:v>465.93363916875541</c:v>
                </c:pt>
                <c:pt idx="7">
                  <c:v>979.88775025204279</c:v>
                </c:pt>
                <c:pt idx="8">
                  <c:v>1082.1580582827137</c:v>
                </c:pt>
                <c:pt idx="9">
                  <c:v>1144.1919385921742</c:v>
                </c:pt>
              </c:numCache>
            </c:numRef>
          </c:val>
          <c:extLst>
            <c:ext xmlns:c16="http://schemas.microsoft.com/office/drawing/2014/chart" uri="{C3380CC4-5D6E-409C-BE32-E72D297353CC}">
              <c16:uniqueId val="{00000001-BBB8-2C44-9702-DF6AFD0306D2}"/>
            </c:ext>
          </c:extLst>
        </c:ser>
        <c:ser>
          <c:idx val="2"/>
          <c:order val="2"/>
          <c:tx>
            <c:strRef>
              <c:f>'Dot-výkrm skotu'!$B$30:$C$30</c:f>
              <c:strCache>
                <c:ptCount val="2"/>
                <c:pt idx="0">
                  <c:v>  Podpora pojištění ŽV</c:v>
                </c:pt>
              </c:strCache>
            </c:strRef>
          </c:tx>
          <c:spPr>
            <a:solidFill>
              <a:schemeClr val="accent3"/>
            </a:solidFill>
            <a:ln>
              <a:noFill/>
            </a:ln>
            <a:effectLst/>
          </c:spPr>
          <c:invertIfNegative val="0"/>
          <c:cat>
            <c:strRef>
              <c:f>'Dot-výkrm skotu'!$T$27:$AC$27</c:f>
              <c:strCache>
                <c:ptCount val="10"/>
                <c:pt idx="0">
                  <c:v>2011</c:v>
                </c:pt>
                <c:pt idx="1">
                  <c:v>2012</c:v>
                </c:pt>
                <c:pt idx="2">
                  <c:v>2013</c:v>
                </c:pt>
                <c:pt idx="3">
                  <c:v>2014</c:v>
                </c:pt>
                <c:pt idx="4">
                  <c:v>2015</c:v>
                </c:pt>
                <c:pt idx="5">
                  <c:v>2016</c:v>
                </c:pt>
                <c:pt idx="6">
                  <c:v>2017</c:v>
                </c:pt>
                <c:pt idx="7">
                  <c:v>2018</c:v>
                </c:pt>
                <c:pt idx="8">
                  <c:v>2019</c:v>
                </c:pt>
                <c:pt idx="9">
                  <c:v>2020p</c:v>
                </c:pt>
              </c:strCache>
            </c:strRef>
          </c:cat>
          <c:val>
            <c:numRef>
              <c:f>'Dot-výkrm skotu'!$T$30:$AC$30</c:f>
              <c:numCache>
                <c:formatCode>#,##0</c:formatCode>
                <c:ptCount val="10"/>
                <c:pt idx="0">
                  <c:v>44.732529115624992</c:v>
                </c:pt>
                <c:pt idx="1">
                  <c:v>36.150264552514109</c:v>
                </c:pt>
                <c:pt idx="2">
                  <c:v>44.391807516274412</c:v>
                </c:pt>
                <c:pt idx="3">
                  <c:v>45.128795780812247</c:v>
                </c:pt>
                <c:pt idx="4">
                  <c:v>51.139844195951746</c:v>
                </c:pt>
                <c:pt idx="5">
                  <c:v>49.996501693971062</c:v>
                </c:pt>
                <c:pt idx="6">
                  <c:v>49.020562677619004</c:v>
                </c:pt>
                <c:pt idx="7">
                  <c:v>49.376248340505178</c:v>
                </c:pt>
                <c:pt idx="8">
                  <c:v>47.151228933164745</c:v>
                </c:pt>
                <c:pt idx="9">
                  <c:v>47.151228933164745</c:v>
                </c:pt>
              </c:numCache>
            </c:numRef>
          </c:val>
          <c:extLst>
            <c:ext xmlns:c16="http://schemas.microsoft.com/office/drawing/2014/chart" uri="{C3380CC4-5D6E-409C-BE32-E72D297353CC}">
              <c16:uniqueId val="{00000002-BBB8-2C44-9702-DF6AFD0306D2}"/>
            </c:ext>
          </c:extLst>
        </c:ser>
        <c:ser>
          <c:idx val="3"/>
          <c:order val="3"/>
          <c:tx>
            <c:strRef>
              <c:f>'Dot-výkrm skotu'!$B$31:$C$31</c:f>
              <c:strCache>
                <c:ptCount val="2"/>
                <c:pt idx="0">
                  <c:v>   VCS - Bílkovinné krmné plodiny</c:v>
                </c:pt>
              </c:strCache>
            </c:strRef>
          </c:tx>
          <c:spPr>
            <a:solidFill>
              <a:schemeClr val="accent4"/>
            </a:solidFill>
            <a:ln>
              <a:noFill/>
            </a:ln>
            <a:effectLst/>
          </c:spPr>
          <c:invertIfNegative val="0"/>
          <c:cat>
            <c:strRef>
              <c:f>'Dot-výkrm skotu'!$T$27:$AC$27</c:f>
              <c:strCache>
                <c:ptCount val="10"/>
                <c:pt idx="0">
                  <c:v>2011</c:v>
                </c:pt>
                <c:pt idx="1">
                  <c:v>2012</c:v>
                </c:pt>
                <c:pt idx="2">
                  <c:v>2013</c:v>
                </c:pt>
                <c:pt idx="3">
                  <c:v>2014</c:v>
                </c:pt>
                <c:pt idx="4">
                  <c:v>2015</c:v>
                </c:pt>
                <c:pt idx="5">
                  <c:v>2016</c:v>
                </c:pt>
                <c:pt idx="6">
                  <c:v>2017</c:v>
                </c:pt>
                <c:pt idx="7">
                  <c:v>2018</c:v>
                </c:pt>
                <c:pt idx="8">
                  <c:v>2019</c:v>
                </c:pt>
                <c:pt idx="9">
                  <c:v>2020p</c:v>
                </c:pt>
              </c:strCache>
            </c:strRef>
          </c:cat>
          <c:val>
            <c:numRef>
              <c:f>'Dot-výkrm skotu'!$T$31:$AC$31</c:f>
              <c:numCache>
                <c:formatCode>#,##0</c:formatCode>
                <c:ptCount val="10"/>
                <c:pt idx="0">
                  <c:v>0</c:v>
                </c:pt>
                <c:pt idx="1">
                  <c:v>0</c:v>
                </c:pt>
                <c:pt idx="2">
                  <c:v>0</c:v>
                </c:pt>
                <c:pt idx="3">
                  <c:v>0</c:v>
                </c:pt>
                <c:pt idx="4">
                  <c:v>947.32593115801023</c:v>
                </c:pt>
                <c:pt idx="5">
                  <c:v>730.31149690055565</c:v>
                </c:pt>
                <c:pt idx="6">
                  <c:v>746.86926090223596</c:v>
                </c:pt>
                <c:pt idx="7">
                  <c:v>638.04671683820845</c:v>
                </c:pt>
                <c:pt idx="8">
                  <c:v>532.24374429422426</c:v>
                </c:pt>
                <c:pt idx="9">
                  <c:v>496.88513792877677</c:v>
                </c:pt>
              </c:numCache>
            </c:numRef>
          </c:val>
          <c:extLst>
            <c:ext xmlns:c16="http://schemas.microsoft.com/office/drawing/2014/chart" uri="{C3380CC4-5D6E-409C-BE32-E72D297353CC}">
              <c16:uniqueId val="{00000003-BBB8-2C44-9702-DF6AFD0306D2}"/>
            </c:ext>
          </c:extLst>
        </c:ser>
        <c:ser>
          <c:idx val="4"/>
          <c:order val="4"/>
          <c:tx>
            <c:strRef>
              <c:f>'Dot-výkrm skotu'!$B$32:$C$32</c:f>
              <c:strCache>
                <c:ptCount val="2"/>
                <c:pt idx="0">
                  <c:v>SAPS (+ greening) vázající se na krmné plodiny</c:v>
                </c:pt>
              </c:strCache>
            </c:strRef>
          </c:tx>
          <c:spPr>
            <a:solidFill>
              <a:schemeClr val="accent5"/>
            </a:solidFill>
            <a:ln>
              <a:noFill/>
            </a:ln>
            <a:effectLst/>
          </c:spPr>
          <c:invertIfNegative val="0"/>
          <c:cat>
            <c:strRef>
              <c:f>'Dot-výkrm skotu'!$T$27:$AC$27</c:f>
              <c:strCache>
                <c:ptCount val="10"/>
                <c:pt idx="0">
                  <c:v>2011</c:v>
                </c:pt>
                <c:pt idx="1">
                  <c:v>2012</c:v>
                </c:pt>
                <c:pt idx="2">
                  <c:v>2013</c:v>
                </c:pt>
                <c:pt idx="3">
                  <c:v>2014</c:v>
                </c:pt>
                <c:pt idx="4">
                  <c:v>2015</c:v>
                </c:pt>
                <c:pt idx="5">
                  <c:v>2016</c:v>
                </c:pt>
                <c:pt idx="6">
                  <c:v>2017</c:v>
                </c:pt>
                <c:pt idx="7">
                  <c:v>2018</c:v>
                </c:pt>
                <c:pt idx="8">
                  <c:v>2019</c:v>
                </c:pt>
                <c:pt idx="9">
                  <c:v>2020p</c:v>
                </c:pt>
              </c:strCache>
            </c:strRef>
          </c:cat>
          <c:val>
            <c:numRef>
              <c:f>'Dot-výkrm skotu'!$T$32:$AC$32</c:f>
              <c:numCache>
                <c:formatCode>#,##0</c:formatCode>
                <c:ptCount val="10"/>
                <c:pt idx="0">
                  <c:v>5301.3827432845519</c:v>
                </c:pt>
                <c:pt idx="1">
                  <c:v>6334.3583809340671</c:v>
                </c:pt>
                <c:pt idx="2">
                  <c:v>6765.8410975945189</c:v>
                </c:pt>
                <c:pt idx="3">
                  <c:v>5815.2660100487637</c:v>
                </c:pt>
                <c:pt idx="4">
                  <c:v>6193.1420075410606</c:v>
                </c:pt>
                <c:pt idx="5">
                  <c:v>5128.7531399780773</c:v>
                </c:pt>
                <c:pt idx="6">
                  <c:v>5942.9322215413104</c:v>
                </c:pt>
                <c:pt idx="7">
                  <c:v>6844.5437299529331</c:v>
                </c:pt>
                <c:pt idx="8">
                  <c:v>5919.0147497346134</c:v>
                </c:pt>
                <c:pt idx="9">
                  <c:v>6268.2784487269109</c:v>
                </c:pt>
              </c:numCache>
            </c:numRef>
          </c:val>
          <c:extLst>
            <c:ext xmlns:c16="http://schemas.microsoft.com/office/drawing/2014/chart" uri="{C3380CC4-5D6E-409C-BE32-E72D297353CC}">
              <c16:uniqueId val="{00000004-BBB8-2C44-9702-DF6AFD0306D2}"/>
            </c:ext>
          </c:extLst>
        </c:ser>
        <c:ser>
          <c:idx val="5"/>
          <c:order val="5"/>
          <c:tx>
            <c:strRef>
              <c:f>'Dot-výkrm skotu'!$B$33:$C$33</c:f>
              <c:strCache>
                <c:ptCount val="2"/>
                <c:pt idx="0">
                  <c:v>PVP na z.p. - krmné plodiny</c:v>
                </c:pt>
              </c:strCache>
            </c:strRef>
          </c:tx>
          <c:spPr>
            <a:solidFill>
              <a:schemeClr val="accent6"/>
            </a:solidFill>
            <a:ln>
              <a:noFill/>
            </a:ln>
            <a:effectLst/>
          </c:spPr>
          <c:invertIfNegative val="0"/>
          <c:cat>
            <c:strRef>
              <c:f>'Dot-výkrm skotu'!$T$27:$AC$27</c:f>
              <c:strCache>
                <c:ptCount val="10"/>
                <c:pt idx="0">
                  <c:v>2011</c:v>
                </c:pt>
                <c:pt idx="1">
                  <c:v>2012</c:v>
                </c:pt>
                <c:pt idx="2">
                  <c:v>2013</c:v>
                </c:pt>
                <c:pt idx="3">
                  <c:v>2014</c:v>
                </c:pt>
                <c:pt idx="4">
                  <c:v>2015</c:v>
                </c:pt>
                <c:pt idx="5">
                  <c:v>2016</c:v>
                </c:pt>
                <c:pt idx="6">
                  <c:v>2017</c:v>
                </c:pt>
                <c:pt idx="7">
                  <c:v>2018</c:v>
                </c:pt>
                <c:pt idx="8">
                  <c:v>2019</c:v>
                </c:pt>
                <c:pt idx="9">
                  <c:v>2020p</c:v>
                </c:pt>
              </c:strCache>
            </c:strRef>
          </c:cat>
          <c:val>
            <c:numRef>
              <c:f>'Dot-výkrm skotu'!$T$33:$AC$33</c:f>
              <c:numCache>
                <c:formatCode>#,##0</c:formatCode>
                <c:ptCount val="10"/>
                <c:pt idx="0">
                  <c:v>0</c:v>
                </c:pt>
                <c:pt idx="1">
                  <c:v>577.82075235134994</c:v>
                </c:pt>
                <c:pt idx="2">
                  <c:v>276.23550097579283</c:v>
                </c:pt>
                <c:pt idx="3">
                  <c:v>179.44503175959971</c:v>
                </c:pt>
                <c:pt idx="4">
                  <c:v>216.88010809766246</c:v>
                </c:pt>
                <c:pt idx="5">
                  <c:v>168.02577635388229</c:v>
                </c:pt>
                <c:pt idx="6">
                  <c:v>180.92094869137037</c:v>
                </c:pt>
                <c:pt idx="7">
                  <c:v>184.03664992635811</c:v>
                </c:pt>
                <c:pt idx="8">
                  <c:v>145.62022567412097</c:v>
                </c:pt>
                <c:pt idx="9">
                  <c:v>130.77586072535311</c:v>
                </c:pt>
              </c:numCache>
            </c:numRef>
          </c:val>
          <c:extLst>
            <c:ext xmlns:c16="http://schemas.microsoft.com/office/drawing/2014/chart" uri="{C3380CC4-5D6E-409C-BE32-E72D297353CC}">
              <c16:uniqueId val="{00000005-BBB8-2C44-9702-DF6AFD0306D2}"/>
            </c:ext>
          </c:extLst>
        </c:ser>
        <c:ser>
          <c:idx val="6"/>
          <c:order val="6"/>
          <c:tx>
            <c:strRef>
              <c:f>'Dot-výkrm skotu'!$B$34:$C$34</c:f>
              <c:strCache>
                <c:ptCount val="2"/>
                <c:pt idx="0">
                  <c:v>LFA platby (TTP nebo z.p.)</c:v>
                </c:pt>
              </c:strCache>
            </c:strRef>
          </c:tx>
          <c:spPr>
            <a:solidFill>
              <a:schemeClr val="accent1">
                <a:lumMod val="60000"/>
              </a:schemeClr>
            </a:solidFill>
            <a:ln>
              <a:noFill/>
            </a:ln>
            <a:effectLst/>
          </c:spPr>
          <c:invertIfNegative val="0"/>
          <c:cat>
            <c:strRef>
              <c:f>'Dot-výkrm skotu'!$T$27:$AC$27</c:f>
              <c:strCache>
                <c:ptCount val="10"/>
                <c:pt idx="0">
                  <c:v>2011</c:v>
                </c:pt>
                <c:pt idx="1">
                  <c:v>2012</c:v>
                </c:pt>
                <c:pt idx="2">
                  <c:v>2013</c:v>
                </c:pt>
                <c:pt idx="3">
                  <c:v>2014</c:v>
                </c:pt>
                <c:pt idx="4">
                  <c:v>2015</c:v>
                </c:pt>
                <c:pt idx="5">
                  <c:v>2016</c:v>
                </c:pt>
                <c:pt idx="6">
                  <c:v>2017</c:v>
                </c:pt>
                <c:pt idx="7">
                  <c:v>2018</c:v>
                </c:pt>
                <c:pt idx="8">
                  <c:v>2019</c:v>
                </c:pt>
                <c:pt idx="9">
                  <c:v>2020p</c:v>
                </c:pt>
              </c:strCache>
            </c:strRef>
          </c:cat>
          <c:val>
            <c:numRef>
              <c:f>'Dot-výkrm skotu'!$T$34:$AC$34</c:f>
              <c:numCache>
                <c:formatCode>#,##0</c:formatCode>
                <c:ptCount val="10"/>
                <c:pt idx="0">
                  <c:v>1055.9550040388294</c:v>
                </c:pt>
                <c:pt idx="1">
                  <c:v>1087.3601165847376</c:v>
                </c:pt>
                <c:pt idx="2">
                  <c:v>925.81403909046026</c:v>
                </c:pt>
                <c:pt idx="3">
                  <c:v>938.93996840613659</c:v>
                </c:pt>
                <c:pt idx="4">
                  <c:v>702.16509561474629</c:v>
                </c:pt>
                <c:pt idx="5">
                  <c:v>570.83480600294706</c:v>
                </c:pt>
                <c:pt idx="6">
                  <c:v>719.85104216200898</c:v>
                </c:pt>
                <c:pt idx="7">
                  <c:v>2497.9978379530394</c:v>
                </c:pt>
                <c:pt idx="8">
                  <c:v>2168.5397259667207</c:v>
                </c:pt>
                <c:pt idx="9">
                  <c:v>2099.3039953108687</c:v>
                </c:pt>
              </c:numCache>
            </c:numRef>
          </c:val>
          <c:extLst>
            <c:ext xmlns:c16="http://schemas.microsoft.com/office/drawing/2014/chart" uri="{C3380CC4-5D6E-409C-BE32-E72D297353CC}">
              <c16:uniqueId val="{00000006-BBB8-2C44-9702-DF6AFD0306D2}"/>
            </c:ext>
          </c:extLst>
        </c:ser>
        <c:ser>
          <c:idx val="7"/>
          <c:order val="7"/>
          <c:tx>
            <c:strRef>
              <c:f>'Dot-výkrm skotu'!$B$35:$C$35</c:f>
              <c:strCache>
                <c:ptCount val="2"/>
                <c:pt idx="0">
                  <c:v>AEKO (na TTP)</c:v>
                </c:pt>
              </c:strCache>
            </c:strRef>
          </c:tx>
          <c:spPr>
            <a:solidFill>
              <a:schemeClr val="accent2">
                <a:lumMod val="60000"/>
              </a:schemeClr>
            </a:solidFill>
            <a:ln>
              <a:noFill/>
            </a:ln>
            <a:effectLst/>
          </c:spPr>
          <c:invertIfNegative val="0"/>
          <c:cat>
            <c:strRef>
              <c:f>'Dot-výkrm skotu'!$T$27:$AC$27</c:f>
              <c:strCache>
                <c:ptCount val="10"/>
                <c:pt idx="0">
                  <c:v>2011</c:v>
                </c:pt>
                <c:pt idx="1">
                  <c:v>2012</c:v>
                </c:pt>
                <c:pt idx="2">
                  <c:v>2013</c:v>
                </c:pt>
                <c:pt idx="3">
                  <c:v>2014</c:v>
                </c:pt>
                <c:pt idx="4">
                  <c:v>2015</c:v>
                </c:pt>
                <c:pt idx="5">
                  <c:v>2016</c:v>
                </c:pt>
                <c:pt idx="6">
                  <c:v>2017</c:v>
                </c:pt>
                <c:pt idx="7">
                  <c:v>2018</c:v>
                </c:pt>
                <c:pt idx="8">
                  <c:v>2019</c:v>
                </c:pt>
                <c:pt idx="9">
                  <c:v>2020p</c:v>
                </c:pt>
              </c:strCache>
            </c:strRef>
          </c:cat>
          <c:val>
            <c:numRef>
              <c:f>'Dot-výkrm skotu'!$T$35:$AC$35</c:f>
              <c:numCache>
                <c:formatCode>#,##0</c:formatCode>
                <c:ptCount val="10"/>
                <c:pt idx="0">
                  <c:v>709.3035357916433</c:v>
                </c:pt>
                <c:pt idx="1">
                  <c:v>743.18522891790781</c:v>
                </c:pt>
                <c:pt idx="2">
                  <c:v>616.75715801088677</c:v>
                </c:pt>
                <c:pt idx="3">
                  <c:v>625.53629967175038</c:v>
                </c:pt>
                <c:pt idx="4">
                  <c:v>706.84507763246484</c:v>
                </c:pt>
                <c:pt idx="5">
                  <c:v>729.17523894446299</c:v>
                </c:pt>
                <c:pt idx="6">
                  <c:v>1010.2456874245079</c:v>
                </c:pt>
                <c:pt idx="7">
                  <c:v>1110.5399146519637</c:v>
                </c:pt>
                <c:pt idx="8">
                  <c:v>955.29516939556436</c:v>
                </c:pt>
                <c:pt idx="9">
                  <c:v>955.29516939556436</c:v>
                </c:pt>
              </c:numCache>
            </c:numRef>
          </c:val>
          <c:extLst>
            <c:ext xmlns:c16="http://schemas.microsoft.com/office/drawing/2014/chart" uri="{C3380CC4-5D6E-409C-BE32-E72D297353CC}">
              <c16:uniqueId val="{00000007-BBB8-2C44-9702-DF6AFD0306D2}"/>
            </c:ext>
          </c:extLst>
        </c:ser>
        <c:ser>
          <c:idx val="8"/>
          <c:order val="8"/>
          <c:tx>
            <c:strRef>
              <c:f>'Dot-výkrm skotu'!$B$36:$C$36</c:f>
              <c:strCache>
                <c:ptCount val="2"/>
                <c:pt idx="0">
                  <c:v>Kompenzace sucho 2015</c:v>
                </c:pt>
              </c:strCache>
            </c:strRef>
          </c:tx>
          <c:spPr>
            <a:solidFill>
              <a:schemeClr val="accent3">
                <a:lumMod val="60000"/>
              </a:schemeClr>
            </a:solidFill>
            <a:ln>
              <a:noFill/>
            </a:ln>
            <a:effectLst/>
          </c:spPr>
          <c:invertIfNegative val="0"/>
          <c:cat>
            <c:strRef>
              <c:f>'Dot-výkrm skotu'!$T$27:$AC$27</c:f>
              <c:strCache>
                <c:ptCount val="10"/>
                <c:pt idx="0">
                  <c:v>2011</c:v>
                </c:pt>
                <c:pt idx="1">
                  <c:v>2012</c:v>
                </c:pt>
                <c:pt idx="2">
                  <c:v>2013</c:v>
                </c:pt>
                <c:pt idx="3">
                  <c:v>2014</c:v>
                </c:pt>
                <c:pt idx="4">
                  <c:v>2015</c:v>
                </c:pt>
                <c:pt idx="5">
                  <c:v>2016</c:v>
                </c:pt>
                <c:pt idx="6">
                  <c:v>2017</c:v>
                </c:pt>
                <c:pt idx="7">
                  <c:v>2018</c:v>
                </c:pt>
                <c:pt idx="8">
                  <c:v>2019</c:v>
                </c:pt>
                <c:pt idx="9">
                  <c:v>2020p</c:v>
                </c:pt>
              </c:strCache>
            </c:strRef>
          </c:cat>
          <c:val>
            <c:numRef>
              <c:f>'Dot-výkrm skotu'!$T$36:$AC$36</c:f>
              <c:numCache>
                <c:formatCode>#,##0</c:formatCode>
                <c:ptCount val="10"/>
                <c:pt idx="0">
                  <c:v>0</c:v>
                </c:pt>
                <c:pt idx="1">
                  <c:v>0</c:v>
                </c:pt>
                <c:pt idx="2">
                  <c:v>0</c:v>
                </c:pt>
                <c:pt idx="3">
                  <c:v>0</c:v>
                </c:pt>
                <c:pt idx="4">
                  <c:v>1321.1306959460544</c:v>
                </c:pt>
                <c:pt idx="5">
                  <c:v>0</c:v>
                </c:pt>
                <c:pt idx="6">
                  <c:v>229.35608101760698</c:v>
                </c:pt>
                <c:pt idx="7">
                  <c:v>649.00987621981471</c:v>
                </c:pt>
                <c:pt idx="8">
                  <c:v>0</c:v>
                </c:pt>
                <c:pt idx="9">
                  <c:v>0</c:v>
                </c:pt>
              </c:numCache>
            </c:numRef>
          </c:val>
          <c:extLst>
            <c:ext xmlns:c16="http://schemas.microsoft.com/office/drawing/2014/chart" uri="{C3380CC4-5D6E-409C-BE32-E72D297353CC}">
              <c16:uniqueId val="{00000008-BBB8-2C44-9702-DF6AFD0306D2}"/>
            </c:ext>
          </c:extLst>
        </c:ser>
        <c:ser>
          <c:idx val="9"/>
          <c:order val="9"/>
          <c:tx>
            <c:strRef>
              <c:f>'Dot-výkrm skotu'!$B$37:$C$37</c:f>
              <c:strCache>
                <c:ptCount val="2"/>
                <c:pt idx="0">
                  <c:v>Zelená nafta RV (od 1.7.2017 dle zatížení DJ zvířat)</c:v>
                </c:pt>
              </c:strCache>
            </c:strRef>
          </c:tx>
          <c:spPr>
            <a:solidFill>
              <a:schemeClr val="accent4">
                <a:lumMod val="60000"/>
              </a:schemeClr>
            </a:solidFill>
            <a:ln>
              <a:noFill/>
            </a:ln>
            <a:effectLst/>
          </c:spPr>
          <c:invertIfNegative val="0"/>
          <c:cat>
            <c:strRef>
              <c:f>'Dot-výkrm skotu'!$T$27:$AC$27</c:f>
              <c:strCache>
                <c:ptCount val="10"/>
                <c:pt idx="0">
                  <c:v>2011</c:v>
                </c:pt>
                <c:pt idx="1">
                  <c:v>2012</c:v>
                </c:pt>
                <c:pt idx="2">
                  <c:v>2013</c:v>
                </c:pt>
                <c:pt idx="3">
                  <c:v>2014</c:v>
                </c:pt>
                <c:pt idx="4">
                  <c:v>2015</c:v>
                </c:pt>
                <c:pt idx="5">
                  <c:v>2016</c:v>
                </c:pt>
                <c:pt idx="6">
                  <c:v>2017</c:v>
                </c:pt>
                <c:pt idx="7">
                  <c:v>2018</c:v>
                </c:pt>
                <c:pt idx="8">
                  <c:v>2019</c:v>
                </c:pt>
                <c:pt idx="9">
                  <c:v>2020p</c:v>
                </c:pt>
              </c:strCache>
            </c:strRef>
          </c:cat>
          <c:val>
            <c:numRef>
              <c:f>'Dot-výkrm skotu'!$T$37:$AC$37</c:f>
              <c:numCache>
                <c:formatCode>#,##0</c:formatCode>
                <c:ptCount val="10"/>
                <c:pt idx="0">
                  <c:v>538.57607635108127</c:v>
                </c:pt>
                <c:pt idx="1">
                  <c:v>550.30848991388484</c:v>
                </c:pt>
                <c:pt idx="2">
                  <c:v>375.05465148290966</c:v>
                </c:pt>
                <c:pt idx="3">
                  <c:v>251.55694638234792</c:v>
                </c:pt>
                <c:pt idx="4">
                  <c:v>375.59552375802411</c:v>
                </c:pt>
                <c:pt idx="5">
                  <c:v>314.75428128126782</c:v>
                </c:pt>
                <c:pt idx="6">
                  <c:v>321.23852333301181</c:v>
                </c:pt>
                <c:pt idx="7">
                  <c:v>403.99190563030754</c:v>
                </c:pt>
                <c:pt idx="8">
                  <c:v>459.54389719112106</c:v>
                </c:pt>
                <c:pt idx="9">
                  <c:v>483.09070911156891</c:v>
                </c:pt>
              </c:numCache>
            </c:numRef>
          </c:val>
          <c:extLst>
            <c:ext xmlns:c16="http://schemas.microsoft.com/office/drawing/2014/chart" uri="{C3380CC4-5D6E-409C-BE32-E72D297353CC}">
              <c16:uniqueId val="{00000009-BBB8-2C44-9702-DF6AFD0306D2}"/>
            </c:ext>
          </c:extLst>
        </c:ser>
        <c:ser>
          <c:idx val="10"/>
          <c:order val="10"/>
          <c:tx>
            <c:strRef>
              <c:f>'Dot-výkrm skotu'!$B$38:$C$38</c:f>
              <c:strCache>
                <c:ptCount val="2"/>
                <c:pt idx="0">
                  <c:v> Podpora pojištění RV (krmné plodiny)</c:v>
                </c:pt>
              </c:strCache>
            </c:strRef>
          </c:tx>
          <c:spPr>
            <a:solidFill>
              <a:schemeClr val="accent5">
                <a:lumMod val="60000"/>
              </a:schemeClr>
            </a:solidFill>
            <a:ln>
              <a:noFill/>
            </a:ln>
            <a:effectLst/>
          </c:spPr>
          <c:invertIfNegative val="0"/>
          <c:cat>
            <c:strRef>
              <c:f>'Dot-výkrm skotu'!$T$27:$AC$27</c:f>
              <c:strCache>
                <c:ptCount val="10"/>
                <c:pt idx="0">
                  <c:v>2011</c:v>
                </c:pt>
                <c:pt idx="1">
                  <c:v>2012</c:v>
                </c:pt>
                <c:pt idx="2">
                  <c:v>2013</c:v>
                </c:pt>
                <c:pt idx="3">
                  <c:v>2014</c:v>
                </c:pt>
                <c:pt idx="4">
                  <c:v>2015</c:v>
                </c:pt>
                <c:pt idx="5">
                  <c:v>2016</c:v>
                </c:pt>
                <c:pt idx="6">
                  <c:v>2017</c:v>
                </c:pt>
                <c:pt idx="7">
                  <c:v>2018</c:v>
                </c:pt>
                <c:pt idx="8">
                  <c:v>2019</c:v>
                </c:pt>
                <c:pt idx="9">
                  <c:v>2020p</c:v>
                </c:pt>
              </c:strCache>
            </c:strRef>
          </c:cat>
          <c:val>
            <c:numRef>
              <c:f>'Dot-výkrm skotu'!$T$38:$AC$38</c:f>
              <c:numCache>
                <c:formatCode>#,##0</c:formatCode>
                <c:ptCount val="10"/>
                <c:pt idx="0">
                  <c:v>98.780595015786844</c:v>
                </c:pt>
                <c:pt idx="1">
                  <c:v>37.85686297915742</c:v>
                </c:pt>
                <c:pt idx="2">
                  <c:v>39.166985344583424</c:v>
                </c:pt>
                <c:pt idx="3">
                  <c:v>32.492964211646523</c:v>
                </c:pt>
                <c:pt idx="4">
                  <c:v>101.26742244972313</c:v>
                </c:pt>
                <c:pt idx="5">
                  <c:v>62.548233795208745</c:v>
                </c:pt>
                <c:pt idx="6">
                  <c:v>80.12613518055602</c:v>
                </c:pt>
                <c:pt idx="7">
                  <c:v>93.499293507246193</c:v>
                </c:pt>
                <c:pt idx="8">
                  <c:v>83.438945577745613</c:v>
                </c:pt>
                <c:pt idx="9">
                  <c:v>92.82181287017471</c:v>
                </c:pt>
              </c:numCache>
            </c:numRef>
          </c:val>
          <c:extLst>
            <c:ext xmlns:c16="http://schemas.microsoft.com/office/drawing/2014/chart" uri="{C3380CC4-5D6E-409C-BE32-E72D297353CC}">
              <c16:uniqueId val="{0000000A-BBB8-2C44-9702-DF6AFD0306D2}"/>
            </c:ext>
          </c:extLst>
        </c:ser>
        <c:dLbls>
          <c:showLegendKey val="0"/>
          <c:showVal val="0"/>
          <c:showCatName val="0"/>
          <c:showSerName val="0"/>
          <c:showPercent val="0"/>
          <c:showBubbleSize val="0"/>
        </c:dLbls>
        <c:gapWidth val="150"/>
        <c:overlap val="100"/>
        <c:axId val="403522560"/>
        <c:axId val="403518296"/>
      </c:barChart>
      <c:catAx>
        <c:axId val="403522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03518296"/>
        <c:crosses val="autoZero"/>
        <c:auto val="1"/>
        <c:lblAlgn val="ctr"/>
        <c:lblOffset val="100"/>
        <c:noMultiLvlLbl val="0"/>
      </c:catAx>
      <c:valAx>
        <c:axId val="40351829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03522560"/>
        <c:crosses val="autoZero"/>
        <c:crossBetween val="between"/>
      </c:valAx>
      <c:spPr>
        <a:noFill/>
        <a:ln>
          <a:noFill/>
        </a:ln>
        <a:effectLst/>
      </c:spPr>
    </c:plotArea>
    <c:legend>
      <c:legendPos val="b"/>
      <c:layout>
        <c:manualLayout>
          <c:xMode val="edge"/>
          <c:yMode val="edge"/>
          <c:x val="1.5208814445897457E-2"/>
          <c:y val="0.81104103129532601"/>
          <c:w val="0.97193808371126755"/>
          <c:h val="0.1751539656411228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4776342486830498E-2"/>
          <c:y val="5.725739896090011E-2"/>
          <c:w val="0.92705254547102922"/>
          <c:h val="0.8338388837165589"/>
        </c:manualLayout>
      </c:layout>
      <c:barChart>
        <c:barDir val="col"/>
        <c:grouping val="clustered"/>
        <c:varyColors val="0"/>
        <c:ser>
          <c:idx val="3"/>
          <c:order val="3"/>
          <c:tx>
            <c:strRef>
              <c:f>'grafy 1-6'!$B$295</c:f>
              <c:strCache>
                <c:ptCount val="1"/>
                <c:pt idx="0">
                  <c:v>Změna spotřeby krmiva na jatečné prase %</c:v>
                </c:pt>
              </c:strCache>
            </c:strRef>
          </c:tx>
          <c:spPr>
            <a:solidFill>
              <a:schemeClr val="accent4"/>
            </a:solidFill>
            <a:ln>
              <a:noFill/>
            </a:ln>
            <a:effectLst/>
          </c:spPr>
          <c:invertIfNegative val="0"/>
          <c:dLbls>
            <c:dLbl>
              <c:idx val="3"/>
              <c:layout>
                <c:manualLayout>
                  <c:x val="0"/>
                  <c:y val="9.90405350684403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F1A-4E42-8666-4F08C08321A6}"/>
                </c:ext>
              </c:extLst>
            </c:dLbl>
            <c:dLbl>
              <c:idx val="6"/>
              <c:layout>
                <c:manualLayout>
                  <c:x val="-1.8064803116922077E-2"/>
                  <c:y val="-4.20922274040871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F1A-4E42-8666-4F08C08321A6}"/>
                </c:ext>
              </c:extLst>
            </c:dLbl>
            <c:dLbl>
              <c:idx val="7"/>
              <c:layout>
                <c:manualLayout>
                  <c:x val="0"/>
                  <c:y val="0.217889177150568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F1A-4E42-8666-4F08C08321A6}"/>
                </c:ext>
              </c:extLst>
            </c:dLbl>
            <c:spPr>
              <a:solidFill>
                <a:schemeClr val="accent4">
                  <a:lumMod val="40000"/>
                  <a:lumOff val="60000"/>
                </a:schemeClr>
              </a:solid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'grafy 1-6'!$C$291:$K$291</c:f>
              <c:strCache>
                <c:ptCount val="9"/>
                <c:pt idx="0">
                  <c:v>Česká republika</c:v>
                </c:pt>
                <c:pt idx="1">
                  <c:v>Dánsko</c:v>
                </c:pt>
                <c:pt idx="2">
                  <c:v>Francie</c:v>
                </c:pt>
                <c:pt idx="3">
                  <c:v>Belgie</c:v>
                </c:pt>
                <c:pt idx="4">
                  <c:v>Nizozemsko</c:v>
                </c:pt>
                <c:pt idx="5">
                  <c:v>Rakousko</c:v>
                </c:pt>
                <c:pt idx="6">
                  <c:v>Německo</c:v>
                </c:pt>
                <c:pt idx="7">
                  <c:v>Španělsko</c:v>
                </c:pt>
                <c:pt idx="8">
                  <c:v>Maďarsko</c:v>
                </c:pt>
              </c:strCache>
            </c:strRef>
          </c:cat>
          <c:val>
            <c:numRef>
              <c:f>'grafy 1-6'!$C$295:$K$295</c:f>
              <c:numCache>
                <c:formatCode>0.0%</c:formatCode>
                <c:ptCount val="9"/>
                <c:pt idx="0">
                  <c:v>-0.14277882395092845</c:v>
                </c:pt>
                <c:pt idx="1">
                  <c:v>5.804818860788763E-3</c:v>
                </c:pt>
                <c:pt idx="2">
                  <c:v>2.4318097024367047E-2</c:v>
                </c:pt>
                <c:pt idx="3">
                  <c:v>-1.7742505647966311E-2</c:v>
                </c:pt>
                <c:pt idx="4">
                  <c:v>9.5340260771888952E-3</c:v>
                </c:pt>
                <c:pt idx="5">
                  <c:v>1.0348060998222053E-2</c:v>
                </c:pt>
                <c:pt idx="6">
                  <c:v>-1.7258171265175148E-2</c:v>
                </c:pt>
                <c:pt idx="7">
                  <c:v>-6.2858402835732852E-2</c:v>
                </c:pt>
                <c:pt idx="8">
                  <c:v>2.3548604075884216E-2</c:v>
                </c:pt>
              </c:numCache>
            </c:numRef>
          </c:val>
          <c:extLst>
            <c:ext xmlns:c16="http://schemas.microsoft.com/office/drawing/2014/chart" uri="{C3380CC4-5D6E-409C-BE32-E72D297353CC}">
              <c16:uniqueId val="{00000003-2F1A-4E42-8666-4F08C08321A6}"/>
            </c:ext>
          </c:extLst>
        </c:ser>
        <c:dLbls>
          <c:showLegendKey val="0"/>
          <c:showVal val="0"/>
          <c:showCatName val="0"/>
          <c:showSerName val="0"/>
          <c:showPercent val="0"/>
          <c:showBubbleSize val="0"/>
        </c:dLbls>
        <c:gapWidth val="150"/>
        <c:axId val="261455232"/>
        <c:axId val="261469312"/>
        <c:extLst>
          <c:ext xmlns:c15="http://schemas.microsoft.com/office/drawing/2012/chart" uri="{02D57815-91ED-43cb-92C2-25804820EDAC}">
            <c15:filteredBarSeries>
              <c15:ser>
                <c:idx val="0"/>
                <c:order val="0"/>
                <c:tx>
                  <c:strRef>
                    <c:extLst>
                      <c:ext uri="{02D57815-91ED-43cb-92C2-25804820EDAC}">
                        <c15:formulaRef>
                          <c15:sqref>'grafy 1-6'!$B$292</c15:sqref>
                        </c15:formulaRef>
                      </c:ext>
                    </c:extLst>
                    <c:strCache>
                      <c:ptCount val="1"/>
                      <c:pt idx="0">
                        <c:v>Spotřeba krmiva - prasnice</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cs-CZ"/>
                    </a:p>
                  </c:txP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uri="{02D57815-91ED-43cb-92C2-25804820EDAC}">
                        <c15:formulaRef>
                          <c15:sqref>'grafy 1-6'!$C$291:$K$291</c15:sqref>
                        </c15:formulaRef>
                      </c:ext>
                    </c:extLst>
                    <c:strCache>
                      <c:ptCount val="9"/>
                      <c:pt idx="0">
                        <c:v>Česká republika</c:v>
                      </c:pt>
                      <c:pt idx="1">
                        <c:v>Dánsko</c:v>
                      </c:pt>
                      <c:pt idx="2">
                        <c:v>Francie</c:v>
                      </c:pt>
                      <c:pt idx="3">
                        <c:v>Belgie</c:v>
                      </c:pt>
                      <c:pt idx="4">
                        <c:v>Nizozemsko</c:v>
                      </c:pt>
                      <c:pt idx="5">
                        <c:v>Rakousko</c:v>
                      </c:pt>
                      <c:pt idx="6">
                        <c:v>Německo</c:v>
                      </c:pt>
                      <c:pt idx="7">
                        <c:v>Španělsko</c:v>
                      </c:pt>
                      <c:pt idx="8">
                        <c:v>Maďarsko</c:v>
                      </c:pt>
                    </c:strCache>
                  </c:strRef>
                </c:cat>
                <c:val>
                  <c:numRef>
                    <c:extLst>
                      <c:ext uri="{02D57815-91ED-43cb-92C2-25804820EDAC}">
                        <c15:formulaRef>
                          <c15:sqref>'grafy 1-6'!$C$292:$K$292</c15:sqref>
                        </c15:formulaRef>
                      </c:ext>
                    </c:extLst>
                    <c:numCache>
                      <c:formatCode>0.0%</c:formatCode>
                      <c:ptCount val="9"/>
                      <c:pt idx="0">
                        <c:v>-0.31695869261740839</c:v>
                      </c:pt>
                      <c:pt idx="1">
                        <c:v>-0.14630990227621532</c:v>
                      </c:pt>
                      <c:pt idx="2">
                        <c:v>-9.455611897128513E-3</c:v>
                      </c:pt>
                      <c:pt idx="3">
                        <c:v>-0.10258678014838418</c:v>
                      </c:pt>
                      <c:pt idx="4">
                        <c:v>-3.08065352450273E-2</c:v>
                      </c:pt>
                      <c:pt idx="5">
                        <c:v>-1.0147537339195933E-2</c:v>
                      </c:pt>
                      <c:pt idx="6">
                        <c:v>-0.1014721375916865</c:v>
                      </c:pt>
                      <c:pt idx="7">
                        <c:v>-9.9135347232305104E-2</c:v>
                      </c:pt>
                      <c:pt idx="8">
                        <c:v>-4.0936269539000092E-2</c:v>
                      </c:pt>
                    </c:numCache>
                  </c:numRef>
                </c:val>
                <c:extLst>
                  <c:ext xmlns:c16="http://schemas.microsoft.com/office/drawing/2014/chart" uri="{C3380CC4-5D6E-409C-BE32-E72D297353CC}">
                    <c16:uniqueId val="{00000009-2F1A-4E42-8666-4F08C08321A6}"/>
                  </c:ext>
                </c:extLst>
              </c15:ser>
            </c15:filteredBarSeries>
            <c15:filteredBarSeries>
              <c15:ser>
                <c:idx val="1"/>
                <c:order val="1"/>
                <c:tx>
                  <c:strRef>
                    <c:extLst xmlns:c15="http://schemas.microsoft.com/office/drawing/2012/chart">
                      <c:ext xmlns:c15="http://schemas.microsoft.com/office/drawing/2012/chart" uri="{02D57815-91ED-43cb-92C2-25804820EDAC}">
                        <c15:formulaRef>
                          <c15:sqref>'grafy 1-6'!$B$293</c15:sqref>
                        </c15:formulaRef>
                      </c:ext>
                    </c:extLst>
                    <c:strCache>
                      <c:ptCount val="1"/>
                      <c:pt idx="0">
                        <c:v>Spotřeba krmiva - předvýkrm</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cs-CZ"/>
                    </a:p>
                  </c:txPr>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xmlns:c15="http://schemas.microsoft.com/office/drawing/2012/chart">
                      <c:ext xmlns:c15="http://schemas.microsoft.com/office/drawing/2012/chart" uri="{02D57815-91ED-43cb-92C2-25804820EDAC}">
                        <c15:formulaRef>
                          <c15:sqref>'grafy 1-6'!$C$291:$K$291</c15:sqref>
                        </c15:formulaRef>
                      </c:ext>
                    </c:extLst>
                    <c:strCache>
                      <c:ptCount val="9"/>
                      <c:pt idx="0">
                        <c:v>Česká republika</c:v>
                      </c:pt>
                      <c:pt idx="1">
                        <c:v>Dánsko</c:v>
                      </c:pt>
                      <c:pt idx="2">
                        <c:v>Francie</c:v>
                      </c:pt>
                      <c:pt idx="3">
                        <c:v>Belgie</c:v>
                      </c:pt>
                      <c:pt idx="4">
                        <c:v>Nizozemsko</c:v>
                      </c:pt>
                      <c:pt idx="5">
                        <c:v>Rakousko</c:v>
                      </c:pt>
                      <c:pt idx="6">
                        <c:v>Německo</c:v>
                      </c:pt>
                      <c:pt idx="7">
                        <c:v>Španělsko</c:v>
                      </c:pt>
                      <c:pt idx="8">
                        <c:v>Maďarsko</c:v>
                      </c:pt>
                    </c:strCache>
                  </c:strRef>
                </c:cat>
                <c:val>
                  <c:numRef>
                    <c:extLst xmlns:c15="http://schemas.microsoft.com/office/drawing/2012/chart">
                      <c:ext xmlns:c15="http://schemas.microsoft.com/office/drawing/2012/chart" uri="{02D57815-91ED-43cb-92C2-25804820EDAC}">
                        <c15:formulaRef>
                          <c15:sqref>'grafy 1-6'!$C$293:$K$293</c15:sqref>
                        </c15:formulaRef>
                      </c:ext>
                    </c:extLst>
                    <c:numCache>
                      <c:formatCode>0.0%</c:formatCode>
                      <c:ptCount val="9"/>
                      <c:pt idx="0">
                        <c:v>-0.2333410803576299</c:v>
                      </c:pt>
                      <c:pt idx="1">
                        <c:v>-7.0828306139600006E-2</c:v>
                      </c:pt>
                      <c:pt idx="2">
                        <c:v>3.480617360856697E-2</c:v>
                      </c:pt>
                      <c:pt idx="3">
                        <c:v>9.0231322131526515E-3</c:v>
                      </c:pt>
                      <c:pt idx="4">
                        <c:v>9.4027493169401843E-3</c:v>
                      </c:pt>
                      <c:pt idx="5">
                        <c:v>-7.2344397724075638E-3</c:v>
                      </c:pt>
                      <c:pt idx="6">
                        <c:v>4.3857296917632071E-2</c:v>
                      </c:pt>
                      <c:pt idx="7">
                        <c:v>-1.8580966037646363E-2</c:v>
                      </c:pt>
                      <c:pt idx="8">
                        <c:v>2.4903554527633931E-2</c:v>
                      </c:pt>
                    </c:numCache>
                  </c:numRef>
                </c:val>
                <c:extLst xmlns:c15="http://schemas.microsoft.com/office/drawing/2012/chart">
                  <c:ext xmlns:c16="http://schemas.microsoft.com/office/drawing/2014/chart" uri="{C3380CC4-5D6E-409C-BE32-E72D297353CC}">
                    <c16:uniqueId val="{0000000A-2F1A-4E42-8666-4F08C08321A6}"/>
                  </c:ext>
                </c:extLst>
              </c15:ser>
            </c15:filteredBarSeries>
            <c15:filteredBarSeries>
              <c15:ser>
                <c:idx val="2"/>
                <c:order val="2"/>
                <c:tx>
                  <c:strRef>
                    <c:extLst xmlns:c15="http://schemas.microsoft.com/office/drawing/2012/chart">
                      <c:ext xmlns:c15="http://schemas.microsoft.com/office/drawing/2012/chart" uri="{02D57815-91ED-43cb-92C2-25804820EDAC}">
                        <c15:formulaRef>
                          <c15:sqref>'grafy 1-6'!$B$294</c15:sqref>
                        </c15:formulaRef>
                      </c:ext>
                    </c:extLst>
                    <c:strCache>
                      <c:ptCount val="1"/>
                      <c:pt idx="0">
                        <c:v>Spotřeba krmiva - výkrm</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cs-CZ"/>
                    </a:p>
                  </c:txPr>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xmlns:c15="http://schemas.microsoft.com/office/drawing/2012/chart">
                      <c:ext xmlns:c15="http://schemas.microsoft.com/office/drawing/2012/chart" uri="{02D57815-91ED-43cb-92C2-25804820EDAC}">
                        <c15:formulaRef>
                          <c15:sqref>'grafy 1-6'!$C$291:$K$291</c15:sqref>
                        </c15:formulaRef>
                      </c:ext>
                    </c:extLst>
                    <c:strCache>
                      <c:ptCount val="9"/>
                      <c:pt idx="0">
                        <c:v>Česká republika</c:v>
                      </c:pt>
                      <c:pt idx="1">
                        <c:v>Dánsko</c:v>
                      </c:pt>
                      <c:pt idx="2">
                        <c:v>Francie</c:v>
                      </c:pt>
                      <c:pt idx="3">
                        <c:v>Belgie</c:v>
                      </c:pt>
                      <c:pt idx="4">
                        <c:v>Nizozemsko</c:v>
                      </c:pt>
                      <c:pt idx="5">
                        <c:v>Rakousko</c:v>
                      </c:pt>
                      <c:pt idx="6">
                        <c:v>Německo</c:v>
                      </c:pt>
                      <c:pt idx="7">
                        <c:v>Španělsko</c:v>
                      </c:pt>
                      <c:pt idx="8">
                        <c:v>Maďarsko</c:v>
                      </c:pt>
                    </c:strCache>
                  </c:strRef>
                </c:cat>
                <c:val>
                  <c:numRef>
                    <c:extLst xmlns:c15="http://schemas.microsoft.com/office/drawing/2012/chart">
                      <c:ext xmlns:c15="http://schemas.microsoft.com/office/drawing/2012/chart" uri="{02D57815-91ED-43cb-92C2-25804820EDAC}">
                        <c15:formulaRef>
                          <c15:sqref>'grafy 1-6'!$C$294:$K$294</c15:sqref>
                        </c15:formulaRef>
                      </c:ext>
                    </c:extLst>
                    <c:numCache>
                      <c:formatCode>0.0%</c:formatCode>
                      <c:ptCount val="9"/>
                      <c:pt idx="0">
                        <c:v>-8.9868294845161456E-2</c:v>
                      </c:pt>
                      <c:pt idx="1">
                        <c:v>5.3401755882978241E-2</c:v>
                      </c:pt>
                      <c:pt idx="2">
                        <c:v>2.9430617106590451E-2</c:v>
                      </c:pt>
                      <c:pt idx="3">
                        <c:v>-6.4017788723604863E-3</c:v>
                      </c:pt>
                      <c:pt idx="4">
                        <c:v>1.678174858281456E-2</c:v>
                      </c:pt>
                      <c:pt idx="5">
                        <c:v>1.8061420164475539E-2</c:v>
                      </c:pt>
                      <c:pt idx="6">
                        <c:v>-1.1763492150722588E-2</c:v>
                      </c:pt>
                      <c:pt idx="7">
                        <c:v>-5.9971694385117846E-2</c:v>
                      </c:pt>
                      <c:pt idx="8">
                        <c:v>3.8873930787541422E-2</c:v>
                      </c:pt>
                    </c:numCache>
                  </c:numRef>
                </c:val>
                <c:extLst xmlns:c15="http://schemas.microsoft.com/office/drawing/2012/chart">
                  <c:ext xmlns:c16="http://schemas.microsoft.com/office/drawing/2014/chart" uri="{C3380CC4-5D6E-409C-BE32-E72D297353CC}">
                    <c16:uniqueId val="{0000000B-2F1A-4E42-8666-4F08C08321A6}"/>
                  </c:ext>
                </c:extLst>
              </c15:ser>
            </c15:filteredBarSeries>
          </c:ext>
        </c:extLst>
      </c:barChart>
      <c:lineChart>
        <c:grouping val="standard"/>
        <c:varyColors val="0"/>
        <c:ser>
          <c:idx val="4"/>
          <c:order val="4"/>
          <c:tx>
            <c:strRef>
              <c:f>'grafy 1-6'!$B$296</c:f>
              <c:strCache>
                <c:ptCount val="1"/>
                <c:pt idx="0">
                  <c:v>Změna konverze krmiva %</c:v>
                </c:pt>
              </c:strCache>
            </c:strRef>
          </c:tx>
          <c:spPr>
            <a:ln w="28575" cap="rnd">
              <a:solidFill>
                <a:schemeClr val="accent5"/>
              </a:solidFill>
              <a:round/>
            </a:ln>
            <a:effectLst/>
          </c:spPr>
          <c:marker>
            <c:symbol val="none"/>
          </c:marker>
          <c:dLbls>
            <c:dLbl>
              <c:idx val="2"/>
              <c:layout>
                <c:manualLayout>
                  <c:x val="-3.4487351405033055E-2"/>
                  <c:y val="5.4472294287642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F1A-4E42-8666-4F08C08321A6}"/>
                </c:ext>
              </c:extLst>
            </c:dLbl>
            <c:dLbl>
              <c:idx val="3"/>
              <c:layout>
                <c:manualLayout>
                  <c:x val="-2.2991567603355433E-2"/>
                  <c:y val="3.71402006506651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F1A-4E42-8666-4F08C08321A6}"/>
                </c:ext>
              </c:extLst>
            </c:dLbl>
            <c:dLbl>
              <c:idx val="4"/>
              <c:layout>
                <c:manualLayout>
                  <c:x val="-2.1349312774544275E-2"/>
                  <c:y val="2.72361471438210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F1A-4E42-8666-4F08C08321A6}"/>
                </c:ext>
              </c:extLst>
            </c:dLbl>
            <c:dLbl>
              <c:idx val="5"/>
              <c:layout>
                <c:manualLayout>
                  <c:x val="-2.1349312774544275E-2"/>
                  <c:y val="4.95202675342201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F1A-4E42-8666-4F08C08321A6}"/>
                </c:ext>
              </c:extLst>
            </c:dLbl>
            <c:spPr>
              <a:solidFill>
                <a:schemeClr val="accent1">
                  <a:lumMod val="20000"/>
                  <a:lumOff val="80000"/>
                </a:schemeClr>
              </a:solid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'grafy 1-6'!$C$296:$K$296</c:f>
              <c:numCache>
                <c:formatCode>0.0%</c:formatCode>
                <c:ptCount val="9"/>
                <c:pt idx="0">
                  <c:v>-0.19913117057983176</c:v>
                </c:pt>
                <c:pt idx="1">
                  <c:v>-3.6838356800819705E-2</c:v>
                </c:pt>
                <c:pt idx="2">
                  <c:v>-1.0738752833712395E-2</c:v>
                </c:pt>
                <c:pt idx="3">
                  <c:v>-3.5842914297219641E-2</c:v>
                </c:pt>
                <c:pt idx="4">
                  <c:v>-1.6658653655282629E-2</c:v>
                </c:pt>
                <c:pt idx="5">
                  <c:v>-4.270438652813624E-4</c:v>
                </c:pt>
                <c:pt idx="6">
                  <c:v>-2.3152879211248312E-2</c:v>
                </c:pt>
                <c:pt idx="7">
                  <c:v>-8.2632512655932633E-2</c:v>
                </c:pt>
                <c:pt idx="8">
                  <c:v>-3.8996644183484364E-3</c:v>
                </c:pt>
              </c:numCache>
            </c:numRef>
          </c:val>
          <c:smooth val="0"/>
          <c:extLst>
            <c:ext xmlns:c16="http://schemas.microsoft.com/office/drawing/2014/chart" uri="{C3380CC4-5D6E-409C-BE32-E72D297353CC}">
              <c16:uniqueId val="{00000008-2F1A-4E42-8666-4F08C08321A6}"/>
            </c:ext>
          </c:extLst>
        </c:ser>
        <c:dLbls>
          <c:showLegendKey val="0"/>
          <c:showVal val="0"/>
          <c:showCatName val="0"/>
          <c:showSerName val="0"/>
          <c:showPercent val="0"/>
          <c:showBubbleSize val="0"/>
        </c:dLbls>
        <c:marker val="1"/>
        <c:smooth val="0"/>
        <c:axId val="261455232"/>
        <c:axId val="261469312"/>
      </c:lineChart>
      <c:catAx>
        <c:axId val="261455232"/>
        <c:scaling>
          <c:orientation val="minMax"/>
        </c:scaling>
        <c:delete val="0"/>
        <c:axPos val="b"/>
        <c:majorGridlines>
          <c:spPr>
            <a:ln w="9525" cap="flat" cmpd="sng" algn="ctr">
              <a:solidFill>
                <a:schemeClr val="bg1">
                  <a:lumMod val="65000"/>
                </a:schemeClr>
              </a:solidFill>
              <a:prstDash val="dash"/>
              <a:round/>
            </a:ln>
            <a:effectLst/>
          </c:spPr>
        </c:majorGridlines>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cs-CZ"/>
          </a:p>
        </c:txPr>
        <c:crossAx val="261469312"/>
        <c:crosses val="autoZero"/>
        <c:auto val="1"/>
        <c:lblAlgn val="ctr"/>
        <c:lblOffset val="100"/>
        <c:noMultiLvlLbl val="0"/>
      </c:catAx>
      <c:valAx>
        <c:axId val="261469312"/>
        <c:scaling>
          <c:orientation val="minMax"/>
        </c:scaling>
        <c:delete val="0"/>
        <c:axPos val="l"/>
        <c:majorGridlines>
          <c:spPr>
            <a:ln w="9525" cap="flat" cmpd="sng" algn="ctr">
              <a:solidFill>
                <a:schemeClr val="tx1">
                  <a:lumMod val="15000"/>
                  <a:lumOff val="85000"/>
                </a:schemeClr>
              </a:solidFill>
              <a:prstDash val="dash"/>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cs-CZ"/>
          </a:p>
        </c:txPr>
        <c:crossAx val="261455232"/>
        <c:crosses val="autoZero"/>
        <c:crossBetween val="between"/>
      </c:valAx>
      <c:spPr>
        <a:noFill/>
        <a:ln>
          <a:noFill/>
        </a:ln>
        <a:effectLst/>
      </c:spPr>
    </c:plotArea>
    <c:legend>
      <c:legendPos val="b"/>
      <c:layout>
        <c:manualLayout>
          <c:xMode val="edge"/>
          <c:yMode val="edge"/>
          <c:x val="0.29514232307677402"/>
          <c:y val="0.42100686566721535"/>
          <c:w val="0.61611552028218708"/>
          <c:h val="0.19942729090978512"/>
        </c:manualLayout>
      </c:layout>
      <c:overlay val="0"/>
      <c:spPr>
        <a:solidFill>
          <a:schemeClr val="accent1">
            <a:lumMod val="20000"/>
            <a:lumOff val="80000"/>
          </a:schemeClr>
        </a:solidFill>
        <a:ln>
          <a:noFill/>
        </a:ln>
        <a:effectLst/>
      </c:spPr>
      <c:txPr>
        <a:bodyPr rot="0" spcFirstLastPara="1" vertOverflow="ellipsis" vert="horz" wrap="square" anchor="ctr" anchorCtr="1"/>
        <a:lstStyle/>
        <a:p>
          <a:pPr>
            <a:defRPr sz="105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1">
          <a:latin typeface="Arial" panose="020B0604020202020204" pitchFamily="34" charset="0"/>
          <a:cs typeface="Arial" panose="020B0604020202020204" pitchFamily="34" charset="0"/>
        </a:defRPr>
      </a:pPr>
      <a:endParaRPr lang="cs-CZ"/>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cs-CZ" sz="1100"/>
              <a:t>Vojteška</a:t>
            </a:r>
            <a:endParaRPr lang="en-US" sz="1100"/>
          </a:p>
        </c:rich>
      </c:tx>
      <c:overlay val="0"/>
      <c:spPr>
        <a:noFill/>
        <a:ln>
          <a:noFill/>
        </a:ln>
        <a:effectLst/>
      </c:spPr>
    </c:title>
    <c:autoTitleDeleted val="0"/>
    <c:plotArea>
      <c:layout/>
      <c:barChart>
        <c:barDir val="col"/>
        <c:grouping val="stacked"/>
        <c:varyColors val="0"/>
        <c:ser>
          <c:idx val="3"/>
          <c:order val="0"/>
          <c:tx>
            <c:strRef>
              <c:f>bílkovinné!$B$42</c:f>
              <c:strCache>
                <c:ptCount val="1"/>
                <c:pt idx="0">
                  <c:v>VCS bílkovinné plodiny</c:v>
                </c:pt>
              </c:strCache>
            </c:strRef>
          </c:tx>
          <c:spPr>
            <a:solidFill>
              <a:schemeClr val="accent4"/>
            </a:solidFill>
            <a:ln>
              <a:noFill/>
            </a:ln>
            <a:effectLst/>
          </c:spPr>
          <c:invertIfNegative val="0"/>
          <c:cat>
            <c:numRef>
              <c:f>bílkovinné!$D$41:$M$41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bílkovinné!$D$42:$M$42</c:f>
              <c:numCache>
                <c:formatCode>#,##0.00</c:formatCode>
                <c:ptCount val="10"/>
                <c:pt idx="0">
                  <c:v>0</c:v>
                </c:pt>
                <c:pt idx="1">
                  <c:v>0</c:v>
                </c:pt>
                <c:pt idx="2">
                  <c:v>0</c:v>
                </c:pt>
                <c:pt idx="3">
                  <c:v>0</c:v>
                </c:pt>
                <c:pt idx="4" formatCode="0.00">
                  <c:v>0</c:v>
                </c:pt>
                <c:pt idx="5" formatCode="0.00">
                  <c:v>0</c:v>
                </c:pt>
                <c:pt idx="6">
                  <c:v>3711.07</c:v>
                </c:pt>
                <c:pt idx="7">
                  <c:v>3254.51</c:v>
                </c:pt>
                <c:pt idx="8">
                  <c:v>2989.64</c:v>
                </c:pt>
                <c:pt idx="9">
                  <c:v>2218.2199999999998</c:v>
                </c:pt>
              </c:numCache>
            </c:numRef>
          </c:val>
          <c:extLst>
            <c:ext xmlns:c16="http://schemas.microsoft.com/office/drawing/2014/chart" uri="{C3380CC4-5D6E-409C-BE32-E72D297353CC}">
              <c16:uniqueId val="{00000000-7765-FF4E-A42B-3C00B9160BD4}"/>
            </c:ext>
          </c:extLst>
        </c:ser>
        <c:ser>
          <c:idx val="4"/>
          <c:order val="1"/>
          <c:tx>
            <c:strRef>
              <c:f>bílkovinné!$B$43</c:f>
              <c:strCache>
                <c:ptCount val="1"/>
                <c:pt idx="0">
                  <c:v>SAPS </c:v>
                </c:pt>
              </c:strCache>
            </c:strRef>
          </c:tx>
          <c:spPr>
            <a:solidFill>
              <a:schemeClr val="accent5"/>
            </a:solidFill>
            <a:ln>
              <a:noFill/>
            </a:ln>
            <a:effectLst/>
          </c:spPr>
          <c:invertIfNegative val="0"/>
          <c:cat>
            <c:numRef>
              <c:f>bílkovinné!$D$41:$M$41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bílkovinné!$D$43:$M$43</c:f>
              <c:numCache>
                <c:formatCode>#,##0.00</c:formatCode>
                <c:ptCount val="10"/>
                <c:pt idx="0">
                  <c:v>3710</c:v>
                </c:pt>
                <c:pt idx="1">
                  <c:v>4060.8</c:v>
                </c:pt>
                <c:pt idx="2">
                  <c:v>4686.5</c:v>
                </c:pt>
                <c:pt idx="3">
                  <c:v>5387.3</c:v>
                </c:pt>
                <c:pt idx="4">
                  <c:v>6068.88</c:v>
                </c:pt>
                <c:pt idx="5">
                  <c:v>5997.23</c:v>
                </c:pt>
                <c:pt idx="6">
                  <c:v>3543.91</c:v>
                </c:pt>
                <c:pt idx="7">
                  <c:v>3514.54</c:v>
                </c:pt>
                <c:pt idx="8">
                  <c:v>3377.73</c:v>
                </c:pt>
                <c:pt idx="9">
                  <c:v>3388.15</c:v>
                </c:pt>
              </c:numCache>
            </c:numRef>
          </c:val>
          <c:extLst>
            <c:ext xmlns:c16="http://schemas.microsoft.com/office/drawing/2014/chart" uri="{C3380CC4-5D6E-409C-BE32-E72D297353CC}">
              <c16:uniqueId val="{00000001-7765-FF4E-A42B-3C00B9160BD4}"/>
            </c:ext>
          </c:extLst>
        </c:ser>
        <c:ser>
          <c:idx val="5"/>
          <c:order val="2"/>
          <c:tx>
            <c:strRef>
              <c:f>bílkovinné!$B$44</c:f>
              <c:strCache>
                <c:ptCount val="1"/>
                <c:pt idx="0">
                  <c:v>Top-Up</c:v>
                </c:pt>
              </c:strCache>
            </c:strRef>
          </c:tx>
          <c:spPr>
            <a:solidFill>
              <a:schemeClr val="accent6"/>
            </a:solidFill>
            <a:ln>
              <a:noFill/>
            </a:ln>
            <a:effectLst/>
          </c:spPr>
          <c:invertIfNegative val="0"/>
          <c:cat>
            <c:numRef>
              <c:f>bílkovinné!$D$41:$M$41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bílkovinné!$D$44:$M$44</c:f>
              <c:numCache>
                <c:formatCode>#,##0.00</c:formatCode>
                <c:ptCount val="10"/>
                <c:pt idx="0">
                  <c:v>1184</c:v>
                </c:pt>
                <c:pt idx="1">
                  <c:v>514.1</c:v>
                </c:pt>
                <c:pt idx="2">
                  <c:v>0</c:v>
                </c:pt>
                <c:pt idx="3">
                  <c:v>491.43</c:v>
                </c:pt>
                <c:pt idx="4">
                  <c:v>0</c:v>
                </c:pt>
                <c:pt idx="5">
                  <c:v>0</c:v>
                </c:pt>
                <c:pt idx="6">
                  <c:v>0</c:v>
                </c:pt>
                <c:pt idx="7">
                  <c:v>0</c:v>
                </c:pt>
                <c:pt idx="8">
                  <c:v>0</c:v>
                </c:pt>
                <c:pt idx="9">
                  <c:v>0</c:v>
                </c:pt>
              </c:numCache>
            </c:numRef>
          </c:val>
          <c:extLst>
            <c:ext xmlns:c16="http://schemas.microsoft.com/office/drawing/2014/chart" uri="{C3380CC4-5D6E-409C-BE32-E72D297353CC}">
              <c16:uniqueId val="{00000002-7765-FF4E-A42B-3C00B9160BD4}"/>
            </c:ext>
          </c:extLst>
        </c:ser>
        <c:ser>
          <c:idx val="6"/>
          <c:order val="3"/>
          <c:tx>
            <c:strRef>
              <c:f>bílkovinné!$B$45</c:f>
              <c:strCache>
                <c:ptCount val="1"/>
                <c:pt idx="0">
                  <c:v>Greening</c:v>
                </c:pt>
              </c:strCache>
            </c:strRef>
          </c:tx>
          <c:spPr>
            <a:solidFill>
              <a:schemeClr val="accent1">
                <a:lumMod val="60000"/>
              </a:schemeClr>
            </a:solidFill>
            <a:ln>
              <a:noFill/>
            </a:ln>
            <a:effectLst/>
          </c:spPr>
          <c:invertIfNegative val="0"/>
          <c:cat>
            <c:numRef>
              <c:f>bílkovinné!$D$41:$M$41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bílkovinné!$D$45:$M$45</c:f>
              <c:numCache>
                <c:formatCode>0.00</c:formatCode>
                <c:ptCount val="10"/>
                <c:pt idx="0">
                  <c:v>0</c:v>
                </c:pt>
                <c:pt idx="1">
                  <c:v>0</c:v>
                </c:pt>
                <c:pt idx="2">
                  <c:v>0</c:v>
                </c:pt>
                <c:pt idx="3">
                  <c:v>0</c:v>
                </c:pt>
                <c:pt idx="4">
                  <c:v>0</c:v>
                </c:pt>
                <c:pt idx="5">
                  <c:v>0</c:v>
                </c:pt>
                <c:pt idx="6" formatCode="#,##0.00">
                  <c:v>1943.62</c:v>
                </c:pt>
                <c:pt idx="7" formatCode="#,##0.00">
                  <c:v>1928.43</c:v>
                </c:pt>
                <c:pt idx="8" formatCode="#,##0.00">
                  <c:v>1853.35</c:v>
                </c:pt>
                <c:pt idx="9" formatCode="General">
                  <c:v>1877.38</c:v>
                </c:pt>
              </c:numCache>
            </c:numRef>
          </c:val>
          <c:extLst>
            <c:ext xmlns:c16="http://schemas.microsoft.com/office/drawing/2014/chart" uri="{C3380CC4-5D6E-409C-BE32-E72D297353CC}">
              <c16:uniqueId val="{00000003-7765-FF4E-A42B-3C00B9160BD4}"/>
            </c:ext>
          </c:extLst>
        </c:ser>
        <c:ser>
          <c:idx val="7"/>
          <c:order val="4"/>
          <c:tx>
            <c:strRef>
              <c:f>bílkovinné!$B$46</c:f>
              <c:strCache>
                <c:ptCount val="1"/>
                <c:pt idx="0">
                  <c:v>PVP zemědělská půda</c:v>
                </c:pt>
              </c:strCache>
            </c:strRef>
          </c:tx>
          <c:spPr>
            <a:solidFill>
              <a:schemeClr val="accent2">
                <a:lumMod val="60000"/>
              </a:schemeClr>
            </a:solidFill>
            <a:ln>
              <a:noFill/>
            </a:ln>
            <a:effectLst/>
          </c:spPr>
          <c:invertIfNegative val="0"/>
          <c:cat>
            <c:numRef>
              <c:f>bílkovinné!$D$41:$M$41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bílkovinné!$D$46:$M$46</c:f>
              <c:numCache>
                <c:formatCode>#,##0.00</c:formatCode>
                <c:ptCount val="10"/>
                <c:pt idx="0">
                  <c:v>0</c:v>
                </c:pt>
                <c:pt idx="1">
                  <c:v>0</c:v>
                </c:pt>
                <c:pt idx="2">
                  <c:v>0</c:v>
                </c:pt>
                <c:pt idx="3">
                  <c:v>0</c:v>
                </c:pt>
                <c:pt idx="4" formatCode="0.00">
                  <c:v>247.78</c:v>
                </c:pt>
                <c:pt idx="5" formatCode="0.00">
                  <c:v>185.06</c:v>
                </c:pt>
                <c:pt idx="6" formatCode="General">
                  <c:v>192.17</c:v>
                </c:pt>
                <c:pt idx="7" formatCode="General">
                  <c:v>178.32</c:v>
                </c:pt>
                <c:pt idx="8" formatCode="General">
                  <c:v>159.25</c:v>
                </c:pt>
                <c:pt idx="9">
                  <c:v>141.58000000000001</c:v>
                </c:pt>
              </c:numCache>
            </c:numRef>
          </c:val>
          <c:extLst>
            <c:ext xmlns:c16="http://schemas.microsoft.com/office/drawing/2014/chart" uri="{C3380CC4-5D6E-409C-BE32-E72D297353CC}">
              <c16:uniqueId val="{00000004-7765-FF4E-A42B-3C00B9160BD4}"/>
            </c:ext>
          </c:extLst>
        </c:ser>
        <c:ser>
          <c:idx val="8"/>
          <c:order val="5"/>
          <c:tx>
            <c:strRef>
              <c:f>bílkovinné!$B$47</c:f>
              <c:strCache>
                <c:ptCount val="1"/>
                <c:pt idx="0">
                  <c:v>LFA</c:v>
                </c:pt>
              </c:strCache>
            </c:strRef>
          </c:tx>
          <c:spPr>
            <a:solidFill>
              <a:schemeClr val="accent3">
                <a:lumMod val="60000"/>
              </a:schemeClr>
            </a:solidFill>
            <a:ln>
              <a:noFill/>
            </a:ln>
            <a:effectLst/>
          </c:spPr>
          <c:invertIfNegative val="0"/>
          <c:cat>
            <c:numRef>
              <c:f>bílkovinné!$D$41:$M$41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bílkovinné!$D$47:$M$47</c:f>
              <c:numCache>
                <c:formatCode>0</c:formatCode>
                <c:ptCount val="10"/>
                <c:pt idx="0">
                  <c:v>0</c:v>
                </c:pt>
                <c:pt idx="1">
                  <c:v>0</c:v>
                </c:pt>
                <c:pt idx="2">
                  <c:v>0</c:v>
                </c:pt>
                <c:pt idx="3">
                  <c:v>0</c:v>
                </c:pt>
                <c:pt idx="4">
                  <c:v>0</c:v>
                </c:pt>
                <c:pt idx="5">
                  <c:v>0</c:v>
                </c:pt>
                <c:pt idx="6" formatCode="0.00">
                  <c:v>165.21094206067971</c:v>
                </c:pt>
                <c:pt idx="7" formatCode="0.00">
                  <c:v>160.96972371753191</c:v>
                </c:pt>
                <c:pt idx="8" formatCode="0.00">
                  <c:v>160.95781018286019</c:v>
                </c:pt>
                <c:pt idx="9" formatCode="0.00">
                  <c:v>530.58926658413918</c:v>
                </c:pt>
              </c:numCache>
            </c:numRef>
          </c:val>
          <c:extLst>
            <c:ext xmlns:c16="http://schemas.microsoft.com/office/drawing/2014/chart" uri="{C3380CC4-5D6E-409C-BE32-E72D297353CC}">
              <c16:uniqueId val="{00000005-7765-FF4E-A42B-3C00B9160BD4}"/>
            </c:ext>
          </c:extLst>
        </c:ser>
        <c:ser>
          <c:idx val="9"/>
          <c:order val="6"/>
          <c:tx>
            <c:strRef>
              <c:f>bílkovinné!$B$48</c:f>
              <c:strCache>
                <c:ptCount val="1"/>
                <c:pt idx="0">
                  <c:v>Pojistné RV</c:v>
                </c:pt>
              </c:strCache>
            </c:strRef>
          </c:tx>
          <c:spPr>
            <a:solidFill>
              <a:schemeClr val="accent4">
                <a:lumMod val="60000"/>
              </a:schemeClr>
            </a:solidFill>
            <a:ln>
              <a:noFill/>
            </a:ln>
            <a:effectLst/>
          </c:spPr>
          <c:invertIfNegative val="0"/>
          <c:cat>
            <c:numRef>
              <c:f>bílkovinné!$D$41:$M$41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bílkovinné!$D$48:$M$48</c:f>
              <c:numCache>
                <c:formatCode>#,##0.00</c:formatCode>
                <c:ptCount val="10"/>
                <c:pt idx="0">
                  <c:v>105.55845361190565</c:v>
                </c:pt>
                <c:pt idx="1">
                  <c:v>115.39953665750696</c:v>
                </c:pt>
                <c:pt idx="2">
                  <c:v>131.21812655196268</c:v>
                </c:pt>
                <c:pt idx="3">
                  <c:v>48.153597645910146</c:v>
                </c:pt>
                <c:pt idx="4" formatCode="0.00">
                  <c:v>49.702931637723523</c:v>
                </c:pt>
                <c:pt idx="5" formatCode="0.00">
                  <c:v>48.776561940943303</c:v>
                </c:pt>
                <c:pt idx="6">
                  <c:v>128.46938304003334</c:v>
                </c:pt>
                <c:pt idx="7">
                  <c:v>94.599040322787815</c:v>
                </c:pt>
                <c:pt idx="8">
                  <c:v>107.31712466231785</c:v>
                </c:pt>
                <c:pt idx="9">
                  <c:v>110.4086766857279</c:v>
                </c:pt>
              </c:numCache>
            </c:numRef>
          </c:val>
          <c:extLst>
            <c:ext xmlns:c16="http://schemas.microsoft.com/office/drawing/2014/chart" uri="{C3380CC4-5D6E-409C-BE32-E72D297353CC}">
              <c16:uniqueId val="{00000006-7765-FF4E-A42B-3C00B9160BD4}"/>
            </c:ext>
          </c:extLst>
        </c:ser>
        <c:ser>
          <c:idx val="0"/>
          <c:order val="7"/>
          <c:tx>
            <c:strRef>
              <c:f>bílkovinné!$B$49</c:f>
              <c:strCache>
                <c:ptCount val="1"/>
                <c:pt idx="0">
                  <c:v>Vratka na ZN</c:v>
                </c:pt>
              </c:strCache>
            </c:strRef>
          </c:tx>
          <c:spPr>
            <a:solidFill>
              <a:schemeClr val="accent1"/>
            </a:solidFill>
            <a:ln>
              <a:noFill/>
            </a:ln>
            <a:effectLst/>
          </c:spPr>
          <c:invertIfNegative val="0"/>
          <c:cat>
            <c:numRef>
              <c:f>bílkovinné!$D$41:$M$41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bílkovinné!$D$49:$M$49</c:f>
              <c:numCache>
                <c:formatCode>#,##0.00</c:formatCode>
                <c:ptCount val="10"/>
                <c:pt idx="0">
                  <c:v>457.40430374151077</c:v>
                </c:pt>
                <c:pt idx="1">
                  <c:v>499.40118739087552</c:v>
                </c:pt>
                <c:pt idx="2">
                  <c:v>541.53560946582604</c:v>
                </c:pt>
                <c:pt idx="3">
                  <c:v>556.01724133084883</c:v>
                </c:pt>
                <c:pt idx="4" formatCode="0.00">
                  <c:v>368.40865982593829</c:v>
                </c:pt>
                <c:pt idx="5" formatCode="0.00">
                  <c:v>288.8089300233047</c:v>
                </c:pt>
                <c:pt idx="6">
                  <c:v>366.80237111870332</c:v>
                </c:pt>
                <c:pt idx="7">
                  <c:v>373.67583564121475</c:v>
                </c:pt>
                <c:pt idx="8">
                  <c:v>324.28324939120824</c:v>
                </c:pt>
                <c:pt idx="9">
                  <c:v>356.86404361447154</c:v>
                </c:pt>
              </c:numCache>
            </c:numRef>
          </c:val>
          <c:extLst>
            <c:ext xmlns:c16="http://schemas.microsoft.com/office/drawing/2014/chart" uri="{C3380CC4-5D6E-409C-BE32-E72D297353CC}">
              <c16:uniqueId val="{00000007-7765-FF4E-A42B-3C00B9160BD4}"/>
            </c:ext>
          </c:extLst>
        </c:ser>
        <c:ser>
          <c:idx val="1"/>
          <c:order val="8"/>
          <c:tx>
            <c:strRef>
              <c:f>bílkovinné!$B$50</c:f>
              <c:strCache>
                <c:ptCount val="1"/>
                <c:pt idx="0">
                  <c:v>Podpora na zmírnění škod způsobených suchem</c:v>
                </c:pt>
              </c:strCache>
            </c:strRef>
          </c:tx>
          <c:spPr>
            <a:solidFill>
              <a:schemeClr val="accent2"/>
            </a:solidFill>
            <a:ln>
              <a:noFill/>
            </a:ln>
            <a:effectLst/>
          </c:spPr>
          <c:invertIfNegative val="0"/>
          <c:cat>
            <c:numRef>
              <c:f>bílkovinné!$D$41:$M$41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bílkovinné!$D$50:$M$50</c:f>
              <c:numCache>
                <c:formatCode>General</c:formatCode>
                <c:ptCount val="10"/>
                <c:pt idx="0">
                  <c:v>0</c:v>
                </c:pt>
                <c:pt idx="1">
                  <c:v>0</c:v>
                </c:pt>
                <c:pt idx="2">
                  <c:v>0</c:v>
                </c:pt>
                <c:pt idx="3">
                  <c:v>0</c:v>
                </c:pt>
                <c:pt idx="4">
                  <c:v>0</c:v>
                </c:pt>
                <c:pt idx="5">
                  <c:v>0</c:v>
                </c:pt>
                <c:pt idx="6">
                  <c:v>0</c:v>
                </c:pt>
                <c:pt idx="7">
                  <c:v>0</c:v>
                </c:pt>
                <c:pt idx="8">
                  <c:v>0</c:v>
                </c:pt>
                <c:pt idx="9" formatCode="#,##0.00">
                  <c:v>844.53906579184979</c:v>
                </c:pt>
              </c:numCache>
            </c:numRef>
          </c:val>
          <c:extLst>
            <c:ext xmlns:c16="http://schemas.microsoft.com/office/drawing/2014/chart" uri="{C3380CC4-5D6E-409C-BE32-E72D297353CC}">
              <c16:uniqueId val="{00000008-7765-FF4E-A42B-3C00B9160BD4}"/>
            </c:ext>
          </c:extLst>
        </c:ser>
        <c:dLbls>
          <c:showLegendKey val="0"/>
          <c:showVal val="0"/>
          <c:showCatName val="0"/>
          <c:showSerName val="0"/>
          <c:showPercent val="0"/>
          <c:showBubbleSize val="0"/>
        </c:dLbls>
        <c:gapWidth val="150"/>
        <c:overlap val="100"/>
        <c:axId val="193028864"/>
        <c:axId val="193030400"/>
      </c:barChart>
      <c:catAx>
        <c:axId val="193028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93030400"/>
        <c:crosses val="autoZero"/>
        <c:auto val="1"/>
        <c:lblAlgn val="ctr"/>
        <c:lblOffset val="100"/>
        <c:noMultiLvlLbl val="0"/>
      </c:catAx>
      <c:valAx>
        <c:axId val="19303040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93028864"/>
        <c:crosses val="autoZero"/>
        <c:crossBetween val="between"/>
      </c:valAx>
      <c:spPr>
        <a:noFill/>
        <a:ln>
          <a:noFill/>
        </a:ln>
        <a:effectLst/>
      </c:spPr>
    </c:plotArea>
    <c:legend>
      <c:legendPos val="r"/>
      <c:layout>
        <c:manualLayout>
          <c:xMode val="edge"/>
          <c:yMode val="edge"/>
          <c:x val="0.72018824892396827"/>
          <c:y val="2.28757528636882E-2"/>
          <c:w val="0.27131015797566582"/>
          <c:h val="0.7598550748046121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5.8199246833276264E-2"/>
          <c:y val="7.9099852881144544E-2"/>
          <c:w val="0.92712067996331371"/>
          <c:h val="0.79910201098280431"/>
        </c:manualLayout>
      </c:layout>
      <c:barChart>
        <c:barDir val="col"/>
        <c:grouping val="clustered"/>
        <c:varyColors val="0"/>
        <c:ser>
          <c:idx val="0"/>
          <c:order val="0"/>
          <c:tx>
            <c:strRef>
              <c:f>'grafy 1-6'!$B$213</c:f>
              <c:strCache>
                <c:ptCount val="1"/>
                <c:pt idx="0">
                  <c:v>rok 2010</c:v>
                </c:pt>
              </c:strCache>
            </c:strRef>
          </c:tx>
          <c:invertIfNegative val="0"/>
          <c:dLbls>
            <c:spPr>
              <a:noFill/>
              <a:ln>
                <a:noFill/>
              </a:ln>
              <a:effectLst/>
            </c:spPr>
            <c:txPr>
              <a:bodyPr wrap="square" lIns="38100" tIns="19050" rIns="38100" bIns="19050" anchor="ctr">
                <a:spAutoFit/>
              </a:bodyPr>
              <a:lstStyle/>
              <a:p>
                <a:pPr>
                  <a:defRPr sz="800"/>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'grafy 1-6'!$C$212:$N$212</c:f>
              <c:strCache>
                <c:ptCount val="9"/>
                <c:pt idx="0">
                  <c:v>Česká republika</c:v>
                </c:pt>
                <c:pt idx="1">
                  <c:v>Dánsko</c:v>
                </c:pt>
                <c:pt idx="2">
                  <c:v>Francie</c:v>
                </c:pt>
                <c:pt idx="3">
                  <c:v>Belgie</c:v>
                </c:pt>
                <c:pt idx="4">
                  <c:v>Nizozemsko</c:v>
                </c:pt>
                <c:pt idx="5">
                  <c:v>Rakousko</c:v>
                </c:pt>
                <c:pt idx="6">
                  <c:v>Německo</c:v>
                </c:pt>
                <c:pt idx="7">
                  <c:v>Španělsko</c:v>
                </c:pt>
                <c:pt idx="8">
                  <c:v>Maďarsko</c:v>
                </c:pt>
              </c:strCache>
              <c:extLst/>
            </c:strRef>
          </c:cat>
          <c:val>
            <c:numRef>
              <c:f>'grafy 1-6'!$C$213:$N$213</c:f>
              <c:numCache>
                <c:formatCode>0.00</c:formatCode>
                <c:ptCount val="9"/>
                <c:pt idx="0">
                  <c:v>22.129519999999999</c:v>
                </c:pt>
                <c:pt idx="1">
                  <c:v>28.798728000000001</c:v>
                </c:pt>
                <c:pt idx="2">
                  <c:v>26.649410526315787</c:v>
                </c:pt>
                <c:pt idx="3">
                  <c:v>25.153779060066448</c:v>
                </c:pt>
                <c:pt idx="4">
                  <c:v>28.224895999999998</c:v>
                </c:pt>
                <c:pt idx="5">
                  <c:v>23.66056</c:v>
                </c:pt>
                <c:pt idx="6">
                  <c:v>25.668678000000003</c:v>
                </c:pt>
                <c:pt idx="7">
                  <c:v>24.621272627353669</c:v>
                </c:pt>
                <c:pt idx="8">
                  <c:v>21.525399325882283</c:v>
                </c:pt>
              </c:numCache>
              <c:extLst/>
            </c:numRef>
          </c:val>
          <c:extLst>
            <c:ext xmlns:c16="http://schemas.microsoft.com/office/drawing/2014/chart" uri="{C3380CC4-5D6E-409C-BE32-E72D297353CC}">
              <c16:uniqueId val="{00000000-515B-9A49-B170-F88ADB943BC7}"/>
            </c:ext>
          </c:extLst>
        </c:ser>
        <c:ser>
          <c:idx val="2"/>
          <c:order val="2"/>
          <c:tx>
            <c:strRef>
              <c:f>'grafy 1-6'!$B$215</c:f>
              <c:strCache>
                <c:ptCount val="1"/>
                <c:pt idx="0">
                  <c:v>rok 2016</c:v>
                </c:pt>
              </c:strCache>
            </c:strRef>
          </c:tx>
          <c:invertIfNegative val="0"/>
          <c:dLbls>
            <c:spPr>
              <a:noFill/>
              <a:ln>
                <a:noFill/>
              </a:ln>
              <a:effectLst/>
            </c:spPr>
            <c:txPr>
              <a:bodyPr wrap="square" lIns="38100" tIns="19050" rIns="38100" bIns="19050" anchor="ctr">
                <a:spAutoFit/>
              </a:bodyPr>
              <a:lstStyle/>
              <a:p>
                <a:pPr>
                  <a:defRPr sz="800"/>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Lit>
              <c:ptCount val="9"/>
              <c:pt idx="0">
                <c:v>Česká republika</c:v>
              </c:pt>
              <c:pt idx="1">
                <c:v>Dánsko</c:v>
              </c:pt>
              <c:pt idx="2">
                <c:v>Francie</c:v>
              </c:pt>
              <c:pt idx="3">
                <c:v>Belgie</c:v>
              </c:pt>
              <c:pt idx="4">
                <c:v>Nizozemsko</c:v>
              </c:pt>
              <c:pt idx="5">
                <c:v>Rakousko</c:v>
              </c:pt>
              <c:pt idx="6">
                <c:v>Německo</c:v>
              </c:pt>
              <c:pt idx="7">
                <c:v>Španělsko</c:v>
              </c:pt>
              <c:pt idx="8">
                <c:v>Maďarsko</c:v>
              </c:pt>
              <c:extLst>
                <c:ext xmlns:c15="http://schemas.microsoft.com/office/drawing/2012/chart" uri="{02D57815-91ED-43cb-92C2-25804820EDAC}">
                  <c15:autoCat val="1"/>
                </c:ext>
              </c:extLst>
            </c:strLit>
          </c:cat>
          <c:val>
            <c:numRef>
              <c:f>'grafy 1-6'!$C$215:$N$215</c:f>
              <c:numCache>
                <c:formatCode>0.00</c:formatCode>
                <c:ptCount val="9"/>
                <c:pt idx="0">
                  <c:v>29.234342088013921</c:v>
                </c:pt>
                <c:pt idx="1">
                  <c:v>32.098422526446804</c:v>
                </c:pt>
                <c:pt idx="2">
                  <c:v>27.476600677130353</c:v>
                </c:pt>
                <c:pt idx="3">
                  <c:v>29.082338599999996</c:v>
                </c:pt>
                <c:pt idx="4">
                  <c:v>29.800427999999997</c:v>
                </c:pt>
                <c:pt idx="5">
                  <c:v>24.904904000000002</c:v>
                </c:pt>
                <c:pt idx="6">
                  <c:v>29.071952000000003</c:v>
                </c:pt>
                <c:pt idx="7">
                  <c:v>27.004381851999998</c:v>
                </c:pt>
                <c:pt idx="8">
                  <c:v>23.692144052039108</c:v>
                </c:pt>
              </c:numCache>
              <c:extLst/>
            </c:numRef>
          </c:val>
          <c:extLst>
            <c:ext xmlns:c16="http://schemas.microsoft.com/office/drawing/2014/chart" uri="{C3380CC4-5D6E-409C-BE32-E72D297353CC}">
              <c16:uniqueId val="{00000001-515B-9A49-B170-F88ADB943BC7}"/>
            </c:ext>
          </c:extLst>
        </c:ser>
        <c:dLbls>
          <c:showLegendKey val="0"/>
          <c:showVal val="0"/>
          <c:showCatName val="0"/>
          <c:showSerName val="0"/>
          <c:showPercent val="0"/>
          <c:showBubbleSize val="0"/>
        </c:dLbls>
        <c:gapWidth val="150"/>
        <c:overlap val="-20"/>
        <c:axId val="261491712"/>
        <c:axId val="261509888"/>
        <c:extLst>
          <c:ext xmlns:c15="http://schemas.microsoft.com/office/drawing/2012/chart" uri="{02D57815-91ED-43cb-92C2-25804820EDAC}">
            <c15:filteredBarSeries>
              <c15:ser>
                <c:idx val="1"/>
                <c:order val="1"/>
                <c:tx>
                  <c:strRef>
                    <c:extLst>
                      <c:ext uri="{02D57815-91ED-43cb-92C2-25804820EDAC}">
                        <c15:formulaRef>
                          <c15:sqref>'grafy 1-6'!$B$214</c15:sqref>
                        </c15:formulaRef>
                      </c:ext>
                    </c:extLst>
                    <c:strCache>
                      <c:ptCount val="1"/>
                      <c:pt idx="0">
                        <c:v>rok 2015</c:v>
                      </c:pt>
                    </c:strCache>
                  </c:strRef>
                </c:tx>
                <c:invertIfNegative val="0"/>
                <c:cat>
                  <c:strRef>
                    <c:extLst>
                      <c:ext uri="{02D57815-91ED-43cb-92C2-25804820EDAC}">
                        <c15:formulaRef>
                          <c15:sqref>'grafy 1-6'!$C$212:$N$212</c15:sqref>
                        </c15:formulaRef>
                      </c:ext>
                    </c:extLst>
                    <c:strCache>
                      <c:ptCount val="9"/>
                      <c:pt idx="0">
                        <c:v>Česká republika</c:v>
                      </c:pt>
                      <c:pt idx="1">
                        <c:v>Dánsko</c:v>
                      </c:pt>
                      <c:pt idx="2">
                        <c:v>Francie</c:v>
                      </c:pt>
                      <c:pt idx="3">
                        <c:v>Belgie</c:v>
                      </c:pt>
                      <c:pt idx="4">
                        <c:v>Nizozemsko</c:v>
                      </c:pt>
                      <c:pt idx="5">
                        <c:v>Rakousko</c:v>
                      </c:pt>
                      <c:pt idx="6">
                        <c:v>Německo</c:v>
                      </c:pt>
                      <c:pt idx="7">
                        <c:v>Španělsko</c:v>
                      </c:pt>
                      <c:pt idx="8">
                        <c:v>Maďarsko</c:v>
                      </c:pt>
                    </c:strCache>
                  </c:strRef>
                </c:cat>
                <c:val>
                  <c:numRef>
                    <c:extLst>
                      <c:ext uri="{02D57815-91ED-43cb-92C2-25804820EDAC}">
                        <c15:formulaRef>
                          <c15:sqref>'grafy 1-6'!$C$214:$N$214</c15:sqref>
                        </c15:formulaRef>
                      </c:ext>
                    </c:extLst>
                    <c:numCache>
                      <c:formatCode>0.00</c:formatCode>
                      <c:ptCount val="9"/>
                      <c:pt idx="0">
                        <c:v>26.953472000000001</c:v>
                      </c:pt>
                      <c:pt idx="1">
                        <c:v>31.256538000000003</c:v>
                      </c:pt>
                      <c:pt idx="2">
                        <c:v>27.855124786324787</c:v>
                      </c:pt>
                      <c:pt idx="3">
                        <c:v>28.398040000000002</c:v>
                      </c:pt>
                      <c:pt idx="4">
                        <c:v>29.522638000000004</c:v>
                      </c:pt>
                      <c:pt idx="5">
                        <c:v>24.397167199999998</c:v>
                      </c:pt>
                      <c:pt idx="6">
                        <c:v>28.643411159999999</c:v>
                      </c:pt>
                      <c:pt idx="7">
                        <c:v>26.289898180000002</c:v>
                      </c:pt>
                      <c:pt idx="8">
                        <c:v>23.9169788581465</c:v>
                      </c:pt>
                    </c:numCache>
                  </c:numRef>
                </c:val>
                <c:extLst>
                  <c:ext xmlns:c16="http://schemas.microsoft.com/office/drawing/2014/chart" uri="{C3380CC4-5D6E-409C-BE32-E72D297353CC}">
                    <c16:uniqueId val="{00000002-515B-9A49-B170-F88ADB943BC7}"/>
                  </c:ext>
                </c:extLst>
              </c15:ser>
            </c15:filteredBarSeries>
          </c:ext>
        </c:extLst>
      </c:barChart>
      <c:catAx>
        <c:axId val="261491712"/>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cs-CZ"/>
          </a:p>
        </c:txPr>
        <c:crossAx val="261509888"/>
        <c:crosses val="autoZero"/>
        <c:auto val="1"/>
        <c:lblAlgn val="ctr"/>
        <c:lblOffset val="100"/>
        <c:tickLblSkip val="1"/>
        <c:tickMarkSkip val="1"/>
        <c:noMultiLvlLbl val="0"/>
      </c:catAx>
      <c:valAx>
        <c:axId val="261509888"/>
        <c:scaling>
          <c:orientation val="minMax"/>
          <c:max val="33"/>
          <c:min val="15"/>
        </c:scaling>
        <c:delete val="0"/>
        <c:axPos val="l"/>
        <c:majorGridlines>
          <c:spPr>
            <a:ln w="3175">
              <a:solidFill>
                <a:srgbClr val="C0C0C0"/>
              </a:solidFill>
              <a:prstDash val="sysDash"/>
            </a:ln>
          </c:spPr>
        </c:majorGridlines>
        <c:numFmt formatCode="0" sourceLinked="0"/>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cs-CZ"/>
          </a:p>
        </c:txPr>
        <c:crossAx val="261491712"/>
        <c:crosses val="autoZero"/>
        <c:crossBetween val="between"/>
        <c:majorUnit val="1"/>
      </c:valAx>
      <c:spPr>
        <a:noFill/>
        <a:ln w="25400">
          <a:noFill/>
        </a:ln>
      </c:spPr>
    </c:plotArea>
    <c:legend>
      <c:legendPos val="r"/>
      <c:layout>
        <c:manualLayout>
          <c:xMode val="edge"/>
          <c:yMode val="edge"/>
          <c:x val="0.3531924333463401"/>
          <c:y val="0"/>
          <c:w val="0.50530219905264373"/>
          <c:h val="0.10803811288294846"/>
        </c:manualLayout>
      </c:layout>
      <c:overlay val="0"/>
      <c:spPr>
        <a:solidFill>
          <a:schemeClr val="accent1">
            <a:lumMod val="20000"/>
            <a:lumOff val="80000"/>
          </a:schemeClr>
        </a:solidFill>
        <a:ln w="25400">
          <a:noFill/>
        </a:ln>
      </c:spPr>
      <c:txPr>
        <a:bodyPr/>
        <a:lstStyle/>
        <a:p>
          <a:pPr>
            <a:defRPr sz="1000" b="1" i="0" u="none" strike="noStrike" baseline="0">
              <a:solidFill>
                <a:srgbClr val="000000"/>
              </a:solidFill>
              <a:latin typeface="Arial"/>
              <a:ea typeface="Arial"/>
              <a:cs typeface="Arial"/>
            </a:defRPr>
          </a:pPr>
          <a:endParaRPr lang="cs-CZ"/>
        </a:p>
      </c:txPr>
    </c:legend>
    <c:plotVisOnly val="1"/>
    <c:dispBlanksAs val="gap"/>
    <c:showDLblsOverMax val="0"/>
  </c:chart>
  <c:spPr>
    <a:solidFill>
      <a:srgbClr val="FFFFFF"/>
    </a:solidFill>
    <a:ln w="3175">
      <a:solidFill>
        <a:srgbClr val="000000"/>
      </a:solidFill>
      <a:prstDash val="solid"/>
    </a:ln>
  </c:spPr>
  <c:txPr>
    <a:bodyPr/>
    <a:lstStyle/>
    <a:p>
      <a:pPr>
        <a:defRPr sz="950" b="0" i="0" u="none" strike="noStrike" baseline="0">
          <a:solidFill>
            <a:srgbClr val="000000"/>
          </a:solidFill>
          <a:latin typeface="Arial"/>
          <a:ea typeface="Arial"/>
          <a:cs typeface="Arial"/>
        </a:defRPr>
      </a:pPr>
      <a:endParaRPr lang="cs-CZ"/>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287672374286545"/>
          <c:y val="8.6174800546849187E-2"/>
          <c:w val="0.88608507269924597"/>
          <c:h val="0.74074230157849985"/>
        </c:manualLayout>
      </c:layout>
      <c:barChart>
        <c:barDir val="col"/>
        <c:grouping val="stacked"/>
        <c:varyColors val="0"/>
        <c:ser>
          <c:idx val="0"/>
          <c:order val="0"/>
          <c:tx>
            <c:strRef>
              <c:f>'grafy 1-6'!$B$4</c:f>
              <c:strCache>
                <c:ptCount val="1"/>
                <c:pt idx="0">
                  <c:v>Náklady na krmiva</c:v>
                </c:pt>
              </c:strCache>
            </c:strRef>
          </c:tx>
          <c:spPr>
            <a:solidFill>
              <a:srgbClr val="800080"/>
            </a:solidFill>
            <a:ln w="25400">
              <a:noFill/>
            </a:ln>
          </c:spPr>
          <c:invertIfNegative val="0"/>
          <c:cat>
            <c:multiLvlStrRef>
              <c:f>'grafy 1-6'!$C$2:$AL$3</c:f>
              <c:multiLvlStrCache>
                <c:ptCount val="18"/>
                <c:lvl>
                  <c:pt idx="0">
                    <c:v>2010</c:v>
                  </c:pt>
                  <c:pt idx="1">
                    <c:v>2016</c:v>
                  </c:pt>
                  <c:pt idx="2">
                    <c:v>2010</c:v>
                  </c:pt>
                  <c:pt idx="3">
                    <c:v>2016</c:v>
                  </c:pt>
                  <c:pt idx="4">
                    <c:v>2010</c:v>
                  </c:pt>
                  <c:pt idx="5">
                    <c:v>2016</c:v>
                  </c:pt>
                  <c:pt idx="6">
                    <c:v>2010</c:v>
                  </c:pt>
                  <c:pt idx="7">
                    <c:v>2016</c:v>
                  </c:pt>
                  <c:pt idx="8">
                    <c:v>2010</c:v>
                  </c:pt>
                  <c:pt idx="9">
                    <c:v>2016</c:v>
                  </c:pt>
                  <c:pt idx="10">
                    <c:v>2010</c:v>
                  </c:pt>
                  <c:pt idx="11">
                    <c:v>2016</c:v>
                  </c:pt>
                  <c:pt idx="12">
                    <c:v>2010</c:v>
                  </c:pt>
                  <c:pt idx="13">
                    <c:v>2016</c:v>
                  </c:pt>
                  <c:pt idx="14">
                    <c:v>2010</c:v>
                  </c:pt>
                  <c:pt idx="15">
                    <c:v>2016</c:v>
                  </c:pt>
                  <c:pt idx="16">
                    <c:v>2010</c:v>
                  </c:pt>
                  <c:pt idx="17">
                    <c:v>2016</c:v>
                  </c:pt>
                </c:lvl>
                <c:lvl>
                  <c:pt idx="0">
                    <c:v>Česká republika</c:v>
                  </c:pt>
                  <c:pt idx="2">
                    <c:v>Dánsko</c:v>
                  </c:pt>
                  <c:pt idx="4">
                    <c:v>Francie</c:v>
                  </c:pt>
                  <c:pt idx="6">
                    <c:v>Belgie</c:v>
                  </c:pt>
                  <c:pt idx="8">
                    <c:v>Nizozemsko</c:v>
                  </c:pt>
                  <c:pt idx="10">
                    <c:v>Rakousko</c:v>
                  </c:pt>
                  <c:pt idx="12">
                    <c:v>Německo</c:v>
                  </c:pt>
                  <c:pt idx="14">
                    <c:v>Španělsko</c:v>
                  </c:pt>
                  <c:pt idx="16">
                    <c:v>Maďarsko</c:v>
                  </c:pt>
                </c:lvl>
              </c:multiLvlStrCache>
            </c:multiLvlStrRef>
          </c:cat>
          <c:val>
            <c:numRef>
              <c:f>'grafy 1-6'!$C$4:$AO$4</c:f>
              <c:numCache>
                <c:formatCode>0.000</c:formatCode>
                <c:ptCount val="18"/>
                <c:pt idx="0">
                  <c:v>1.1293595777836214</c:v>
                </c:pt>
                <c:pt idx="1">
                  <c:v>0.84927994016735275</c:v>
                </c:pt>
                <c:pt idx="2">
                  <c:v>0.95804564592952446</c:v>
                </c:pt>
                <c:pt idx="3">
                  <c:v>0.80049931995853973</c:v>
                </c:pt>
                <c:pt idx="4">
                  <c:v>0.96135601544448068</c:v>
                </c:pt>
                <c:pt idx="5">
                  <c:v>0.83247928498795176</c:v>
                </c:pt>
                <c:pt idx="6">
                  <c:v>1.0241042601349428</c:v>
                </c:pt>
                <c:pt idx="7">
                  <c:v>0.92264512695384249</c:v>
                </c:pt>
                <c:pt idx="8">
                  <c:v>0.95156038786683128</c:v>
                </c:pt>
                <c:pt idx="9">
                  <c:v>0.84140212097552647</c:v>
                </c:pt>
                <c:pt idx="10">
                  <c:v>0.97393214528209726</c:v>
                </c:pt>
                <c:pt idx="11">
                  <c:v>0.87258997146604544</c:v>
                </c:pt>
                <c:pt idx="12">
                  <c:v>1.0312436963833282</c:v>
                </c:pt>
                <c:pt idx="13">
                  <c:v>0.82631525102541803</c:v>
                </c:pt>
                <c:pt idx="14">
                  <c:v>1.102951238063381</c:v>
                </c:pt>
                <c:pt idx="15">
                  <c:v>0.90601278525965379</c:v>
                </c:pt>
                <c:pt idx="16">
                  <c:v>1.2474562881464584</c:v>
                </c:pt>
                <c:pt idx="17">
                  <c:v>1.0066180914493714</c:v>
                </c:pt>
              </c:numCache>
            </c:numRef>
          </c:val>
          <c:extLst>
            <c:ext xmlns:c16="http://schemas.microsoft.com/office/drawing/2014/chart" uri="{C3380CC4-5D6E-409C-BE32-E72D297353CC}">
              <c16:uniqueId val="{00000000-8D13-F142-95AA-5C9A5C9AAA3A}"/>
            </c:ext>
          </c:extLst>
        </c:ser>
        <c:ser>
          <c:idx val="3"/>
          <c:order val="1"/>
          <c:tx>
            <c:strRef>
              <c:f>'grafy 1-6'!$B$5</c:f>
              <c:strCache>
                <c:ptCount val="1"/>
                <c:pt idx="0">
                  <c:v>Veterinární náklady a léčiva</c:v>
                </c:pt>
              </c:strCache>
            </c:strRef>
          </c:tx>
          <c:spPr>
            <a:solidFill>
              <a:srgbClr val="CCCCFF"/>
            </a:solidFill>
            <a:ln w="25400">
              <a:noFill/>
            </a:ln>
          </c:spPr>
          <c:invertIfNegative val="0"/>
          <c:cat>
            <c:multiLvlStrRef>
              <c:f>'grafy 1-6'!$C$2:$AL$3</c:f>
              <c:multiLvlStrCache>
                <c:ptCount val="18"/>
                <c:lvl>
                  <c:pt idx="0">
                    <c:v>2010</c:v>
                  </c:pt>
                  <c:pt idx="1">
                    <c:v>2016</c:v>
                  </c:pt>
                  <c:pt idx="2">
                    <c:v>2010</c:v>
                  </c:pt>
                  <c:pt idx="3">
                    <c:v>2016</c:v>
                  </c:pt>
                  <c:pt idx="4">
                    <c:v>2010</c:v>
                  </c:pt>
                  <c:pt idx="5">
                    <c:v>2016</c:v>
                  </c:pt>
                  <c:pt idx="6">
                    <c:v>2010</c:v>
                  </c:pt>
                  <c:pt idx="7">
                    <c:v>2016</c:v>
                  </c:pt>
                  <c:pt idx="8">
                    <c:v>2010</c:v>
                  </c:pt>
                  <c:pt idx="9">
                    <c:v>2016</c:v>
                  </c:pt>
                  <c:pt idx="10">
                    <c:v>2010</c:v>
                  </c:pt>
                  <c:pt idx="11">
                    <c:v>2016</c:v>
                  </c:pt>
                  <c:pt idx="12">
                    <c:v>2010</c:v>
                  </c:pt>
                  <c:pt idx="13">
                    <c:v>2016</c:v>
                  </c:pt>
                  <c:pt idx="14">
                    <c:v>2010</c:v>
                  </c:pt>
                  <c:pt idx="15">
                    <c:v>2016</c:v>
                  </c:pt>
                  <c:pt idx="16">
                    <c:v>2010</c:v>
                  </c:pt>
                  <c:pt idx="17">
                    <c:v>2016</c:v>
                  </c:pt>
                </c:lvl>
                <c:lvl>
                  <c:pt idx="0">
                    <c:v>Česká republika</c:v>
                  </c:pt>
                  <c:pt idx="2">
                    <c:v>Dánsko</c:v>
                  </c:pt>
                  <c:pt idx="4">
                    <c:v>Francie</c:v>
                  </c:pt>
                  <c:pt idx="6">
                    <c:v>Belgie</c:v>
                  </c:pt>
                  <c:pt idx="8">
                    <c:v>Nizozemsko</c:v>
                  </c:pt>
                  <c:pt idx="10">
                    <c:v>Rakousko</c:v>
                  </c:pt>
                  <c:pt idx="12">
                    <c:v>Německo</c:v>
                  </c:pt>
                  <c:pt idx="14">
                    <c:v>Španělsko</c:v>
                  </c:pt>
                  <c:pt idx="16">
                    <c:v>Maďarsko</c:v>
                  </c:pt>
                </c:lvl>
              </c:multiLvlStrCache>
            </c:multiLvlStrRef>
          </c:cat>
          <c:val>
            <c:numRef>
              <c:f>'grafy 1-6'!$C$5:$AL$5</c:f>
              <c:numCache>
                <c:formatCode>0.000</c:formatCode>
                <c:ptCount val="18"/>
                <c:pt idx="0">
                  <c:v>1.9542289278485982E-2</c:v>
                </c:pt>
                <c:pt idx="1">
                  <c:v>0.1413652183237826</c:v>
                </c:pt>
                <c:pt idx="2">
                  <c:v>3.0405685033570922E-2</c:v>
                </c:pt>
                <c:pt idx="3">
                  <c:v>3.2729223129035132E-2</c:v>
                </c:pt>
                <c:pt idx="4">
                  <c:v>4.280268525351659E-2</c:v>
                </c:pt>
                <c:pt idx="5">
                  <c:v>4.2131861231549168E-2</c:v>
                </c:pt>
                <c:pt idx="6">
                  <c:v>2.1217614404759541E-2</c:v>
                </c:pt>
                <c:pt idx="7">
                  <c:v>5.0970167130504285E-2</c:v>
                </c:pt>
                <c:pt idx="8">
                  <c:v>2.8920883182564368E-2</c:v>
                </c:pt>
                <c:pt idx="9">
                  <c:v>3.8940020373352528E-2</c:v>
                </c:pt>
                <c:pt idx="10">
                  <c:v>3.479905301457499E-2</c:v>
                </c:pt>
                <c:pt idx="11">
                  <c:v>7.0984722910758538E-2</c:v>
                </c:pt>
                <c:pt idx="12">
                  <c:v>3.380049095363085E-2</c:v>
                </c:pt>
                <c:pt idx="13">
                  <c:v>6.0177379842359997E-2</c:v>
                </c:pt>
                <c:pt idx="14">
                  <c:v>2.9967176416680015E-2</c:v>
                </c:pt>
                <c:pt idx="15">
                  <c:v>6.2410558164133517E-2</c:v>
                </c:pt>
                <c:pt idx="16">
                  <c:v>4.1770934666071631E-2</c:v>
                </c:pt>
                <c:pt idx="17">
                  <c:v>4.9218361522657988E-2</c:v>
                </c:pt>
              </c:numCache>
            </c:numRef>
          </c:val>
          <c:extLst>
            <c:ext xmlns:c16="http://schemas.microsoft.com/office/drawing/2014/chart" uri="{C3380CC4-5D6E-409C-BE32-E72D297353CC}">
              <c16:uniqueId val="{00000001-8D13-F142-95AA-5C9A5C9AAA3A}"/>
            </c:ext>
          </c:extLst>
        </c:ser>
        <c:ser>
          <c:idx val="4"/>
          <c:order val="2"/>
          <c:tx>
            <c:strRef>
              <c:f>'grafy 1-6'!$B$6</c:f>
              <c:strCache>
                <c:ptCount val="1"/>
                <c:pt idx="0">
                  <c:v>Náklady na obnovu stáda</c:v>
                </c:pt>
              </c:strCache>
            </c:strRef>
          </c:tx>
          <c:invertIfNegative val="0"/>
          <c:cat>
            <c:multiLvlStrRef>
              <c:f>'grafy 1-6'!$C$2:$AL$3</c:f>
              <c:multiLvlStrCache>
                <c:ptCount val="18"/>
                <c:lvl>
                  <c:pt idx="0">
                    <c:v>2010</c:v>
                  </c:pt>
                  <c:pt idx="1">
                    <c:v>2016</c:v>
                  </c:pt>
                  <c:pt idx="2">
                    <c:v>2010</c:v>
                  </c:pt>
                  <c:pt idx="3">
                    <c:v>2016</c:v>
                  </c:pt>
                  <c:pt idx="4">
                    <c:v>2010</c:v>
                  </c:pt>
                  <c:pt idx="5">
                    <c:v>2016</c:v>
                  </c:pt>
                  <c:pt idx="6">
                    <c:v>2010</c:v>
                  </c:pt>
                  <c:pt idx="7">
                    <c:v>2016</c:v>
                  </c:pt>
                  <c:pt idx="8">
                    <c:v>2010</c:v>
                  </c:pt>
                  <c:pt idx="9">
                    <c:v>2016</c:v>
                  </c:pt>
                  <c:pt idx="10">
                    <c:v>2010</c:v>
                  </c:pt>
                  <c:pt idx="11">
                    <c:v>2016</c:v>
                  </c:pt>
                  <c:pt idx="12">
                    <c:v>2010</c:v>
                  </c:pt>
                  <c:pt idx="13">
                    <c:v>2016</c:v>
                  </c:pt>
                  <c:pt idx="14">
                    <c:v>2010</c:v>
                  </c:pt>
                  <c:pt idx="15">
                    <c:v>2016</c:v>
                  </c:pt>
                  <c:pt idx="16">
                    <c:v>2010</c:v>
                  </c:pt>
                  <c:pt idx="17">
                    <c:v>2016</c:v>
                  </c:pt>
                </c:lvl>
                <c:lvl>
                  <c:pt idx="0">
                    <c:v>Česká republika</c:v>
                  </c:pt>
                  <c:pt idx="2">
                    <c:v>Dánsko</c:v>
                  </c:pt>
                  <c:pt idx="4">
                    <c:v>Francie</c:v>
                  </c:pt>
                  <c:pt idx="6">
                    <c:v>Belgie</c:v>
                  </c:pt>
                  <c:pt idx="8">
                    <c:v>Nizozemsko</c:v>
                  </c:pt>
                  <c:pt idx="10">
                    <c:v>Rakousko</c:v>
                  </c:pt>
                  <c:pt idx="12">
                    <c:v>Německo</c:v>
                  </c:pt>
                  <c:pt idx="14">
                    <c:v>Španělsko</c:v>
                  </c:pt>
                  <c:pt idx="16">
                    <c:v>Maďarsko</c:v>
                  </c:pt>
                </c:lvl>
              </c:multiLvlStrCache>
            </c:multiLvlStrRef>
          </c:cat>
          <c:val>
            <c:numRef>
              <c:f>'grafy 1-6'!$C$6:$AL$6</c:f>
              <c:numCache>
                <c:formatCode>0.000</c:formatCode>
                <c:ptCount val="18"/>
                <c:pt idx="0">
                  <c:v>0.12320066239777555</c:v>
                </c:pt>
                <c:pt idx="1">
                  <c:v>1.7997056400246843E-2</c:v>
                </c:pt>
                <c:pt idx="2">
                  <c:v>3.2473555710519381E-2</c:v>
                </c:pt>
                <c:pt idx="3">
                  <c:v>2.2783378049544067E-2</c:v>
                </c:pt>
                <c:pt idx="4">
                  <c:v>4.1277120877070077E-2</c:v>
                </c:pt>
                <c:pt idx="5">
                  <c:v>4.4885645445728789E-2</c:v>
                </c:pt>
                <c:pt idx="6">
                  <c:v>4.4736987027737013E-2</c:v>
                </c:pt>
                <c:pt idx="7">
                  <c:v>3.2787554719183674E-2</c:v>
                </c:pt>
                <c:pt idx="8">
                  <c:v>3.874493485848849E-2</c:v>
                </c:pt>
                <c:pt idx="9">
                  <c:v>3.5353942036274448E-2</c:v>
                </c:pt>
                <c:pt idx="10">
                  <c:v>8.0446792298585146E-2</c:v>
                </c:pt>
                <c:pt idx="11">
                  <c:v>3.7152253311437893E-2</c:v>
                </c:pt>
                <c:pt idx="12">
                  <c:v>6.445721721550407E-2</c:v>
                </c:pt>
                <c:pt idx="13">
                  <c:v>3.4473198186092437E-2</c:v>
                </c:pt>
                <c:pt idx="14">
                  <c:v>6.165940309013461E-2</c:v>
                </c:pt>
                <c:pt idx="15">
                  <c:v>3.4079412849101869E-2</c:v>
                </c:pt>
                <c:pt idx="16">
                  <c:v>5.1506750523415155E-2</c:v>
                </c:pt>
                <c:pt idx="17">
                  <c:v>4.7530460835413943E-2</c:v>
                </c:pt>
              </c:numCache>
            </c:numRef>
          </c:val>
          <c:extLst>
            <c:ext xmlns:c16="http://schemas.microsoft.com/office/drawing/2014/chart" uri="{C3380CC4-5D6E-409C-BE32-E72D297353CC}">
              <c16:uniqueId val="{00000002-8D13-F142-95AA-5C9A5C9AAA3A}"/>
            </c:ext>
          </c:extLst>
        </c:ser>
        <c:ser>
          <c:idx val="5"/>
          <c:order val="3"/>
          <c:tx>
            <c:strRef>
              <c:f>'grafy 1-6'!$B$7</c:f>
              <c:strCache>
                <c:ptCount val="1"/>
                <c:pt idx="0">
                  <c:v>Energie</c:v>
                </c:pt>
              </c:strCache>
            </c:strRef>
          </c:tx>
          <c:invertIfNegative val="0"/>
          <c:cat>
            <c:multiLvlStrRef>
              <c:f>'grafy 1-6'!$C$2:$AL$3</c:f>
              <c:multiLvlStrCache>
                <c:ptCount val="18"/>
                <c:lvl>
                  <c:pt idx="0">
                    <c:v>2010</c:v>
                  </c:pt>
                  <c:pt idx="1">
                    <c:v>2016</c:v>
                  </c:pt>
                  <c:pt idx="2">
                    <c:v>2010</c:v>
                  </c:pt>
                  <c:pt idx="3">
                    <c:v>2016</c:v>
                  </c:pt>
                  <c:pt idx="4">
                    <c:v>2010</c:v>
                  </c:pt>
                  <c:pt idx="5">
                    <c:v>2016</c:v>
                  </c:pt>
                  <c:pt idx="6">
                    <c:v>2010</c:v>
                  </c:pt>
                  <c:pt idx="7">
                    <c:v>2016</c:v>
                  </c:pt>
                  <c:pt idx="8">
                    <c:v>2010</c:v>
                  </c:pt>
                  <c:pt idx="9">
                    <c:v>2016</c:v>
                  </c:pt>
                  <c:pt idx="10">
                    <c:v>2010</c:v>
                  </c:pt>
                  <c:pt idx="11">
                    <c:v>2016</c:v>
                  </c:pt>
                  <c:pt idx="12">
                    <c:v>2010</c:v>
                  </c:pt>
                  <c:pt idx="13">
                    <c:v>2016</c:v>
                  </c:pt>
                  <c:pt idx="14">
                    <c:v>2010</c:v>
                  </c:pt>
                  <c:pt idx="15">
                    <c:v>2016</c:v>
                  </c:pt>
                  <c:pt idx="16">
                    <c:v>2010</c:v>
                  </c:pt>
                  <c:pt idx="17">
                    <c:v>2016</c:v>
                  </c:pt>
                </c:lvl>
                <c:lvl>
                  <c:pt idx="0">
                    <c:v>Česká republika</c:v>
                  </c:pt>
                  <c:pt idx="2">
                    <c:v>Dánsko</c:v>
                  </c:pt>
                  <c:pt idx="4">
                    <c:v>Francie</c:v>
                  </c:pt>
                  <c:pt idx="6">
                    <c:v>Belgie</c:v>
                  </c:pt>
                  <c:pt idx="8">
                    <c:v>Nizozemsko</c:v>
                  </c:pt>
                  <c:pt idx="10">
                    <c:v>Rakousko</c:v>
                  </c:pt>
                  <c:pt idx="12">
                    <c:v>Německo</c:v>
                  </c:pt>
                  <c:pt idx="14">
                    <c:v>Španělsko</c:v>
                  </c:pt>
                  <c:pt idx="16">
                    <c:v>Maďarsko</c:v>
                  </c:pt>
                </c:lvl>
              </c:multiLvlStrCache>
            </c:multiLvlStrRef>
          </c:cat>
          <c:val>
            <c:numRef>
              <c:f>'grafy 1-6'!$C$7:$AL$7</c:f>
              <c:numCache>
                <c:formatCode>0.000</c:formatCode>
                <c:ptCount val="18"/>
                <c:pt idx="0">
                  <c:v>4.0323319875280782E-2</c:v>
                </c:pt>
                <c:pt idx="1">
                  <c:v>3.73540544269403E-2</c:v>
                </c:pt>
                <c:pt idx="2">
                  <c:v>3.9069083714406316E-2</c:v>
                </c:pt>
                <c:pt idx="3">
                  <c:v>4.3856149703535782E-2</c:v>
                </c:pt>
                <c:pt idx="4">
                  <c:v>3.0380739169055895E-2</c:v>
                </c:pt>
                <c:pt idx="5">
                  <c:v>3.7056657617776857E-2</c:v>
                </c:pt>
                <c:pt idx="6">
                  <c:v>4.2137107834844034E-2</c:v>
                </c:pt>
                <c:pt idx="7">
                  <c:v>3.6304897194455191E-2</c:v>
                </c:pt>
                <c:pt idx="8">
                  <c:v>4.7550359329752011E-2</c:v>
                </c:pt>
                <c:pt idx="9">
                  <c:v>4.5307796670106051E-2</c:v>
                </c:pt>
                <c:pt idx="10">
                  <c:v>6.1947565824087544E-2</c:v>
                </c:pt>
                <c:pt idx="11">
                  <c:v>5.0132389697741697E-2</c:v>
                </c:pt>
                <c:pt idx="12">
                  <c:v>5.3518189498771122E-2</c:v>
                </c:pt>
                <c:pt idx="13">
                  <c:v>4.776438848188954E-2</c:v>
                </c:pt>
                <c:pt idx="14">
                  <c:v>4.2871766076916618E-2</c:v>
                </c:pt>
                <c:pt idx="15">
                  <c:v>4.6057912823730736E-2</c:v>
                </c:pt>
                <c:pt idx="16">
                  <c:v>2.3412216250009898E-2</c:v>
                </c:pt>
                <c:pt idx="17">
                  <c:v>2.1553555230799416E-2</c:v>
                </c:pt>
              </c:numCache>
            </c:numRef>
          </c:val>
          <c:extLst>
            <c:ext xmlns:c16="http://schemas.microsoft.com/office/drawing/2014/chart" uri="{C3380CC4-5D6E-409C-BE32-E72D297353CC}">
              <c16:uniqueId val="{00000003-8D13-F142-95AA-5C9A5C9AAA3A}"/>
            </c:ext>
          </c:extLst>
        </c:ser>
        <c:ser>
          <c:idx val="6"/>
          <c:order val="4"/>
          <c:tx>
            <c:strRef>
              <c:f>'grafy 1-6'!$B$8</c:f>
              <c:strCache>
                <c:ptCount val="1"/>
                <c:pt idx="0">
                  <c:v>Opravy a udržování</c:v>
                </c:pt>
              </c:strCache>
            </c:strRef>
          </c:tx>
          <c:invertIfNegative val="0"/>
          <c:cat>
            <c:multiLvlStrRef>
              <c:f>'grafy 1-6'!$C$2:$AL$3</c:f>
              <c:multiLvlStrCache>
                <c:ptCount val="18"/>
                <c:lvl>
                  <c:pt idx="0">
                    <c:v>2010</c:v>
                  </c:pt>
                  <c:pt idx="1">
                    <c:v>2016</c:v>
                  </c:pt>
                  <c:pt idx="2">
                    <c:v>2010</c:v>
                  </c:pt>
                  <c:pt idx="3">
                    <c:v>2016</c:v>
                  </c:pt>
                  <c:pt idx="4">
                    <c:v>2010</c:v>
                  </c:pt>
                  <c:pt idx="5">
                    <c:v>2016</c:v>
                  </c:pt>
                  <c:pt idx="6">
                    <c:v>2010</c:v>
                  </c:pt>
                  <c:pt idx="7">
                    <c:v>2016</c:v>
                  </c:pt>
                  <c:pt idx="8">
                    <c:v>2010</c:v>
                  </c:pt>
                  <c:pt idx="9">
                    <c:v>2016</c:v>
                  </c:pt>
                  <c:pt idx="10">
                    <c:v>2010</c:v>
                  </c:pt>
                  <c:pt idx="11">
                    <c:v>2016</c:v>
                  </c:pt>
                  <c:pt idx="12">
                    <c:v>2010</c:v>
                  </c:pt>
                  <c:pt idx="13">
                    <c:v>2016</c:v>
                  </c:pt>
                  <c:pt idx="14">
                    <c:v>2010</c:v>
                  </c:pt>
                  <c:pt idx="15">
                    <c:v>2016</c:v>
                  </c:pt>
                  <c:pt idx="16">
                    <c:v>2010</c:v>
                  </c:pt>
                  <c:pt idx="17">
                    <c:v>2016</c:v>
                  </c:pt>
                </c:lvl>
                <c:lvl>
                  <c:pt idx="0">
                    <c:v>Česká republika</c:v>
                  </c:pt>
                  <c:pt idx="2">
                    <c:v>Dánsko</c:v>
                  </c:pt>
                  <c:pt idx="4">
                    <c:v>Francie</c:v>
                  </c:pt>
                  <c:pt idx="6">
                    <c:v>Belgie</c:v>
                  </c:pt>
                  <c:pt idx="8">
                    <c:v>Nizozemsko</c:v>
                  </c:pt>
                  <c:pt idx="10">
                    <c:v>Rakousko</c:v>
                  </c:pt>
                  <c:pt idx="12">
                    <c:v>Německo</c:v>
                  </c:pt>
                  <c:pt idx="14">
                    <c:v>Španělsko</c:v>
                  </c:pt>
                  <c:pt idx="16">
                    <c:v>Maďarsko</c:v>
                  </c:pt>
                </c:lvl>
              </c:multiLvlStrCache>
            </c:multiLvlStrRef>
          </c:cat>
          <c:val>
            <c:numRef>
              <c:f>'grafy 1-6'!$C$8:$AL$8</c:f>
              <c:numCache>
                <c:formatCode>0.000</c:formatCode>
                <c:ptCount val="18"/>
                <c:pt idx="0">
                  <c:v>2.5229003877349387E-2</c:v>
                </c:pt>
                <c:pt idx="1">
                  <c:v>2.9827931906704453E-2</c:v>
                </c:pt>
                <c:pt idx="2">
                  <c:v>4.0982273190309837E-2</c:v>
                </c:pt>
                <c:pt idx="3">
                  <c:v>2.9756087022245605E-2</c:v>
                </c:pt>
                <c:pt idx="4">
                  <c:v>2.444693802120286E-2</c:v>
                </c:pt>
                <c:pt idx="5">
                  <c:v>2.7533655109740932E-2</c:v>
                </c:pt>
                <c:pt idx="6">
                  <c:v>1.6016873537932672E-2</c:v>
                </c:pt>
                <c:pt idx="7">
                  <c:v>1.8359970760727557E-2</c:v>
                </c:pt>
                <c:pt idx="8">
                  <c:v>3.6472309121615823E-2</c:v>
                </c:pt>
                <c:pt idx="9">
                  <c:v>3.6053876546337654E-2</c:v>
                </c:pt>
                <c:pt idx="10">
                  <c:v>4.0745801153318051E-2</c:v>
                </c:pt>
                <c:pt idx="11">
                  <c:v>4.0549078208558541E-2</c:v>
                </c:pt>
                <c:pt idx="12">
                  <c:v>5.6058602748230615E-2</c:v>
                </c:pt>
                <c:pt idx="13">
                  <c:v>6.0210729029220422E-2</c:v>
                </c:pt>
                <c:pt idx="14">
                  <c:v>2.1633031559426214E-2</c:v>
                </c:pt>
                <c:pt idx="15">
                  <c:v>2.3013965256661682E-2</c:v>
                </c:pt>
                <c:pt idx="16">
                  <c:v>1.4508825795287427E-2</c:v>
                </c:pt>
                <c:pt idx="17">
                  <c:v>1.0385494344596298E-2</c:v>
                </c:pt>
              </c:numCache>
            </c:numRef>
          </c:val>
          <c:extLst>
            <c:ext xmlns:c16="http://schemas.microsoft.com/office/drawing/2014/chart" uri="{C3380CC4-5D6E-409C-BE32-E72D297353CC}">
              <c16:uniqueId val="{00000004-8D13-F142-95AA-5C9A5C9AAA3A}"/>
            </c:ext>
          </c:extLst>
        </c:ser>
        <c:ser>
          <c:idx val="7"/>
          <c:order val="5"/>
          <c:tx>
            <c:strRef>
              <c:f>'grafy 1-6'!$B$9</c:f>
              <c:strCache>
                <c:ptCount val="1"/>
                <c:pt idx="0">
                  <c:v>Pracovní náklady</c:v>
                </c:pt>
              </c:strCache>
            </c:strRef>
          </c:tx>
          <c:invertIfNegative val="0"/>
          <c:cat>
            <c:multiLvlStrRef>
              <c:f>'grafy 1-6'!$C$2:$AL$3</c:f>
              <c:multiLvlStrCache>
                <c:ptCount val="18"/>
                <c:lvl>
                  <c:pt idx="0">
                    <c:v>2010</c:v>
                  </c:pt>
                  <c:pt idx="1">
                    <c:v>2016</c:v>
                  </c:pt>
                  <c:pt idx="2">
                    <c:v>2010</c:v>
                  </c:pt>
                  <c:pt idx="3">
                    <c:v>2016</c:v>
                  </c:pt>
                  <c:pt idx="4">
                    <c:v>2010</c:v>
                  </c:pt>
                  <c:pt idx="5">
                    <c:v>2016</c:v>
                  </c:pt>
                  <c:pt idx="6">
                    <c:v>2010</c:v>
                  </c:pt>
                  <c:pt idx="7">
                    <c:v>2016</c:v>
                  </c:pt>
                  <c:pt idx="8">
                    <c:v>2010</c:v>
                  </c:pt>
                  <c:pt idx="9">
                    <c:v>2016</c:v>
                  </c:pt>
                  <c:pt idx="10">
                    <c:v>2010</c:v>
                  </c:pt>
                  <c:pt idx="11">
                    <c:v>2016</c:v>
                  </c:pt>
                  <c:pt idx="12">
                    <c:v>2010</c:v>
                  </c:pt>
                  <c:pt idx="13">
                    <c:v>2016</c:v>
                  </c:pt>
                  <c:pt idx="14">
                    <c:v>2010</c:v>
                  </c:pt>
                  <c:pt idx="15">
                    <c:v>2016</c:v>
                  </c:pt>
                  <c:pt idx="16">
                    <c:v>2010</c:v>
                  </c:pt>
                  <c:pt idx="17">
                    <c:v>2016</c:v>
                  </c:pt>
                </c:lvl>
                <c:lvl>
                  <c:pt idx="0">
                    <c:v>Česká republika</c:v>
                  </c:pt>
                  <c:pt idx="2">
                    <c:v>Dánsko</c:v>
                  </c:pt>
                  <c:pt idx="4">
                    <c:v>Francie</c:v>
                  </c:pt>
                  <c:pt idx="6">
                    <c:v>Belgie</c:v>
                  </c:pt>
                  <c:pt idx="8">
                    <c:v>Nizozemsko</c:v>
                  </c:pt>
                  <c:pt idx="10">
                    <c:v>Rakousko</c:v>
                  </c:pt>
                  <c:pt idx="12">
                    <c:v>Německo</c:v>
                  </c:pt>
                  <c:pt idx="14">
                    <c:v>Španělsko</c:v>
                  </c:pt>
                  <c:pt idx="16">
                    <c:v>Maďarsko</c:v>
                  </c:pt>
                </c:lvl>
              </c:multiLvlStrCache>
            </c:multiLvlStrRef>
          </c:cat>
          <c:val>
            <c:numRef>
              <c:f>'grafy 1-6'!$C$9:$AL$9</c:f>
              <c:numCache>
                <c:formatCode>0.000</c:formatCode>
                <c:ptCount val="18"/>
                <c:pt idx="0">
                  <c:v>0.14048907015047551</c:v>
                </c:pt>
                <c:pt idx="1">
                  <c:v>0.12198021217856428</c:v>
                </c:pt>
                <c:pt idx="2">
                  <c:v>0.14984302531667087</c:v>
                </c:pt>
                <c:pt idx="3">
                  <c:v>0.14171383691433126</c:v>
                </c:pt>
                <c:pt idx="4">
                  <c:v>0.1518809933442849</c:v>
                </c:pt>
                <c:pt idx="5">
                  <c:v>0.13339179270951959</c:v>
                </c:pt>
                <c:pt idx="6">
                  <c:v>0.13644941301106495</c:v>
                </c:pt>
                <c:pt idx="7">
                  <c:v>0.1188620252973891</c:v>
                </c:pt>
                <c:pt idx="8">
                  <c:v>0.13467074159893827</c:v>
                </c:pt>
                <c:pt idx="9">
                  <c:v>0.14939349669323401</c:v>
                </c:pt>
                <c:pt idx="10">
                  <c:v>0.14768364783964116</c:v>
                </c:pt>
                <c:pt idx="11">
                  <c:v>0.15475396602107919</c:v>
                </c:pt>
                <c:pt idx="12">
                  <c:v>0.14254908614983908</c:v>
                </c:pt>
                <c:pt idx="13">
                  <c:v>0.1430130267874487</c:v>
                </c:pt>
                <c:pt idx="14">
                  <c:v>0.10064344337941986</c:v>
                </c:pt>
                <c:pt idx="15">
                  <c:v>9.6532739321471397E-2</c:v>
                </c:pt>
                <c:pt idx="16">
                  <c:v>0.14082527527350899</c:v>
                </c:pt>
                <c:pt idx="17">
                  <c:v>0.12072676911903392</c:v>
                </c:pt>
              </c:numCache>
            </c:numRef>
          </c:val>
          <c:extLst>
            <c:ext xmlns:c16="http://schemas.microsoft.com/office/drawing/2014/chart" uri="{C3380CC4-5D6E-409C-BE32-E72D297353CC}">
              <c16:uniqueId val="{00000005-8D13-F142-95AA-5C9A5C9AAA3A}"/>
            </c:ext>
          </c:extLst>
        </c:ser>
        <c:ser>
          <c:idx val="8"/>
          <c:order val="6"/>
          <c:tx>
            <c:strRef>
              <c:f>'grafy 1-6'!$B$10</c:f>
              <c:strCache>
                <c:ptCount val="1"/>
                <c:pt idx="0">
                  <c:v>Odpisy</c:v>
                </c:pt>
              </c:strCache>
            </c:strRef>
          </c:tx>
          <c:invertIfNegative val="0"/>
          <c:cat>
            <c:multiLvlStrRef>
              <c:f>'grafy 1-6'!$C$2:$AL$3</c:f>
              <c:multiLvlStrCache>
                <c:ptCount val="18"/>
                <c:lvl>
                  <c:pt idx="0">
                    <c:v>2010</c:v>
                  </c:pt>
                  <c:pt idx="1">
                    <c:v>2016</c:v>
                  </c:pt>
                  <c:pt idx="2">
                    <c:v>2010</c:v>
                  </c:pt>
                  <c:pt idx="3">
                    <c:v>2016</c:v>
                  </c:pt>
                  <c:pt idx="4">
                    <c:v>2010</c:v>
                  </c:pt>
                  <c:pt idx="5">
                    <c:v>2016</c:v>
                  </c:pt>
                  <c:pt idx="6">
                    <c:v>2010</c:v>
                  </c:pt>
                  <c:pt idx="7">
                    <c:v>2016</c:v>
                  </c:pt>
                  <c:pt idx="8">
                    <c:v>2010</c:v>
                  </c:pt>
                  <c:pt idx="9">
                    <c:v>2016</c:v>
                  </c:pt>
                  <c:pt idx="10">
                    <c:v>2010</c:v>
                  </c:pt>
                  <c:pt idx="11">
                    <c:v>2016</c:v>
                  </c:pt>
                  <c:pt idx="12">
                    <c:v>2010</c:v>
                  </c:pt>
                  <c:pt idx="13">
                    <c:v>2016</c:v>
                  </c:pt>
                  <c:pt idx="14">
                    <c:v>2010</c:v>
                  </c:pt>
                  <c:pt idx="15">
                    <c:v>2016</c:v>
                  </c:pt>
                  <c:pt idx="16">
                    <c:v>2010</c:v>
                  </c:pt>
                  <c:pt idx="17">
                    <c:v>2016</c:v>
                  </c:pt>
                </c:lvl>
                <c:lvl>
                  <c:pt idx="0">
                    <c:v>Česká republika</c:v>
                  </c:pt>
                  <c:pt idx="2">
                    <c:v>Dánsko</c:v>
                  </c:pt>
                  <c:pt idx="4">
                    <c:v>Francie</c:v>
                  </c:pt>
                  <c:pt idx="6">
                    <c:v>Belgie</c:v>
                  </c:pt>
                  <c:pt idx="8">
                    <c:v>Nizozemsko</c:v>
                  </c:pt>
                  <c:pt idx="10">
                    <c:v>Rakousko</c:v>
                  </c:pt>
                  <c:pt idx="12">
                    <c:v>Německo</c:v>
                  </c:pt>
                  <c:pt idx="14">
                    <c:v>Španělsko</c:v>
                  </c:pt>
                  <c:pt idx="16">
                    <c:v>Maďarsko</c:v>
                  </c:pt>
                </c:lvl>
              </c:multiLvlStrCache>
            </c:multiLvlStrRef>
          </c:cat>
          <c:val>
            <c:numRef>
              <c:f>'grafy 1-6'!$C$10:$AL$10</c:f>
              <c:numCache>
                <c:formatCode>0.000</c:formatCode>
                <c:ptCount val="18"/>
                <c:pt idx="0">
                  <c:v>9.20890280622991E-2</c:v>
                </c:pt>
                <c:pt idx="1">
                  <c:v>9.9166522669431476E-2</c:v>
                </c:pt>
                <c:pt idx="2">
                  <c:v>0.15703475652903851</c:v>
                </c:pt>
                <c:pt idx="3">
                  <c:v>0.15281958706965323</c:v>
                </c:pt>
                <c:pt idx="4">
                  <c:v>0.18038853652369466</c:v>
                </c:pt>
                <c:pt idx="5">
                  <c:v>0.17902167461075799</c:v>
                </c:pt>
                <c:pt idx="6">
                  <c:v>0.17248192027752215</c:v>
                </c:pt>
                <c:pt idx="7">
                  <c:v>0.16292580871811649</c:v>
                </c:pt>
                <c:pt idx="8">
                  <c:v>0.15638984715863438</c:v>
                </c:pt>
                <c:pt idx="9">
                  <c:v>0.15496526732720209</c:v>
                </c:pt>
                <c:pt idx="10">
                  <c:v>0.20314974078173073</c:v>
                </c:pt>
                <c:pt idx="11">
                  <c:v>0.24572057260873978</c:v>
                </c:pt>
                <c:pt idx="12">
                  <c:v>0.17140899143219357</c:v>
                </c:pt>
                <c:pt idx="13">
                  <c:v>0.18433716166801772</c:v>
                </c:pt>
                <c:pt idx="14">
                  <c:v>9.7617312680011947E-2</c:v>
                </c:pt>
                <c:pt idx="15">
                  <c:v>9.5876954931200839E-2</c:v>
                </c:pt>
                <c:pt idx="16">
                  <c:v>0.18584538332761266</c:v>
                </c:pt>
                <c:pt idx="17">
                  <c:v>4.9432651096223065E-2</c:v>
                </c:pt>
              </c:numCache>
            </c:numRef>
          </c:val>
          <c:extLst>
            <c:ext xmlns:c16="http://schemas.microsoft.com/office/drawing/2014/chart" uri="{C3380CC4-5D6E-409C-BE32-E72D297353CC}">
              <c16:uniqueId val="{00000006-8D13-F142-95AA-5C9A5C9AAA3A}"/>
            </c:ext>
          </c:extLst>
        </c:ser>
        <c:ser>
          <c:idx val="9"/>
          <c:order val="7"/>
          <c:tx>
            <c:strRef>
              <c:f>'grafy 1-6'!$B$11</c:f>
              <c:strCache>
                <c:ptCount val="1"/>
                <c:pt idx="0">
                  <c:v>Finanční náklady</c:v>
                </c:pt>
              </c:strCache>
            </c:strRef>
          </c:tx>
          <c:invertIfNegative val="0"/>
          <c:cat>
            <c:multiLvlStrRef>
              <c:f>'grafy 1-6'!$C$2:$AL$3</c:f>
              <c:multiLvlStrCache>
                <c:ptCount val="18"/>
                <c:lvl>
                  <c:pt idx="0">
                    <c:v>2010</c:v>
                  </c:pt>
                  <c:pt idx="1">
                    <c:v>2016</c:v>
                  </c:pt>
                  <c:pt idx="2">
                    <c:v>2010</c:v>
                  </c:pt>
                  <c:pt idx="3">
                    <c:v>2016</c:v>
                  </c:pt>
                  <c:pt idx="4">
                    <c:v>2010</c:v>
                  </c:pt>
                  <c:pt idx="5">
                    <c:v>2016</c:v>
                  </c:pt>
                  <c:pt idx="6">
                    <c:v>2010</c:v>
                  </c:pt>
                  <c:pt idx="7">
                    <c:v>2016</c:v>
                  </c:pt>
                  <c:pt idx="8">
                    <c:v>2010</c:v>
                  </c:pt>
                  <c:pt idx="9">
                    <c:v>2016</c:v>
                  </c:pt>
                  <c:pt idx="10">
                    <c:v>2010</c:v>
                  </c:pt>
                  <c:pt idx="11">
                    <c:v>2016</c:v>
                  </c:pt>
                  <c:pt idx="12">
                    <c:v>2010</c:v>
                  </c:pt>
                  <c:pt idx="13">
                    <c:v>2016</c:v>
                  </c:pt>
                  <c:pt idx="14">
                    <c:v>2010</c:v>
                  </c:pt>
                  <c:pt idx="15">
                    <c:v>2016</c:v>
                  </c:pt>
                  <c:pt idx="16">
                    <c:v>2010</c:v>
                  </c:pt>
                  <c:pt idx="17">
                    <c:v>2016</c:v>
                  </c:pt>
                </c:lvl>
                <c:lvl>
                  <c:pt idx="0">
                    <c:v>Česká republika</c:v>
                  </c:pt>
                  <c:pt idx="2">
                    <c:v>Dánsko</c:v>
                  </c:pt>
                  <c:pt idx="4">
                    <c:v>Francie</c:v>
                  </c:pt>
                  <c:pt idx="6">
                    <c:v>Belgie</c:v>
                  </c:pt>
                  <c:pt idx="8">
                    <c:v>Nizozemsko</c:v>
                  </c:pt>
                  <c:pt idx="10">
                    <c:v>Rakousko</c:v>
                  </c:pt>
                  <c:pt idx="12">
                    <c:v>Německo</c:v>
                  </c:pt>
                  <c:pt idx="14">
                    <c:v>Španělsko</c:v>
                  </c:pt>
                  <c:pt idx="16">
                    <c:v>Maďarsko</c:v>
                  </c:pt>
                </c:lvl>
              </c:multiLvlStrCache>
            </c:multiLvlStrRef>
          </c:cat>
          <c:val>
            <c:numRef>
              <c:f>'grafy 1-6'!$C$11:$AL$11</c:f>
              <c:numCache>
                <c:formatCode>0.000</c:formatCode>
                <c:ptCount val="18"/>
                <c:pt idx="0">
                  <c:v>5.9199239259041615E-2</c:v>
                </c:pt>
                <c:pt idx="1">
                  <c:v>3.7099331133496172E-2</c:v>
                </c:pt>
                <c:pt idx="2">
                  <c:v>7.0353711633534599E-2</c:v>
                </c:pt>
                <c:pt idx="3">
                  <c:v>7.8304715578138728E-2</c:v>
                </c:pt>
                <c:pt idx="4">
                  <c:v>8.189779892118626E-2</c:v>
                </c:pt>
                <c:pt idx="5">
                  <c:v>3.2071505877061868E-2</c:v>
                </c:pt>
                <c:pt idx="6">
                  <c:v>0.11766711840248903</c:v>
                </c:pt>
                <c:pt idx="7">
                  <c:v>5.7902403150840706E-2</c:v>
                </c:pt>
                <c:pt idx="8">
                  <c:v>6.7079584155199143E-2</c:v>
                </c:pt>
                <c:pt idx="9">
                  <c:v>5.0015160677438449E-2</c:v>
                </c:pt>
                <c:pt idx="10">
                  <c:v>0.11126419723482045</c:v>
                </c:pt>
                <c:pt idx="11">
                  <c:v>8.4261286539332847E-2</c:v>
                </c:pt>
                <c:pt idx="12">
                  <c:v>0.11163957806469528</c:v>
                </c:pt>
                <c:pt idx="13">
                  <c:v>5.3397646669943101E-2</c:v>
                </c:pt>
                <c:pt idx="14">
                  <c:v>8.1015703685168389E-2</c:v>
                </c:pt>
                <c:pt idx="15">
                  <c:v>3.1648770596048724E-2</c:v>
                </c:pt>
                <c:pt idx="16">
                  <c:v>0.32041634701095201</c:v>
                </c:pt>
                <c:pt idx="17">
                  <c:v>3.5698273569843654E-2</c:v>
                </c:pt>
              </c:numCache>
            </c:numRef>
          </c:val>
          <c:extLst>
            <c:ext xmlns:c16="http://schemas.microsoft.com/office/drawing/2014/chart" uri="{C3380CC4-5D6E-409C-BE32-E72D297353CC}">
              <c16:uniqueId val="{00000007-8D13-F142-95AA-5C9A5C9AAA3A}"/>
            </c:ext>
          </c:extLst>
        </c:ser>
        <c:ser>
          <c:idx val="10"/>
          <c:order val="8"/>
          <c:tx>
            <c:strRef>
              <c:f>'grafy 1-6'!$B$12</c:f>
              <c:strCache>
                <c:ptCount val="1"/>
                <c:pt idx="0">
                  <c:v>Ostatní náklady</c:v>
                </c:pt>
              </c:strCache>
            </c:strRef>
          </c:tx>
          <c:invertIfNegative val="0"/>
          <c:cat>
            <c:multiLvlStrRef>
              <c:f>'grafy 1-6'!$C$2:$AL$3</c:f>
              <c:multiLvlStrCache>
                <c:ptCount val="18"/>
                <c:lvl>
                  <c:pt idx="0">
                    <c:v>2010</c:v>
                  </c:pt>
                  <c:pt idx="1">
                    <c:v>2016</c:v>
                  </c:pt>
                  <c:pt idx="2">
                    <c:v>2010</c:v>
                  </c:pt>
                  <c:pt idx="3">
                    <c:v>2016</c:v>
                  </c:pt>
                  <c:pt idx="4">
                    <c:v>2010</c:v>
                  </c:pt>
                  <c:pt idx="5">
                    <c:v>2016</c:v>
                  </c:pt>
                  <c:pt idx="6">
                    <c:v>2010</c:v>
                  </c:pt>
                  <c:pt idx="7">
                    <c:v>2016</c:v>
                  </c:pt>
                  <c:pt idx="8">
                    <c:v>2010</c:v>
                  </c:pt>
                  <c:pt idx="9">
                    <c:v>2016</c:v>
                  </c:pt>
                  <c:pt idx="10">
                    <c:v>2010</c:v>
                  </c:pt>
                  <c:pt idx="11">
                    <c:v>2016</c:v>
                  </c:pt>
                  <c:pt idx="12">
                    <c:v>2010</c:v>
                  </c:pt>
                  <c:pt idx="13">
                    <c:v>2016</c:v>
                  </c:pt>
                  <c:pt idx="14">
                    <c:v>2010</c:v>
                  </c:pt>
                  <c:pt idx="15">
                    <c:v>2016</c:v>
                  </c:pt>
                  <c:pt idx="16">
                    <c:v>2010</c:v>
                  </c:pt>
                  <c:pt idx="17">
                    <c:v>2016</c:v>
                  </c:pt>
                </c:lvl>
                <c:lvl>
                  <c:pt idx="0">
                    <c:v>Česká republika</c:v>
                  </c:pt>
                  <c:pt idx="2">
                    <c:v>Dánsko</c:v>
                  </c:pt>
                  <c:pt idx="4">
                    <c:v>Francie</c:v>
                  </c:pt>
                  <c:pt idx="6">
                    <c:v>Belgie</c:v>
                  </c:pt>
                  <c:pt idx="8">
                    <c:v>Nizozemsko</c:v>
                  </c:pt>
                  <c:pt idx="10">
                    <c:v>Rakousko</c:v>
                  </c:pt>
                  <c:pt idx="12">
                    <c:v>Německo</c:v>
                  </c:pt>
                  <c:pt idx="14">
                    <c:v>Španělsko</c:v>
                  </c:pt>
                  <c:pt idx="16">
                    <c:v>Maďarsko</c:v>
                  </c:pt>
                </c:lvl>
              </c:multiLvlStrCache>
            </c:multiLvlStrRef>
          </c:cat>
          <c:val>
            <c:numRef>
              <c:f>'grafy 1-6'!$C$12:$AL$12</c:f>
              <c:numCache>
                <c:formatCode>0.000</c:formatCode>
                <c:ptCount val="18"/>
                <c:pt idx="0">
                  <c:v>0.12765145872663897</c:v>
                </c:pt>
                <c:pt idx="1">
                  <c:v>0.22898297267343859</c:v>
                </c:pt>
                <c:pt idx="2">
                  <c:v>0.10358007478349097</c:v>
                </c:pt>
                <c:pt idx="3">
                  <c:v>9.5173104979618561E-2</c:v>
                </c:pt>
                <c:pt idx="4">
                  <c:v>8.0761379457626833E-2</c:v>
                </c:pt>
                <c:pt idx="5">
                  <c:v>9.0309733668526709E-2</c:v>
                </c:pt>
                <c:pt idx="6">
                  <c:v>5.3691665995446523E-2</c:v>
                </c:pt>
                <c:pt idx="7">
                  <c:v>7.2538138189658305E-2</c:v>
                </c:pt>
                <c:pt idx="8">
                  <c:v>0.12716853442449461</c:v>
                </c:pt>
                <c:pt idx="9">
                  <c:v>0.20342018626691102</c:v>
                </c:pt>
                <c:pt idx="10">
                  <c:v>4.7432897610392738E-2</c:v>
                </c:pt>
                <c:pt idx="11">
                  <c:v>3.8690766268240924E-2</c:v>
                </c:pt>
                <c:pt idx="12">
                  <c:v>8.1867311926877392E-2</c:v>
                </c:pt>
                <c:pt idx="13">
                  <c:v>8.8408790518569286E-2</c:v>
                </c:pt>
                <c:pt idx="14">
                  <c:v>4.4894424162387925E-2</c:v>
                </c:pt>
                <c:pt idx="15">
                  <c:v>5.8646529475763466E-2</c:v>
                </c:pt>
                <c:pt idx="16">
                  <c:v>0.14859924957793366</c:v>
                </c:pt>
                <c:pt idx="17">
                  <c:v>0.11690570806802499</c:v>
                </c:pt>
              </c:numCache>
            </c:numRef>
          </c:val>
          <c:extLst>
            <c:ext xmlns:c16="http://schemas.microsoft.com/office/drawing/2014/chart" uri="{C3380CC4-5D6E-409C-BE32-E72D297353CC}">
              <c16:uniqueId val="{00000008-8D13-F142-95AA-5C9A5C9AAA3A}"/>
            </c:ext>
          </c:extLst>
        </c:ser>
        <c:dLbls>
          <c:showLegendKey val="0"/>
          <c:showVal val="0"/>
          <c:showCatName val="0"/>
          <c:showSerName val="0"/>
          <c:showPercent val="0"/>
          <c:showBubbleSize val="0"/>
        </c:dLbls>
        <c:gapWidth val="150"/>
        <c:overlap val="100"/>
        <c:axId val="274196736"/>
        <c:axId val="274198528"/>
      </c:barChart>
      <c:lineChart>
        <c:grouping val="standard"/>
        <c:varyColors val="0"/>
        <c:ser>
          <c:idx val="12"/>
          <c:order val="9"/>
          <c:tx>
            <c:strRef>
              <c:f>'grafy 1-6'!$B$14</c:f>
              <c:strCache>
                <c:ptCount val="1"/>
                <c:pt idx="0">
                  <c:v>Realizační cena prasat</c:v>
                </c:pt>
              </c:strCache>
            </c:strRef>
          </c:tx>
          <c:spPr>
            <a:ln>
              <a:solidFill>
                <a:schemeClr val="tx1"/>
              </a:solidFill>
            </a:ln>
          </c:spPr>
          <c:marker>
            <c:symbol val="diamond"/>
            <c:size val="7"/>
            <c:spPr>
              <a:solidFill>
                <a:schemeClr val="tx1"/>
              </a:solidFill>
              <a:ln>
                <a:solidFill>
                  <a:schemeClr val="tx1"/>
                </a:solidFill>
              </a:ln>
            </c:spPr>
          </c:marker>
          <c:dPt>
            <c:idx val="2"/>
            <c:bubble3D val="0"/>
            <c:spPr>
              <a:ln>
                <a:noFill/>
              </a:ln>
            </c:spPr>
            <c:extLst>
              <c:ext xmlns:c16="http://schemas.microsoft.com/office/drawing/2014/chart" uri="{C3380CC4-5D6E-409C-BE32-E72D297353CC}">
                <c16:uniqueId val="{0000000A-8D13-F142-95AA-5C9A5C9AAA3A}"/>
              </c:ext>
            </c:extLst>
          </c:dPt>
          <c:dPt>
            <c:idx val="4"/>
            <c:bubble3D val="0"/>
            <c:spPr>
              <a:ln>
                <a:noFill/>
              </a:ln>
            </c:spPr>
            <c:extLst>
              <c:ext xmlns:c16="http://schemas.microsoft.com/office/drawing/2014/chart" uri="{C3380CC4-5D6E-409C-BE32-E72D297353CC}">
                <c16:uniqueId val="{0000000C-8D13-F142-95AA-5C9A5C9AAA3A}"/>
              </c:ext>
            </c:extLst>
          </c:dPt>
          <c:dPt>
            <c:idx val="6"/>
            <c:bubble3D val="0"/>
            <c:spPr>
              <a:ln>
                <a:noFill/>
              </a:ln>
            </c:spPr>
            <c:extLst>
              <c:ext xmlns:c16="http://schemas.microsoft.com/office/drawing/2014/chart" uri="{C3380CC4-5D6E-409C-BE32-E72D297353CC}">
                <c16:uniqueId val="{0000000E-8D13-F142-95AA-5C9A5C9AAA3A}"/>
              </c:ext>
            </c:extLst>
          </c:dPt>
          <c:dPt>
            <c:idx val="8"/>
            <c:bubble3D val="0"/>
            <c:spPr>
              <a:ln>
                <a:noFill/>
              </a:ln>
            </c:spPr>
            <c:extLst>
              <c:ext xmlns:c16="http://schemas.microsoft.com/office/drawing/2014/chart" uri="{C3380CC4-5D6E-409C-BE32-E72D297353CC}">
                <c16:uniqueId val="{00000010-8D13-F142-95AA-5C9A5C9AAA3A}"/>
              </c:ext>
            </c:extLst>
          </c:dPt>
          <c:dPt>
            <c:idx val="10"/>
            <c:bubble3D val="0"/>
            <c:spPr>
              <a:ln>
                <a:noFill/>
              </a:ln>
            </c:spPr>
            <c:extLst>
              <c:ext xmlns:c16="http://schemas.microsoft.com/office/drawing/2014/chart" uri="{C3380CC4-5D6E-409C-BE32-E72D297353CC}">
                <c16:uniqueId val="{00000012-8D13-F142-95AA-5C9A5C9AAA3A}"/>
              </c:ext>
            </c:extLst>
          </c:dPt>
          <c:dPt>
            <c:idx val="12"/>
            <c:bubble3D val="0"/>
            <c:spPr>
              <a:ln>
                <a:noFill/>
              </a:ln>
            </c:spPr>
            <c:extLst>
              <c:ext xmlns:c16="http://schemas.microsoft.com/office/drawing/2014/chart" uri="{C3380CC4-5D6E-409C-BE32-E72D297353CC}">
                <c16:uniqueId val="{00000014-8D13-F142-95AA-5C9A5C9AAA3A}"/>
              </c:ext>
            </c:extLst>
          </c:dPt>
          <c:dPt>
            <c:idx val="14"/>
            <c:bubble3D val="0"/>
            <c:spPr>
              <a:ln>
                <a:noFill/>
              </a:ln>
            </c:spPr>
            <c:extLst>
              <c:ext xmlns:c16="http://schemas.microsoft.com/office/drawing/2014/chart" uri="{C3380CC4-5D6E-409C-BE32-E72D297353CC}">
                <c16:uniqueId val="{00000016-8D13-F142-95AA-5C9A5C9AAA3A}"/>
              </c:ext>
            </c:extLst>
          </c:dPt>
          <c:dPt>
            <c:idx val="16"/>
            <c:bubble3D val="0"/>
            <c:spPr>
              <a:ln>
                <a:noFill/>
              </a:ln>
            </c:spPr>
            <c:extLst>
              <c:ext xmlns:c16="http://schemas.microsoft.com/office/drawing/2014/chart" uri="{C3380CC4-5D6E-409C-BE32-E72D297353CC}">
                <c16:uniqueId val="{00000018-8D13-F142-95AA-5C9A5C9AAA3A}"/>
              </c:ext>
            </c:extLst>
          </c:dPt>
          <c:cat>
            <c:multiLvlStrRef>
              <c:f>'[1]čr_eu _podklady'!$C$2:$AH$3</c:f>
              <c:multiLvlStrCache>
                <c:ptCount val="18"/>
                <c:lvl>
                  <c:pt idx="0">
                    <c:v>#ODKAZ!</c:v>
                  </c:pt>
                  <c:pt idx="1">
                    <c:v>#ODKAZ!</c:v>
                  </c:pt>
                  <c:pt idx="2">
                    <c:v>#ODKAZ!</c:v>
                  </c:pt>
                  <c:pt idx="3">
                    <c:v>#ODKAZ!</c:v>
                  </c:pt>
                  <c:pt idx="4">
                    <c:v>#ODKAZ!</c:v>
                  </c:pt>
                  <c:pt idx="5">
                    <c:v>#ODKAZ!</c:v>
                  </c:pt>
                  <c:pt idx="6">
                    <c:v>#ODKAZ!</c:v>
                  </c:pt>
                  <c:pt idx="7">
                    <c:v>#ODKAZ!</c:v>
                  </c:pt>
                  <c:pt idx="8">
                    <c:v>#ODKAZ!</c:v>
                  </c:pt>
                  <c:pt idx="9">
                    <c:v>#ODKAZ!</c:v>
                  </c:pt>
                  <c:pt idx="10">
                    <c:v>#ODKAZ!</c:v>
                  </c:pt>
                  <c:pt idx="11">
                    <c:v>#ODKAZ!</c:v>
                  </c:pt>
                  <c:pt idx="12">
                    <c:v>#ODKAZ!</c:v>
                  </c:pt>
                  <c:pt idx="13">
                    <c:v>#ODKAZ!</c:v>
                  </c:pt>
                  <c:pt idx="14">
                    <c:v>#ODKAZ!</c:v>
                  </c:pt>
                  <c:pt idx="15">
                    <c:v>#ODKAZ!</c:v>
                  </c:pt>
                  <c:pt idx="16">
                    <c:v>#ODKAZ!</c:v>
                  </c:pt>
                  <c:pt idx="17">
                    <c:v>#ODKAZ!</c:v>
                  </c:pt>
                </c:lvl>
                <c:lvl>
                  <c:pt idx="0">
                    <c:v>#ODKAZ!</c:v>
                  </c:pt>
                  <c:pt idx="1">
                    <c:v>#ODKAZ!</c:v>
                  </c:pt>
                  <c:pt idx="2">
                    <c:v>#ODKAZ!</c:v>
                  </c:pt>
                  <c:pt idx="3">
                    <c:v>#ODKAZ!</c:v>
                  </c:pt>
                  <c:pt idx="4">
                    <c:v>#ODKAZ!</c:v>
                  </c:pt>
                  <c:pt idx="5">
                    <c:v>#ODKAZ!</c:v>
                  </c:pt>
                  <c:pt idx="6">
                    <c:v>#ODKAZ!</c:v>
                  </c:pt>
                  <c:pt idx="7">
                    <c:v>#ODKAZ!</c:v>
                  </c:pt>
                  <c:pt idx="8">
                    <c:v>#ODKAZ!</c:v>
                  </c:pt>
                  <c:pt idx="9">
                    <c:v>#ODKAZ!</c:v>
                  </c:pt>
                  <c:pt idx="10">
                    <c:v>#ODKAZ!</c:v>
                  </c:pt>
                  <c:pt idx="11">
                    <c:v>#ODKAZ!</c:v>
                  </c:pt>
                  <c:pt idx="12">
                    <c:v>#ODKAZ!</c:v>
                  </c:pt>
                  <c:pt idx="13">
                    <c:v>#ODKAZ!</c:v>
                  </c:pt>
                  <c:pt idx="14">
                    <c:v>#ODKAZ!</c:v>
                  </c:pt>
                  <c:pt idx="15">
                    <c:v>#ODKAZ!</c:v>
                  </c:pt>
                  <c:pt idx="16">
                    <c:v>#ODKAZ!</c:v>
                  </c:pt>
                  <c:pt idx="17">
                    <c:v>#ODKAZ!</c:v>
                  </c:pt>
                </c:lvl>
              </c:multiLvlStrCache>
            </c:multiLvlStrRef>
          </c:cat>
          <c:val>
            <c:numRef>
              <c:f>'grafy 1-6'!$C$14:$AL$14</c:f>
              <c:numCache>
                <c:formatCode>0.000</c:formatCode>
                <c:ptCount val="18"/>
                <c:pt idx="0">
                  <c:v>1.4937991539161672</c:v>
                </c:pt>
                <c:pt idx="1">
                  <c:v>1.4108568099430345</c:v>
                </c:pt>
                <c:pt idx="2">
                  <c:v>1.4562416107382548</c:v>
                </c:pt>
                <c:pt idx="3">
                  <c:v>1.4028957888870828</c:v>
                </c:pt>
                <c:pt idx="4">
                  <c:v>1.4240360710025455</c:v>
                </c:pt>
                <c:pt idx="5">
                  <c:v>1.4096290888021099</c:v>
                </c:pt>
                <c:pt idx="6">
                  <c:v>1.4447649527635658</c:v>
                </c:pt>
                <c:pt idx="7">
                  <c:v>1.4216541353383458</c:v>
                </c:pt>
                <c:pt idx="8">
                  <c:v>1.3858490566037736</c:v>
                </c:pt>
                <c:pt idx="9">
                  <c:v>1.3993145187080265</c:v>
                </c:pt>
                <c:pt idx="10">
                  <c:v>1.554155299055614</c:v>
                </c:pt>
                <c:pt idx="11">
                  <c:v>1.5173858921161825</c:v>
                </c:pt>
                <c:pt idx="12">
                  <c:v>1.4476987447698744</c:v>
                </c:pt>
                <c:pt idx="13">
                  <c:v>1.4395290232881472</c:v>
                </c:pt>
                <c:pt idx="14">
                  <c:v>1.5134164133738601</c:v>
                </c:pt>
                <c:pt idx="15">
                  <c:v>1.4039454442355328</c:v>
                </c:pt>
                <c:pt idx="16">
                  <c:v>1.6541216629331186</c:v>
                </c:pt>
                <c:pt idx="17">
                  <c:v>1.4608480346641906</c:v>
                </c:pt>
              </c:numCache>
            </c:numRef>
          </c:val>
          <c:smooth val="0"/>
          <c:extLst>
            <c:ext xmlns:c16="http://schemas.microsoft.com/office/drawing/2014/chart" uri="{C3380CC4-5D6E-409C-BE32-E72D297353CC}">
              <c16:uniqueId val="{00000019-8D13-F142-95AA-5C9A5C9AAA3A}"/>
            </c:ext>
          </c:extLst>
        </c:ser>
        <c:dLbls>
          <c:showLegendKey val="0"/>
          <c:showVal val="0"/>
          <c:showCatName val="0"/>
          <c:showSerName val="0"/>
          <c:showPercent val="0"/>
          <c:showBubbleSize val="0"/>
        </c:dLbls>
        <c:marker val="1"/>
        <c:smooth val="0"/>
        <c:axId val="274196736"/>
        <c:axId val="274198528"/>
      </c:lineChart>
      <c:catAx>
        <c:axId val="274196736"/>
        <c:scaling>
          <c:orientation val="minMax"/>
        </c:scaling>
        <c:delete val="0"/>
        <c:axPos val="b"/>
        <c:majorGridlines>
          <c:spPr>
            <a:ln w="3175">
              <a:solidFill>
                <a:srgbClr val="C0C0C0"/>
              </a:solidFill>
              <a:prstDash val="sysDash"/>
            </a:ln>
          </c:spPr>
        </c:majorGridlines>
        <c:numFmt formatCode="@" sourceLinked="0"/>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cs-CZ"/>
          </a:p>
        </c:txPr>
        <c:crossAx val="274198528"/>
        <c:crosses val="autoZero"/>
        <c:auto val="1"/>
        <c:lblAlgn val="ctr"/>
        <c:lblOffset val="100"/>
        <c:tickLblSkip val="3"/>
        <c:tickMarkSkip val="3"/>
        <c:noMultiLvlLbl val="0"/>
      </c:catAx>
      <c:valAx>
        <c:axId val="274198528"/>
        <c:scaling>
          <c:orientation val="minMax"/>
          <c:min val="0"/>
        </c:scaling>
        <c:delete val="0"/>
        <c:axPos val="l"/>
        <c:majorGridlines>
          <c:spPr>
            <a:ln w="3175">
              <a:solidFill>
                <a:srgbClr val="C0C0C0"/>
              </a:solidFill>
              <a:prstDash val="sysDash"/>
            </a:ln>
          </c:spPr>
        </c:majorGridlines>
        <c:title>
          <c:tx>
            <c:rich>
              <a:bodyPr/>
              <a:lstStyle/>
              <a:p>
                <a:pPr>
                  <a:defRPr sz="1000" b="1" i="0" u="none" strike="noStrike" baseline="0">
                    <a:solidFill>
                      <a:srgbClr val="000000"/>
                    </a:solidFill>
                    <a:latin typeface="Arial"/>
                    <a:ea typeface="Arial"/>
                    <a:cs typeface="Arial"/>
                  </a:defRPr>
                </a:pPr>
                <a:r>
                  <a:rPr lang="cs-CZ" sz="1000"/>
                  <a:t>EUR/kg JUT za tepla</a:t>
                </a:r>
              </a:p>
            </c:rich>
          </c:tx>
          <c:layout>
            <c:manualLayout>
              <c:xMode val="edge"/>
              <c:yMode val="edge"/>
              <c:x val="1.508733822065345E-3"/>
              <c:y val="0.19637499537909875"/>
            </c:manualLayout>
          </c:layout>
          <c:overlay val="0"/>
          <c:spPr>
            <a:noFill/>
            <a:ln w="25400">
              <a:noFill/>
            </a:ln>
          </c:spPr>
        </c:title>
        <c:numFmt formatCode="#,##0.0" sourceLinked="0"/>
        <c:majorTickMark val="out"/>
        <c:minorTickMark val="none"/>
        <c:tickLblPos val="nextTo"/>
        <c:spPr>
          <a:ln w="3175">
            <a:solidFill>
              <a:srgbClr val="000000"/>
            </a:solidFill>
            <a:prstDash val="solid"/>
          </a:ln>
        </c:spPr>
        <c:txPr>
          <a:bodyPr rot="0" vert="horz"/>
          <a:lstStyle/>
          <a:p>
            <a:pPr>
              <a:defRPr sz="1025" b="0" i="0" u="none" strike="noStrike" baseline="0">
                <a:solidFill>
                  <a:srgbClr val="000000"/>
                </a:solidFill>
                <a:latin typeface="Arial"/>
                <a:ea typeface="Arial"/>
                <a:cs typeface="Arial"/>
              </a:defRPr>
            </a:pPr>
            <a:endParaRPr lang="cs-CZ"/>
          </a:p>
        </c:txPr>
        <c:crossAx val="274196736"/>
        <c:crossesAt val="1"/>
        <c:crossBetween val="between"/>
        <c:majorUnit val="0.2"/>
      </c:valAx>
      <c:spPr>
        <a:noFill/>
        <a:ln w="25400">
          <a:noFill/>
        </a:ln>
      </c:spPr>
    </c:plotArea>
    <c:legend>
      <c:legendPos val="b"/>
      <c:layout>
        <c:manualLayout>
          <c:xMode val="edge"/>
          <c:yMode val="edge"/>
          <c:x val="0.10977335303959007"/>
          <c:y val="6.7379220350207445E-4"/>
          <c:w val="0.6767490869196906"/>
          <c:h val="0.2082464629298594"/>
        </c:manualLayout>
      </c:layout>
      <c:overlay val="0"/>
      <c:spPr>
        <a:solidFill>
          <a:schemeClr val="accent1">
            <a:lumMod val="20000"/>
            <a:lumOff val="80000"/>
          </a:schemeClr>
        </a:solidFill>
        <a:ln w="6350">
          <a:solidFill>
            <a:srgbClr val="000000"/>
          </a:solidFill>
        </a:ln>
      </c:spPr>
      <c:txPr>
        <a:bodyPr/>
        <a:lstStyle/>
        <a:p>
          <a:pPr>
            <a:defRPr sz="800" b="0" i="0" u="none" strike="noStrike" baseline="0">
              <a:solidFill>
                <a:srgbClr val="000000"/>
              </a:solidFill>
              <a:latin typeface="Arial"/>
              <a:ea typeface="Arial"/>
              <a:cs typeface="Arial"/>
            </a:defRPr>
          </a:pPr>
          <a:endParaRPr lang="cs-CZ"/>
        </a:p>
      </c:txPr>
    </c:legend>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cs-CZ"/>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167953312524353"/>
          <c:y val="4.4074311406310053E-2"/>
          <c:w val="0.89065180066194838"/>
          <c:h val="0.82739124035888145"/>
        </c:manualLayout>
      </c:layout>
      <c:barChart>
        <c:barDir val="col"/>
        <c:grouping val="clustered"/>
        <c:varyColors val="0"/>
        <c:ser>
          <c:idx val="12"/>
          <c:order val="0"/>
          <c:tx>
            <c:strRef>
              <c:f>'grafy 1-6'!$B$15</c:f>
              <c:strCache>
                <c:ptCount val="1"/>
                <c:pt idx="0">
                  <c:v>Zisk/ztráta </c:v>
                </c:pt>
              </c:strCache>
            </c:strRef>
          </c:tx>
          <c:invertIfNegative val="0"/>
          <c:dPt>
            <c:idx val="3"/>
            <c:invertIfNegative val="0"/>
            <c:bubble3D val="0"/>
            <c:spPr>
              <a:solidFill>
                <a:srgbClr val="92D050"/>
              </a:solidFill>
            </c:spPr>
            <c:extLst>
              <c:ext xmlns:c16="http://schemas.microsoft.com/office/drawing/2014/chart" uri="{C3380CC4-5D6E-409C-BE32-E72D297353CC}">
                <c16:uniqueId val="{00000001-EC06-1045-B65E-2CB6C59C44BA}"/>
              </c:ext>
            </c:extLst>
          </c:dPt>
          <c:dPt>
            <c:idx val="10"/>
            <c:invertIfNegative val="0"/>
            <c:bubble3D val="0"/>
            <c:spPr>
              <a:solidFill>
                <a:schemeClr val="accent1">
                  <a:lumMod val="40000"/>
                  <a:lumOff val="60000"/>
                </a:schemeClr>
              </a:solidFill>
            </c:spPr>
            <c:extLst>
              <c:ext xmlns:c16="http://schemas.microsoft.com/office/drawing/2014/chart" uri="{C3380CC4-5D6E-409C-BE32-E72D297353CC}">
                <c16:uniqueId val="{00000003-EC06-1045-B65E-2CB6C59C44BA}"/>
              </c:ext>
            </c:extLst>
          </c:dPt>
          <c:dPt>
            <c:idx val="14"/>
            <c:invertIfNegative val="0"/>
            <c:bubble3D val="0"/>
            <c:spPr>
              <a:solidFill>
                <a:schemeClr val="accent1">
                  <a:lumMod val="40000"/>
                  <a:lumOff val="60000"/>
                </a:schemeClr>
              </a:solidFill>
            </c:spPr>
            <c:extLst>
              <c:ext xmlns:c16="http://schemas.microsoft.com/office/drawing/2014/chart" uri="{C3380CC4-5D6E-409C-BE32-E72D297353CC}">
                <c16:uniqueId val="{00000005-EC06-1045-B65E-2CB6C59C44BA}"/>
              </c:ext>
            </c:extLst>
          </c:dPt>
          <c:dPt>
            <c:idx val="15"/>
            <c:invertIfNegative val="0"/>
            <c:bubble3D val="0"/>
            <c:spPr>
              <a:solidFill>
                <a:srgbClr val="92D050"/>
              </a:solidFill>
            </c:spPr>
            <c:extLst>
              <c:ext xmlns:c16="http://schemas.microsoft.com/office/drawing/2014/chart" uri="{C3380CC4-5D6E-409C-BE32-E72D297353CC}">
                <c16:uniqueId val="{00000007-EC06-1045-B65E-2CB6C59C44BA}"/>
              </c:ext>
            </c:extLst>
          </c:dPt>
          <c:dPt>
            <c:idx val="16"/>
            <c:invertIfNegative val="0"/>
            <c:bubble3D val="0"/>
            <c:spPr>
              <a:solidFill>
                <a:schemeClr val="accent1">
                  <a:lumMod val="40000"/>
                  <a:lumOff val="60000"/>
                </a:schemeClr>
              </a:solidFill>
              <a:ln>
                <a:noFill/>
              </a:ln>
            </c:spPr>
            <c:extLst>
              <c:ext xmlns:c16="http://schemas.microsoft.com/office/drawing/2014/chart" uri="{C3380CC4-5D6E-409C-BE32-E72D297353CC}">
                <c16:uniqueId val="{00000009-EC06-1045-B65E-2CB6C59C44BA}"/>
              </c:ext>
            </c:extLst>
          </c:dPt>
          <c:dPt>
            <c:idx val="17"/>
            <c:invertIfNegative val="0"/>
            <c:bubble3D val="0"/>
            <c:spPr>
              <a:solidFill>
                <a:srgbClr val="92D050"/>
              </a:solidFill>
            </c:spPr>
            <c:extLst>
              <c:ext xmlns:c16="http://schemas.microsoft.com/office/drawing/2014/chart" uri="{C3380CC4-5D6E-409C-BE32-E72D297353CC}">
                <c16:uniqueId val="{0000000B-EC06-1045-B65E-2CB6C59C44BA}"/>
              </c:ext>
            </c:extLst>
          </c:dPt>
          <c:dLbls>
            <c:dLbl>
              <c:idx val="16"/>
              <c:layout>
                <c:manualLayout>
                  <c:x val="1.4123921327958389E-3"/>
                  <c:y val="0.1242414886637835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C06-1045-B65E-2CB6C59C44BA}"/>
                </c:ext>
              </c:extLst>
            </c:dLbl>
            <c:spPr>
              <a:solidFill>
                <a:srgbClr val="FFFFFF"/>
              </a:solidFill>
              <a:ln>
                <a:solidFill>
                  <a:srgbClr val="000000"/>
                </a:solidFill>
              </a:ln>
              <a:effectLst/>
            </c:spPr>
            <c:txPr>
              <a:bodyPr rot="-5400000" vert="horz" wrap="square" lIns="38100" tIns="19050" rIns="38100" bIns="19050" anchor="ctr">
                <a:spAutoFit/>
              </a:bodyPr>
              <a:lstStyle/>
              <a:p>
                <a:pPr>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'grafy 1-6'!$C$2:$AL$3</c:f>
              <c:multiLvlStrCache>
                <c:ptCount val="18"/>
                <c:lvl>
                  <c:pt idx="0">
                    <c:v>2010</c:v>
                  </c:pt>
                  <c:pt idx="1">
                    <c:v>2016</c:v>
                  </c:pt>
                  <c:pt idx="2">
                    <c:v>2010</c:v>
                  </c:pt>
                  <c:pt idx="3">
                    <c:v>2016</c:v>
                  </c:pt>
                  <c:pt idx="4">
                    <c:v>2010</c:v>
                  </c:pt>
                  <c:pt idx="5">
                    <c:v>2016</c:v>
                  </c:pt>
                  <c:pt idx="6">
                    <c:v>2010</c:v>
                  </c:pt>
                  <c:pt idx="7">
                    <c:v>2016</c:v>
                  </c:pt>
                  <c:pt idx="8">
                    <c:v>2010</c:v>
                  </c:pt>
                  <c:pt idx="9">
                    <c:v>2016</c:v>
                  </c:pt>
                  <c:pt idx="10">
                    <c:v>2010</c:v>
                  </c:pt>
                  <c:pt idx="11">
                    <c:v>2016</c:v>
                  </c:pt>
                  <c:pt idx="12">
                    <c:v>2010</c:v>
                  </c:pt>
                  <c:pt idx="13">
                    <c:v>2016</c:v>
                  </c:pt>
                  <c:pt idx="14">
                    <c:v>2010</c:v>
                  </c:pt>
                  <c:pt idx="15">
                    <c:v>2016</c:v>
                  </c:pt>
                  <c:pt idx="16">
                    <c:v>2010</c:v>
                  </c:pt>
                  <c:pt idx="17">
                    <c:v>2016</c:v>
                  </c:pt>
                </c:lvl>
                <c:lvl>
                  <c:pt idx="0">
                    <c:v>Česká republika</c:v>
                  </c:pt>
                  <c:pt idx="2">
                    <c:v>Dánsko</c:v>
                  </c:pt>
                  <c:pt idx="4">
                    <c:v>Francie</c:v>
                  </c:pt>
                  <c:pt idx="6">
                    <c:v>Belgie</c:v>
                  </c:pt>
                  <c:pt idx="8">
                    <c:v>Nizozemsko</c:v>
                  </c:pt>
                  <c:pt idx="10">
                    <c:v>Rakousko</c:v>
                  </c:pt>
                  <c:pt idx="12">
                    <c:v>Německo</c:v>
                  </c:pt>
                  <c:pt idx="14">
                    <c:v>Španělsko</c:v>
                  </c:pt>
                  <c:pt idx="16">
                    <c:v>Maďarsko</c:v>
                  </c:pt>
                </c:lvl>
              </c:multiLvlStrCache>
              <c:extLst/>
            </c:multiLvlStrRef>
          </c:cat>
          <c:val>
            <c:numRef>
              <c:f>'grafy 1-6'!$C$15:$AL$15</c:f>
              <c:numCache>
                <c:formatCode>0.00_ ;[Red]\-0.00\ </c:formatCode>
                <c:ptCount val="18"/>
                <c:pt idx="0">
                  <c:v>-0.26328449549480087</c:v>
                </c:pt>
                <c:pt idx="1">
                  <c:v>-0.15219642993692264</c:v>
                </c:pt>
                <c:pt idx="2">
                  <c:v>-0.12554620110281128</c:v>
                </c:pt>
                <c:pt idx="3">
                  <c:v>1.2321722611966819E-2</c:v>
                </c:pt>
                <c:pt idx="4">
                  <c:v>0</c:v>
                </c:pt>
                <c:pt idx="5">
                  <c:v>-9.2527224565036141E-3</c:v>
                </c:pt>
                <c:pt idx="6">
                  <c:v>-0.17115613600957327</c:v>
                </c:pt>
                <c:pt idx="7">
                  <c:v>-2.5141996590822335E-2</c:v>
                </c:pt>
                <c:pt idx="8">
                  <c:v>-0.20270852509274467</c:v>
                </c:pt>
                <c:pt idx="9">
                  <c:v>-0.15553734885835618</c:v>
                </c:pt>
                <c:pt idx="10">
                  <c:v>-0.10358922947146731</c:v>
                </c:pt>
                <c:pt idx="11">
                  <c:v>-4.2021017635896912E-2</c:v>
                </c:pt>
                <c:pt idx="12">
                  <c:v>-0.29843203158318876</c:v>
                </c:pt>
                <c:pt idx="13">
                  <c:v>-5.8231373049908747E-2</c:v>
                </c:pt>
                <c:pt idx="14">
                  <c:v>-6.9837085739666446E-2</c:v>
                </c:pt>
                <c:pt idx="15">
                  <c:v>4.9665815557766967E-2</c:v>
                </c:pt>
                <c:pt idx="16">
                  <c:v>-0.52021960763813091</c:v>
                </c:pt>
                <c:pt idx="17">
                  <c:v>2.7786694282259682E-3</c:v>
                </c:pt>
              </c:numCache>
              <c:extLst/>
            </c:numRef>
          </c:val>
          <c:extLst>
            <c:ext xmlns:c16="http://schemas.microsoft.com/office/drawing/2014/chart" uri="{C3380CC4-5D6E-409C-BE32-E72D297353CC}">
              <c16:uniqueId val="{0000000C-EC06-1045-B65E-2CB6C59C44BA}"/>
            </c:ext>
          </c:extLst>
        </c:ser>
        <c:dLbls>
          <c:showLegendKey val="0"/>
          <c:showVal val="0"/>
          <c:showCatName val="0"/>
          <c:showSerName val="0"/>
          <c:showPercent val="0"/>
          <c:showBubbleSize val="0"/>
        </c:dLbls>
        <c:gapWidth val="61"/>
        <c:axId val="274090240"/>
        <c:axId val="274092032"/>
      </c:barChart>
      <c:catAx>
        <c:axId val="274090240"/>
        <c:scaling>
          <c:orientation val="minMax"/>
        </c:scaling>
        <c:delete val="0"/>
        <c:axPos val="b"/>
        <c:majorGridlines>
          <c:spPr>
            <a:ln w="3175">
              <a:solidFill>
                <a:srgbClr val="C0C0C0"/>
              </a:solidFill>
              <a:prstDash val="sysDash"/>
            </a:ln>
          </c:spPr>
        </c:majorGridlines>
        <c:numFmt formatCode="General" sourceLinked="1"/>
        <c:majorTickMark val="out"/>
        <c:minorTickMark val="none"/>
        <c:tickLblPos val="low"/>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cs-CZ"/>
          </a:p>
        </c:txPr>
        <c:crossAx val="274092032"/>
        <c:crosses val="autoZero"/>
        <c:auto val="1"/>
        <c:lblAlgn val="ctr"/>
        <c:lblOffset val="100"/>
        <c:tickLblSkip val="2"/>
        <c:tickMarkSkip val="2"/>
        <c:noMultiLvlLbl val="0"/>
      </c:catAx>
      <c:valAx>
        <c:axId val="274092032"/>
        <c:scaling>
          <c:orientation val="minMax"/>
          <c:max val="0.15000000000000002"/>
          <c:min val="-0.55000000000000004"/>
        </c:scaling>
        <c:delete val="0"/>
        <c:axPos val="l"/>
        <c:majorGridlines>
          <c:spPr>
            <a:ln w="3175">
              <a:solidFill>
                <a:srgbClr val="C0C0C0"/>
              </a:solidFill>
              <a:prstDash val="sysDash"/>
            </a:ln>
          </c:spPr>
        </c:majorGridlines>
        <c:title>
          <c:tx>
            <c:rich>
              <a:bodyPr/>
              <a:lstStyle/>
              <a:p>
                <a:pPr>
                  <a:defRPr sz="1000" b="0" i="0" u="none" strike="noStrike" baseline="0">
                    <a:solidFill>
                      <a:srgbClr val="000000"/>
                    </a:solidFill>
                    <a:latin typeface="Arial"/>
                    <a:ea typeface="Arial"/>
                    <a:cs typeface="Arial"/>
                  </a:defRPr>
                </a:pPr>
                <a:r>
                  <a:rPr lang="cs-CZ" sz="1000" b="0"/>
                  <a:t>EUR/kg JUT za tepla</a:t>
                </a:r>
              </a:p>
            </c:rich>
          </c:tx>
          <c:layout>
            <c:manualLayout>
              <c:xMode val="edge"/>
              <c:yMode val="edge"/>
              <c:x val="3.0607120182695132E-3"/>
              <c:y val="5.3561898669312186E-2"/>
            </c:manualLayout>
          </c:layout>
          <c:overlay val="0"/>
          <c:spPr>
            <a:noFill/>
            <a:ln w="25400">
              <a:noFill/>
            </a:ln>
          </c:spPr>
        </c:title>
        <c:numFmt formatCode="#,##0.00" sourceLinked="0"/>
        <c:majorTickMark val="out"/>
        <c:minorTickMark val="none"/>
        <c:tickLblPos val="low"/>
        <c:spPr>
          <a:ln w="3175">
            <a:solidFill>
              <a:srgbClr val="000000"/>
            </a:solidFill>
            <a:prstDash val="solid"/>
          </a:ln>
        </c:spPr>
        <c:txPr>
          <a:bodyPr rot="0" vert="horz"/>
          <a:lstStyle/>
          <a:p>
            <a:pPr>
              <a:defRPr sz="1000" b="1" i="0" u="none" strike="noStrike" baseline="0">
                <a:solidFill>
                  <a:srgbClr val="000000"/>
                </a:solidFill>
                <a:latin typeface="Arial"/>
                <a:ea typeface="Arial"/>
                <a:cs typeface="Arial"/>
              </a:defRPr>
            </a:pPr>
            <a:endParaRPr lang="cs-CZ"/>
          </a:p>
        </c:txPr>
        <c:crossAx val="274090240"/>
        <c:crossesAt val="1"/>
        <c:crossBetween val="between"/>
        <c:majorUnit val="5.000000000000001E-2"/>
      </c:valAx>
      <c:spPr>
        <a:noFill/>
        <a:ln w="25400">
          <a:noFill/>
        </a:ln>
      </c:spPr>
    </c:plotArea>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cs-CZ"/>
    </a:p>
  </c:tx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cs-CZ" sz="1200" b="1" i="0" u="none" strike="noStrike" baseline="0">
                <a:effectLst/>
              </a:rPr>
              <a:t>Struktura podpor u odchovu a výkrmu prasat (Kč/obrat prasnice)</a:t>
            </a:r>
            <a:endParaRPr lang="cs-CZ" sz="1200"/>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manualLayout>
          <c:layoutTarget val="inner"/>
          <c:xMode val="edge"/>
          <c:yMode val="edge"/>
          <c:x val="8.0732716654337566E-2"/>
          <c:y val="8.993147694289147E-2"/>
          <c:w val="0.8968890954951122"/>
          <c:h val="0.61953312832355723"/>
        </c:manualLayout>
      </c:layout>
      <c:barChart>
        <c:barDir val="col"/>
        <c:grouping val="stacked"/>
        <c:varyColors val="0"/>
        <c:ser>
          <c:idx val="0"/>
          <c:order val="0"/>
          <c:tx>
            <c:strRef>
              <c:f>'grafD-prasata'!$A$3</c:f>
              <c:strCache>
                <c:ptCount val="1"/>
                <c:pt idx="0">
                  <c:v>Dotační titul 8. - Ozdravení chovu prasat</c:v>
                </c:pt>
              </c:strCache>
            </c:strRef>
          </c:tx>
          <c:spPr>
            <a:solidFill>
              <a:schemeClr val="accent2">
                <a:lumMod val="60000"/>
                <a:lumOff val="40000"/>
              </a:schemeClr>
            </a:solidFill>
            <a:ln>
              <a:noFill/>
            </a:ln>
            <a:effectLst/>
          </c:spPr>
          <c:invertIfNegative val="0"/>
          <c:cat>
            <c:strRef>
              <c:f>'grafD-prasata'!$B$2:$M$2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'grafD-prasata'!$B$3:$M$3</c:f>
              <c:numCache>
                <c:formatCode>#,##0</c:formatCode>
                <c:ptCount val="10"/>
                <c:pt idx="0">
                  <c:v>2252.9123890368983</c:v>
                </c:pt>
                <c:pt idx="1">
                  <c:v>3064.6802588626165</c:v>
                </c:pt>
                <c:pt idx="2">
                  <c:v>3247.9641466574762</c:v>
                </c:pt>
                <c:pt idx="3">
                  <c:v>5547.2173136782758</c:v>
                </c:pt>
                <c:pt idx="4">
                  <c:v>7751.1842648724732</c:v>
                </c:pt>
                <c:pt idx="5">
                  <c:v>8092.1953185078401</c:v>
                </c:pt>
                <c:pt idx="6">
                  <c:v>7820.404738438473</c:v>
                </c:pt>
                <c:pt idx="7">
                  <c:v>9816.4009879369714</c:v>
                </c:pt>
                <c:pt idx="8">
                  <c:v>9911.5633642860885</c:v>
                </c:pt>
                <c:pt idx="9">
                  <c:v>5304.6030432782445</c:v>
                </c:pt>
              </c:numCache>
              <c:extLst/>
            </c:numRef>
          </c:val>
          <c:extLst>
            <c:ext xmlns:c16="http://schemas.microsoft.com/office/drawing/2014/chart" uri="{C3380CC4-5D6E-409C-BE32-E72D297353CC}">
              <c16:uniqueId val="{00000000-899D-2040-8D9B-00ABD8D47F07}"/>
            </c:ext>
          </c:extLst>
        </c:ser>
        <c:ser>
          <c:idx val="1"/>
          <c:order val="1"/>
          <c:tx>
            <c:strRef>
              <c:f>'grafD-prasata'!$A$4</c:f>
              <c:strCache>
                <c:ptCount val="1"/>
                <c:pt idx="0">
                  <c:v>Dotační titul 2. - Genetické zdroje + KU</c:v>
                </c:pt>
              </c:strCache>
            </c:strRef>
          </c:tx>
          <c:spPr>
            <a:solidFill>
              <a:srgbClr val="00B0F0"/>
            </a:solidFill>
            <a:ln>
              <a:noFill/>
            </a:ln>
            <a:effectLst/>
          </c:spPr>
          <c:invertIfNegative val="0"/>
          <c:cat>
            <c:strRef>
              <c:f>'grafD-prasata'!$B$2:$M$2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'grafD-prasata'!$B$4:$M$4</c:f>
              <c:numCache>
                <c:formatCode>#,##0</c:formatCode>
                <c:ptCount val="10"/>
                <c:pt idx="0">
                  <c:v>0</c:v>
                </c:pt>
                <c:pt idx="1">
                  <c:v>0</c:v>
                </c:pt>
                <c:pt idx="2">
                  <c:v>0</c:v>
                </c:pt>
                <c:pt idx="3">
                  <c:v>303.52030063907654</c:v>
                </c:pt>
                <c:pt idx="4">
                  <c:v>330.06962729052924</c:v>
                </c:pt>
                <c:pt idx="5">
                  <c:v>310.94424926171462</c:v>
                </c:pt>
                <c:pt idx="6">
                  <c:v>0</c:v>
                </c:pt>
                <c:pt idx="7">
                  <c:v>0</c:v>
                </c:pt>
                <c:pt idx="8">
                  <c:v>0</c:v>
                </c:pt>
                <c:pt idx="9">
                  <c:v>0</c:v>
                </c:pt>
              </c:numCache>
              <c:extLst/>
            </c:numRef>
          </c:val>
          <c:extLst>
            <c:ext xmlns:c16="http://schemas.microsoft.com/office/drawing/2014/chart" uri="{C3380CC4-5D6E-409C-BE32-E72D297353CC}">
              <c16:uniqueId val="{00000001-899D-2040-8D9B-00ABD8D47F07}"/>
            </c:ext>
          </c:extLst>
        </c:ser>
        <c:ser>
          <c:idx val="2"/>
          <c:order val="2"/>
          <c:tx>
            <c:strRef>
              <c:f>'grafD-prasata'!$A$5</c:f>
              <c:strCache>
                <c:ptCount val="1"/>
                <c:pt idx="0">
                  <c:v>DŽPZ - PRV 2014-2020</c:v>
                </c:pt>
              </c:strCache>
            </c:strRef>
          </c:tx>
          <c:spPr>
            <a:solidFill>
              <a:srgbClr val="FF0000"/>
            </a:solidFill>
            <a:ln>
              <a:noFill/>
            </a:ln>
            <a:effectLst/>
          </c:spPr>
          <c:invertIfNegative val="0"/>
          <c:cat>
            <c:strRef>
              <c:f>'grafD-prasata'!$B$2:$M$2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'grafD-prasata'!$B$5:$M$5</c:f>
              <c:numCache>
                <c:formatCode>#,##0</c:formatCode>
                <c:ptCount val="10"/>
                <c:pt idx="0">
                  <c:v>0</c:v>
                </c:pt>
                <c:pt idx="1">
                  <c:v>0</c:v>
                </c:pt>
                <c:pt idx="2">
                  <c:v>0</c:v>
                </c:pt>
                <c:pt idx="3">
                  <c:v>0</c:v>
                </c:pt>
                <c:pt idx="4">
                  <c:v>0</c:v>
                </c:pt>
                <c:pt idx="5">
                  <c:v>548.52657549425101</c:v>
                </c:pt>
                <c:pt idx="6">
                  <c:v>1606.065901632978</c:v>
                </c:pt>
                <c:pt idx="7">
                  <c:v>1277.4336989680257</c:v>
                </c:pt>
                <c:pt idx="8">
                  <c:v>1244.070686715238</c:v>
                </c:pt>
                <c:pt idx="9">
                  <c:v>1322.1746248027212</c:v>
                </c:pt>
              </c:numCache>
              <c:extLst/>
            </c:numRef>
          </c:val>
          <c:extLst>
            <c:ext xmlns:c16="http://schemas.microsoft.com/office/drawing/2014/chart" uri="{C3380CC4-5D6E-409C-BE32-E72D297353CC}">
              <c16:uniqueId val="{00000002-899D-2040-8D9B-00ABD8D47F07}"/>
            </c:ext>
          </c:extLst>
        </c:ser>
        <c:ser>
          <c:idx val="3"/>
          <c:order val="3"/>
          <c:tx>
            <c:strRef>
              <c:f>'grafD-prasata'!$A$6</c:f>
              <c:strCache>
                <c:ptCount val="1"/>
                <c:pt idx="0">
                  <c:v>20.C Zlepšení životních podmínek v chovu prasat</c:v>
                </c:pt>
              </c:strCache>
            </c:strRef>
          </c:tx>
          <c:spPr>
            <a:solidFill>
              <a:schemeClr val="accent4"/>
            </a:solidFill>
            <a:ln>
              <a:noFill/>
            </a:ln>
            <a:effectLst/>
          </c:spPr>
          <c:invertIfNegative val="0"/>
          <c:cat>
            <c:strRef>
              <c:f>'grafD-prasata'!$B$2:$M$2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'grafD-prasata'!$B$6:$M$6</c:f>
              <c:numCache>
                <c:formatCode>#,##0</c:formatCode>
                <c:ptCount val="10"/>
                <c:pt idx="0">
                  <c:v>0</c:v>
                </c:pt>
                <c:pt idx="1">
                  <c:v>0</c:v>
                </c:pt>
                <c:pt idx="2">
                  <c:v>0</c:v>
                </c:pt>
                <c:pt idx="3">
                  <c:v>0</c:v>
                </c:pt>
                <c:pt idx="4">
                  <c:v>0</c:v>
                </c:pt>
                <c:pt idx="5">
                  <c:v>0</c:v>
                </c:pt>
                <c:pt idx="6">
                  <c:v>0</c:v>
                </c:pt>
                <c:pt idx="7">
                  <c:v>2381.0555712500932</c:v>
                </c:pt>
                <c:pt idx="8">
                  <c:v>3404.8222659277631</c:v>
                </c:pt>
                <c:pt idx="9">
                  <c:v>3419.9805048376188</c:v>
                </c:pt>
              </c:numCache>
              <c:extLst/>
            </c:numRef>
          </c:val>
          <c:extLst>
            <c:ext xmlns:c16="http://schemas.microsoft.com/office/drawing/2014/chart" uri="{C3380CC4-5D6E-409C-BE32-E72D297353CC}">
              <c16:uniqueId val="{00000003-899D-2040-8D9B-00ABD8D47F07}"/>
            </c:ext>
          </c:extLst>
        </c:ser>
        <c:ser>
          <c:idx val="4"/>
          <c:order val="4"/>
          <c:tx>
            <c:strRef>
              <c:f>'grafD-prasata'!$A$7</c:f>
              <c:strCache>
                <c:ptCount val="1"/>
                <c:pt idx="0">
                  <c:v>Zelená nafta (2016 při sazbě 9,5 Kč/litr nafty)</c:v>
                </c:pt>
              </c:strCache>
            </c:strRef>
          </c:tx>
          <c:spPr>
            <a:solidFill>
              <a:srgbClr val="FFFF00"/>
            </a:solidFill>
            <a:ln>
              <a:noFill/>
            </a:ln>
            <a:effectLst/>
          </c:spPr>
          <c:invertIfNegative val="0"/>
          <c:cat>
            <c:strRef>
              <c:f>'grafD-prasata'!$B$2:$M$2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'grafD-prasata'!$B$7:$M$7</c:f>
              <c:numCache>
                <c:formatCode>#,##0</c:formatCode>
                <c:ptCount val="10"/>
                <c:pt idx="0">
                  <c:v>0</c:v>
                </c:pt>
                <c:pt idx="1">
                  <c:v>0</c:v>
                </c:pt>
                <c:pt idx="2">
                  <c:v>0</c:v>
                </c:pt>
                <c:pt idx="3">
                  <c:v>0</c:v>
                </c:pt>
                <c:pt idx="4">
                  <c:v>0</c:v>
                </c:pt>
                <c:pt idx="5" formatCode="#,##0.00">
                  <c:v>299.49513093888987</c:v>
                </c:pt>
                <c:pt idx="6" formatCode="#,##0.00">
                  <c:v>268.00936553927011</c:v>
                </c:pt>
                <c:pt idx="7" formatCode="#,##0.00">
                  <c:v>550.45130287013058</c:v>
                </c:pt>
                <c:pt idx="8" formatCode="#,##0.00">
                  <c:v>623.34135445473964</c:v>
                </c:pt>
                <c:pt idx="9" formatCode="#,##0.00">
                  <c:v>659.07391928500635</c:v>
                </c:pt>
              </c:numCache>
              <c:extLst/>
            </c:numRef>
          </c:val>
          <c:extLst>
            <c:ext xmlns:c16="http://schemas.microsoft.com/office/drawing/2014/chart" uri="{C3380CC4-5D6E-409C-BE32-E72D297353CC}">
              <c16:uniqueId val="{00000004-899D-2040-8D9B-00ABD8D47F07}"/>
            </c:ext>
          </c:extLst>
        </c:ser>
        <c:ser>
          <c:idx val="5"/>
          <c:order val="5"/>
          <c:tx>
            <c:strRef>
              <c:f>'grafD-prasata'!$A$8</c:f>
              <c:strCache>
                <c:ptCount val="1"/>
                <c:pt idx="0">
                  <c:v>  Podpora pojištění ŽV</c:v>
                </c:pt>
              </c:strCache>
            </c:strRef>
          </c:tx>
          <c:spPr>
            <a:solidFill>
              <a:schemeClr val="accent6"/>
            </a:solidFill>
            <a:ln>
              <a:noFill/>
            </a:ln>
            <a:effectLst/>
          </c:spPr>
          <c:invertIfNegative val="0"/>
          <c:cat>
            <c:strRef>
              <c:f>'grafD-prasata'!$B$2:$M$2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'grafD-prasata'!$B$8:$M$8</c:f>
              <c:numCache>
                <c:formatCode>#\ ##0.0</c:formatCode>
                <c:ptCount val="10"/>
                <c:pt idx="0">
                  <c:v>166.73390997507246</c:v>
                </c:pt>
                <c:pt idx="1">
                  <c:v>140.50156416436693</c:v>
                </c:pt>
                <c:pt idx="2">
                  <c:v>188.0849822585725</c:v>
                </c:pt>
                <c:pt idx="3">
                  <c:v>202.66354849929766</c:v>
                </c:pt>
                <c:pt idx="4">
                  <c:v>232.07680567099766</c:v>
                </c:pt>
                <c:pt idx="5">
                  <c:v>237.76123377565224</c:v>
                </c:pt>
                <c:pt idx="6">
                  <c:v>240.45312070336414</c:v>
                </c:pt>
                <c:pt idx="7">
                  <c:v>247.56370419398999</c:v>
                </c:pt>
                <c:pt idx="8">
                  <c:v>243.6827301608995</c:v>
                </c:pt>
                <c:pt idx="9">
                  <c:v>245.73170138885524</c:v>
                </c:pt>
              </c:numCache>
              <c:extLst/>
            </c:numRef>
          </c:val>
          <c:extLst>
            <c:ext xmlns:c16="http://schemas.microsoft.com/office/drawing/2014/chart" uri="{C3380CC4-5D6E-409C-BE32-E72D297353CC}">
              <c16:uniqueId val="{00000005-899D-2040-8D9B-00ABD8D47F07}"/>
            </c:ext>
          </c:extLst>
        </c:ser>
        <c:ser>
          <c:idx val="6"/>
          <c:order val="6"/>
          <c:tx>
            <c:strRef>
              <c:f>'grafD-prasata'!$A$9</c:f>
              <c:strCache>
                <c:ptCount val="1"/>
                <c:pt idx="0">
                  <c:v>Podpora - balíček I</c:v>
                </c:pt>
              </c:strCache>
            </c:strRef>
          </c:tx>
          <c:spPr>
            <a:solidFill>
              <a:schemeClr val="accent1">
                <a:lumMod val="60000"/>
              </a:schemeClr>
            </a:solidFill>
            <a:ln>
              <a:noFill/>
            </a:ln>
            <a:effectLst/>
          </c:spPr>
          <c:invertIfNegative val="0"/>
          <c:cat>
            <c:strRef>
              <c:f>'grafD-prasata'!$B$2:$M$2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'grafD-prasata'!$B$9:$M$9</c:f>
              <c:numCache>
                <c:formatCode>#,##0</c:formatCode>
                <c:ptCount val="10"/>
                <c:pt idx="0">
                  <c:v>0</c:v>
                </c:pt>
                <c:pt idx="1">
                  <c:v>0</c:v>
                </c:pt>
                <c:pt idx="2">
                  <c:v>0</c:v>
                </c:pt>
                <c:pt idx="3">
                  <c:v>0</c:v>
                </c:pt>
                <c:pt idx="4">
                  <c:v>0</c:v>
                </c:pt>
                <c:pt idx="5">
                  <c:v>1621.8</c:v>
                </c:pt>
                <c:pt idx="6">
                  <c:v>0</c:v>
                </c:pt>
                <c:pt idx="7">
                  <c:v>0</c:v>
                </c:pt>
                <c:pt idx="8">
                  <c:v>0</c:v>
                </c:pt>
                <c:pt idx="9">
                  <c:v>0</c:v>
                </c:pt>
              </c:numCache>
              <c:extLst/>
            </c:numRef>
          </c:val>
          <c:extLst>
            <c:ext xmlns:c16="http://schemas.microsoft.com/office/drawing/2014/chart" uri="{C3380CC4-5D6E-409C-BE32-E72D297353CC}">
              <c16:uniqueId val="{00000006-899D-2040-8D9B-00ABD8D47F07}"/>
            </c:ext>
          </c:extLst>
        </c:ser>
        <c:ser>
          <c:idx val="7"/>
          <c:order val="7"/>
          <c:tx>
            <c:strRef>
              <c:f>'grafD-prasata'!$A$10</c:f>
              <c:strCache>
                <c:ptCount val="1"/>
                <c:pt idx="0">
                  <c:v>Podpora - balíček II (60d:40p)</c:v>
                </c:pt>
              </c:strCache>
            </c:strRef>
          </c:tx>
          <c:spPr>
            <a:solidFill>
              <a:schemeClr val="accent2">
                <a:lumMod val="60000"/>
              </a:schemeClr>
            </a:solidFill>
            <a:ln>
              <a:noFill/>
            </a:ln>
            <a:effectLst/>
          </c:spPr>
          <c:invertIfNegative val="0"/>
          <c:cat>
            <c:strRef>
              <c:f>'grafD-prasata'!$B$2:$M$2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'grafD-prasata'!$B$10:$M$10</c:f>
              <c:numCache>
                <c:formatCode>#,##0</c:formatCode>
                <c:ptCount val="10"/>
                <c:pt idx="0">
                  <c:v>0</c:v>
                </c:pt>
                <c:pt idx="1">
                  <c:v>0</c:v>
                </c:pt>
                <c:pt idx="2">
                  <c:v>0</c:v>
                </c:pt>
                <c:pt idx="3">
                  <c:v>0</c:v>
                </c:pt>
                <c:pt idx="4">
                  <c:v>0</c:v>
                </c:pt>
                <c:pt idx="5">
                  <c:v>2413.13</c:v>
                </c:pt>
                <c:pt idx="6">
                  <c:v>0</c:v>
                </c:pt>
                <c:pt idx="7">
                  <c:v>0</c:v>
                </c:pt>
                <c:pt idx="8">
                  <c:v>0</c:v>
                </c:pt>
                <c:pt idx="9">
                  <c:v>0</c:v>
                </c:pt>
              </c:numCache>
              <c:extLst/>
            </c:numRef>
          </c:val>
          <c:extLst>
            <c:ext xmlns:c16="http://schemas.microsoft.com/office/drawing/2014/chart" uri="{C3380CC4-5D6E-409C-BE32-E72D297353CC}">
              <c16:uniqueId val="{00000007-899D-2040-8D9B-00ABD8D47F07}"/>
            </c:ext>
          </c:extLst>
        </c:ser>
        <c:ser>
          <c:idx val="8"/>
          <c:order val="8"/>
          <c:tx>
            <c:strRef>
              <c:f>'grafD-prasata'!$A$11</c:f>
              <c:strCache>
                <c:ptCount val="1"/>
                <c:pt idx="0">
                  <c:v>SAPS (+ greening) vázající se na krmné plodiny</c:v>
                </c:pt>
              </c:strCache>
            </c:strRef>
          </c:tx>
          <c:spPr>
            <a:solidFill>
              <a:schemeClr val="accent6">
                <a:lumMod val="40000"/>
                <a:lumOff val="60000"/>
              </a:schemeClr>
            </a:solidFill>
            <a:ln>
              <a:noFill/>
            </a:ln>
            <a:effectLst/>
          </c:spPr>
          <c:invertIfNegative val="0"/>
          <c:cat>
            <c:strRef>
              <c:f>'grafD-prasata'!$B$2:$M$2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'grafD-prasata'!$B$11:$M$11</c:f>
              <c:numCache>
                <c:formatCode>#,##0</c:formatCode>
                <c:ptCount val="10"/>
                <c:pt idx="0">
                  <c:v>1630.4120743983549</c:v>
                </c:pt>
                <c:pt idx="1">
                  <c:v>2315.2531669044911</c:v>
                </c:pt>
                <c:pt idx="2">
                  <c:v>2357.5949266612242</c:v>
                </c:pt>
                <c:pt idx="3">
                  <c:v>2031.4653512546724</c:v>
                </c:pt>
                <c:pt idx="4">
                  <c:v>2006.0294483061321</c:v>
                </c:pt>
                <c:pt idx="5">
                  <c:v>1946.3039276536324</c:v>
                </c:pt>
                <c:pt idx="6">
                  <c:v>2129.8309841636724</c:v>
                </c:pt>
                <c:pt idx="7">
                  <c:v>2397.4048029376909</c:v>
                </c:pt>
                <c:pt idx="8">
                  <c:v>2254.4441079325379</c:v>
                </c:pt>
                <c:pt idx="9">
                  <c:v>2341.7718959770195</c:v>
                </c:pt>
              </c:numCache>
              <c:extLst/>
            </c:numRef>
          </c:val>
          <c:extLst>
            <c:ext xmlns:c16="http://schemas.microsoft.com/office/drawing/2014/chart" uri="{C3380CC4-5D6E-409C-BE32-E72D297353CC}">
              <c16:uniqueId val="{00000008-899D-2040-8D9B-00ABD8D47F07}"/>
            </c:ext>
          </c:extLst>
        </c:ser>
        <c:ser>
          <c:idx val="9"/>
          <c:order val="9"/>
          <c:tx>
            <c:strRef>
              <c:f>'grafD-prasata'!$A$12</c:f>
              <c:strCache>
                <c:ptCount val="1"/>
                <c:pt idx="0">
                  <c:v>PVP na z.p. - krmné plodiny</c:v>
                </c:pt>
              </c:strCache>
            </c:strRef>
          </c:tx>
          <c:spPr>
            <a:solidFill>
              <a:schemeClr val="accent4">
                <a:lumMod val="60000"/>
              </a:schemeClr>
            </a:solidFill>
            <a:ln>
              <a:noFill/>
            </a:ln>
            <a:effectLst/>
          </c:spPr>
          <c:invertIfNegative val="0"/>
          <c:cat>
            <c:strRef>
              <c:f>'grafD-prasata'!$B$2:$M$2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'grafD-prasata'!$B$12:$M$12</c:f>
              <c:numCache>
                <c:formatCode>#,##0</c:formatCode>
                <c:ptCount val="10"/>
                <c:pt idx="0">
                  <c:v>0</c:v>
                </c:pt>
                <c:pt idx="1">
                  <c:v>211.19760618712047</c:v>
                </c:pt>
                <c:pt idx="2">
                  <c:v>96.255795291407679</c:v>
                </c:pt>
                <c:pt idx="3">
                  <c:v>62.68610306811474</c:v>
                </c:pt>
                <c:pt idx="4">
                  <c:v>70.249944707544088</c:v>
                </c:pt>
                <c:pt idx="5">
                  <c:v>63.763885595400261</c:v>
                </c:pt>
                <c:pt idx="6">
                  <c:v>64.838538930405349</c:v>
                </c:pt>
                <c:pt idx="7">
                  <c:v>64.461615829730022</c:v>
                </c:pt>
                <c:pt idx="8">
                  <c:v>55.464071918649616</c:v>
                </c:pt>
                <c:pt idx="9">
                  <c:v>48.856673777955052</c:v>
                </c:pt>
              </c:numCache>
              <c:extLst/>
            </c:numRef>
          </c:val>
          <c:extLst>
            <c:ext xmlns:c16="http://schemas.microsoft.com/office/drawing/2014/chart" uri="{C3380CC4-5D6E-409C-BE32-E72D297353CC}">
              <c16:uniqueId val="{00000009-899D-2040-8D9B-00ABD8D47F07}"/>
            </c:ext>
          </c:extLst>
        </c:ser>
        <c:ser>
          <c:idx val="10"/>
          <c:order val="10"/>
          <c:tx>
            <c:strRef>
              <c:f>'grafD-prasata'!$A$13</c:f>
              <c:strCache>
                <c:ptCount val="1"/>
                <c:pt idx="0">
                  <c:v>LFA platby (z.p.)od 2015</c:v>
                </c:pt>
              </c:strCache>
            </c:strRef>
          </c:tx>
          <c:spPr>
            <a:solidFill>
              <a:schemeClr val="accent5">
                <a:lumMod val="60000"/>
                <a:lumOff val="40000"/>
              </a:schemeClr>
            </a:solidFill>
            <a:ln>
              <a:noFill/>
            </a:ln>
            <a:effectLst/>
          </c:spPr>
          <c:invertIfNegative val="0"/>
          <c:cat>
            <c:strRef>
              <c:f>'grafD-prasata'!$B$2:$M$2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'grafD-prasata'!$B$13:$M$13</c:f>
              <c:numCache>
                <c:formatCode>#,##0</c:formatCode>
                <c:ptCount val="10"/>
                <c:pt idx="0">
                  <c:v>0</c:v>
                </c:pt>
                <c:pt idx="1">
                  <c:v>0</c:v>
                </c:pt>
                <c:pt idx="2">
                  <c:v>0</c:v>
                </c:pt>
                <c:pt idx="3">
                  <c:v>0</c:v>
                </c:pt>
                <c:pt idx="4">
                  <c:v>137.26880855397178</c:v>
                </c:pt>
                <c:pt idx="5">
                  <c:v>129.7043796605829</c:v>
                </c:pt>
                <c:pt idx="6">
                  <c:v>146.96041344563289</c:v>
                </c:pt>
                <c:pt idx="7">
                  <c:v>401.12737621054532</c:v>
                </c:pt>
                <c:pt idx="8">
                  <c:v>374.2504388350394</c:v>
                </c:pt>
                <c:pt idx="9">
                  <c:v>355.52572233892113</c:v>
                </c:pt>
              </c:numCache>
              <c:extLst/>
            </c:numRef>
          </c:val>
          <c:extLst>
            <c:ext xmlns:c16="http://schemas.microsoft.com/office/drawing/2014/chart" uri="{C3380CC4-5D6E-409C-BE32-E72D297353CC}">
              <c16:uniqueId val="{0000000A-899D-2040-8D9B-00ABD8D47F07}"/>
            </c:ext>
          </c:extLst>
        </c:ser>
        <c:ser>
          <c:idx val="11"/>
          <c:order val="11"/>
          <c:tx>
            <c:strRef>
              <c:f>'grafD-prasata'!$A$14</c:f>
              <c:strCache>
                <c:ptCount val="1"/>
                <c:pt idx="0">
                  <c:v>Zelená nafta RV (od 1.7.2017 dle zatížení DJ zvířat)</c:v>
                </c:pt>
              </c:strCache>
            </c:strRef>
          </c:tx>
          <c:spPr>
            <a:solidFill>
              <a:srgbClr val="FFC000"/>
            </a:solidFill>
            <a:ln>
              <a:noFill/>
            </a:ln>
            <a:effectLst/>
          </c:spPr>
          <c:invertIfNegative val="0"/>
          <c:cat>
            <c:strRef>
              <c:f>'grafD-prasata'!$B$2:$M$2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'grafD-prasata'!$B$14:$M$14</c:f>
              <c:numCache>
                <c:formatCode>#,##0</c:formatCode>
                <c:ptCount val="10"/>
                <c:pt idx="0">
                  <c:v>203.95414197532546</c:v>
                </c:pt>
                <c:pt idx="1">
                  <c:v>262.37830158410839</c:v>
                </c:pt>
                <c:pt idx="2">
                  <c:v>154.94142448999642</c:v>
                </c:pt>
                <c:pt idx="3">
                  <c:v>105.93279452573942</c:v>
                </c:pt>
                <c:pt idx="4">
                  <c:v>145.18085787879096</c:v>
                </c:pt>
                <c:pt idx="5">
                  <c:v>142.43868075906067</c:v>
                </c:pt>
                <c:pt idx="6">
                  <c:v>143.0744863236589</c:v>
                </c:pt>
                <c:pt idx="7">
                  <c:v>176.02566817367364</c:v>
                </c:pt>
                <c:pt idx="8">
                  <c:v>185.14803814667559</c:v>
                </c:pt>
                <c:pt idx="9">
                  <c:v>190.88791224667062</c:v>
                </c:pt>
              </c:numCache>
              <c:extLst/>
            </c:numRef>
          </c:val>
          <c:extLst>
            <c:ext xmlns:c16="http://schemas.microsoft.com/office/drawing/2014/chart" uri="{C3380CC4-5D6E-409C-BE32-E72D297353CC}">
              <c16:uniqueId val="{0000000B-899D-2040-8D9B-00ABD8D47F07}"/>
            </c:ext>
          </c:extLst>
        </c:ser>
        <c:ser>
          <c:idx val="12"/>
          <c:order val="12"/>
          <c:tx>
            <c:strRef>
              <c:f>'grafD-prasata'!$A$15</c:f>
              <c:strCache>
                <c:ptCount val="1"/>
                <c:pt idx="0">
                  <c:v> Podpora pojištění RV (krmné plodiny)</c:v>
                </c:pt>
              </c:strCache>
            </c:strRef>
          </c:tx>
          <c:spPr>
            <a:solidFill>
              <a:schemeClr val="accent1">
                <a:lumMod val="80000"/>
                <a:lumOff val="20000"/>
              </a:schemeClr>
            </a:solidFill>
            <a:ln>
              <a:noFill/>
            </a:ln>
            <a:effectLst/>
          </c:spPr>
          <c:invertIfNegative val="0"/>
          <c:cat>
            <c:strRef>
              <c:f>'grafD-prasata'!$B$2:$M$2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'grafD-prasata'!$B$15:$M$15</c:f>
              <c:numCache>
                <c:formatCode>#,##0</c:formatCode>
                <c:ptCount val="10"/>
                <c:pt idx="0">
                  <c:v>45.570431712636598</c:v>
                </c:pt>
                <c:pt idx="1">
                  <c:v>20.670089472198221</c:v>
                </c:pt>
                <c:pt idx="2">
                  <c:v>19.291928551018298</c:v>
                </c:pt>
                <c:pt idx="3">
                  <c:v>16.522277040626044</c:v>
                </c:pt>
                <c:pt idx="4">
                  <c:v>46.963454520344719</c:v>
                </c:pt>
                <c:pt idx="5">
                  <c:v>33.826841546528136</c:v>
                </c:pt>
                <c:pt idx="6">
                  <c:v>43.694100881110579</c:v>
                </c:pt>
                <c:pt idx="7">
                  <c:v>50.269259081680048</c:v>
                </c:pt>
                <c:pt idx="8">
                  <c:v>48.517429295687251</c:v>
                </c:pt>
                <c:pt idx="9">
                  <c:v>53.281297100725155</c:v>
                </c:pt>
              </c:numCache>
              <c:extLst/>
            </c:numRef>
          </c:val>
          <c:extLst>
            <c:ext xmlns:c16="http://schemas.microsoft.com/office/drawing/2014/chart" uri="{C3380CC4-5D6E-409C-BE32-E72D297353CC}">
              <c16:uniqueId val="{0000000C-899D-2040-8D9B-00ABD8D47F07}"/>
            </c:ext>
          </c:extLst>
        </c:ser>
        <c:ser>
          <c:idx val="13"/>
          <c:order val="13"/>
          <c:tx>
            <c:strRef>
              <c:f>'grafD-prasata'!$A$16</c:f>
              <c:strCache>
                <c:ptCount val="1"/>
                <c:pt idx="0">
                  <c:v>Kompenzace sucho</c:v>
                </c:pt>
              </c:strCache>
            </c:strRef>
          </c:tx>
          <c:spPr>
            <a:solidFill>
              <a:schemeClr val="accent2">
                <a:lumMod val="80000"/>
                <a:lumOff val="20000"/>
              </a:schemeClr>
            </a:solidFill>
            <a:ln>
              <a:noFill/>
            </a:ln>
            <a:effectLst/>
          </c:spPr>
          <c:invertIfNegative val="0"/>
          <c:cat>
            <c:strRef>
              <c:f>'grafD-prasata'!$B$2:$M$2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'grafD-prasata'!$B$16:$M$16</c:f>
              <c:numCache>
                <c:formatCode>#,##0</c:formatCode>
                <c:ptCount val="10"/>
                <c:pt idx="0">
                  <c:v>0</c:v>
                </c:pt>
                <c:pt idx="1">
                  <c:v>0</c:v>
                </c:pt>
                <c:pt idx="2">
                  <c:v>0</c:v>
                </c:pt>
                <c:pt idx="3">
                  <c:v>0</c:v>
                </c:pt>
                <c:pt idx="4">
                  <c:v>0</c:v>
                </c:pt>
                <c:pt idx="5">
                  <c:v>0</c:v>
                </c:pt>
                <c:pt idx="6">
                  <c:v>149.98709138618761</c:v>
                </c:pt>
                <c:pt idx="7">
                  <c:v>0</c:v>
                </c:pt>
                <c:pt idx="8">
                  <c:v>0</c:v>
                </c:pt>
                <c:pt idx="9">
                  <c:v>0</c:v>
                </c:pt>
              </c:numCache>
              <c:extLst/>
            </c:numRef>
          </c:val>
          <c:extLst>
            <c:ext xmlns:c16="http://schemas.microsoft.com/office/drawing/2014/chart" uri="{C3380CC4-5D6E-409C-BE32-E72D297353CC}">
              <c16:uniqueId val="{0000000D-899D-2040-8D9B-00ABD8D47F07}"/>
            </c:ext>
          </c:extLst>
        </c:ser>
        <c:dLbls>
          <c:showLegendKey val="0"/>
          <c:showVal val="0"/>
          <c:showCatName val="0"/>
          <c:showSerName val="0"/>
          <c:showPercent val="0"/>
          <c:showBubbleSize val="0"/>
        </c:dLbls>
        <c:gapWidth val="150"/>
        <c:overlap val="100"/>
        <c:axId val="499499080"/>
        <c:axId val="499500392"/>
      </c:barChart>
      <c:catAx>
        <c:axId val="4994990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99500392"/>
        <c:crosses val="autoZero"/>
        <c:auto val="1"/>
        <c:lblAlgn val="ctr"/>
        <c:lblOffset val="100"/>
        <c:noMultiLvlLbl val="0"/>
      </c:catAx>
      <c:valAx>
        <c:axId val="49950039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99499080"/>
        <c:crosses val="autoZero"/>
        <c:crossBetween val="between"/>
      </c:valAx>
      <c:spPr>
        <a:noFill/>
        <a:ln>
          <a:noFill/>
        </a:ln>
        <a:effectLst/>
      </c:spPr>
    </c:plotArea>
    <c:legend>
      <c:legendPos val="b"/>
      <c:legendEntry>
        <c:idx val="11"/>
        <c:delete val="1"/>
      </c:legendEntry>
      <c:layout>
        <c:manualLayout>
          <c:xMode val="edge"/>
          <c:yMode val="edge"/>
          <c:x val="2.7412701004287687E-3"/>
          <c:y val="0.75646812716562817"/>
          <c:w val="0.96610321262354071"/>
          <c:h val="0.2435318728343718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E6B9-3246-921D-B28E9DB1517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E6B9-3246-921D-B28E9DB15176}"/>
              </c:ext>
            </c:extLst>
          </c:dPt>
          <c:dPt>
            <c:idx val="2"/>
            <c:bubble3D val="0"/>
            <c:spPr>
              <a:solidFill>
                <a:srgbClr val="00B050"/>
              </a:solidFill>
              <a:ln w="19050">
                <a:solidFill>
                  <a:schemeClr val="lt1"/>
                </a:solidFill>
              </a:ln>
              <a:effectLst/>
            </c:spPr>
            <c:extLst>
              <c:ext xmlns:c16="http://schemas.microsoft.com/office/drawing/2014/chart" uri="{C3380CC4-5D6E-409C-BE32-E72D297353CC}">
                <c16:uniqueId val="{00000005-E6B9-3246-921D-B28E9DB15176}"/>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E6B9-3246-921D-B28E9DB15176}"/>
              </c:ext>
            </c:extLst>
          </c:dPt>
          <c:dLbls>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dLblPos val="bestFit"/>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Users\rudinskaya\Documents\ZZ\ZZ2017\[VEJCE_ZO_Produkce.xlsx]technologie'!$C$2,'\Users\rudinskaya\Documents\ZZ\ZZ2017\[VEJCE_ZO_Produkce.xlsx]technologie'!$E$2,'\Users\rudinskaya\Documents\ZZ\ZZ2017\[VEJCE_ZO_Produkce.xlsx]technologie'!$G$2,'\Users\rudinskaya\Documents\ZZ\ZZ2017\[VEJCE_ZO_Produkce.xlsx]technologie'!$I$2)</c:f>
              <c:strCache>
                <c:ptCount val="4"/>
                <c:pt idx="0">
                  <c:v>Obohacené klece</c:v>
                </c:pt>
                <c:pt idx="1">
                  <c:v>Voliéry a podlahové chovy </c:v>
                </c:pt>
                <c:pt idx="2">
                  <c:v>Voliéry a podlahové chovy + venkovní výběh </c:v>
                </c:pt>
                <c:pt idx="3">
                  <c:v>Bio – voliéry  a podlahové chovy + venkovní výběh </c:v>
                </c:pt>
              </c:strCache>
            </c:strRef>
          </c:cat>
          <c:val>
            <c:numRef>
              <c:f>(List2!$C$14,List2!$E$14,List2!$G$14,List2!$I$14)</c:f>
              <c:numCache>
                <c:formatCode>#,##0</c:formatCode>
                <c:ptCount val="4"/>
                <c:pt idx="0">
                  <c:v>3679500</c:v>
                </c:pt>
                <c:pt idx="1">
                  <c:v>1911900</c:v>
                </c:pt>
                <c:pt idx="2">
                  <c:v>56700</c:v>
                </c:pt>
                <c:pt idx="3">
                  <c:v>28100</c:v>
                </c:pt>
              </c:numCache>
            </c:numRef>
          </c:val>
          <c:extLst>
            <c:ext xmlns:c16="http://schemas.microsoft.com/office/drawing/2014/chart" uri="{C3380CC4-5D6E-409C-BE32-E72D297353CC}">
              <c16:uniqueId val="{00000008-E6B9-3246-921D-B28E9DB15176}"/>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Produkce!$A$2</c:f>
              <c:strCache>
                <c:ptCount val="1"/>
                <c:pt idx="0">
                  <c:v>Výroba</c:v>
                </c:pt>
              </c:strCache>
            </c:strRef>
          </c:tx>
          <c:spPr>
            <a:solidFill>
              <a:schemeClr val="accent1"/>
            </a:solidFill>
            <a:ln>
              <a:noFill/>
            </a:ln>
            <a:effectLst/>
          </c:spPr>
          <c:invertIfNegative val="0"/>
          <c:cat>
            <c:strRef>
              <c:f>Produkce!$D$1:$M$1</c:f>
              <c:strCache>
                <c:ptCount val="10"/>
                <c:pt idx="0">
                  <c:v>2011</c:v>
                </c:pt>
                <c:pt idx="1">
                  <c:v>2012</c:v>
                </c:pt>
                <c:pt idx="2">
                  <c:v>2013</c:v>
                </c:pt>
                <c:pt idx="3">
                  <c:v>2014</c:v>
                </c:pt>
                <c:pt idx="4">
                  <c:v>2015</c:v>
                </c:pt>
                <c:pt idx="5">
                  <c:v>2016</c:v>
                </c:pt>
                <c:pt idx="6">
                  <c:v>2017</c:v>
                </c:pt>
                <c:pt idx="7">
                  <c:v>2018</c:v>
                </c:pt>
                <c:pt idx="8">
                  <c:v>2019</c:v>
                </c:pt>
                <c:pt idx="9">
                  <c:v>2020</c:v>
                </c:pt>
              </c:strCache>
            </c:strRef>
          </c:cat>
          <c:val>
            <c:numRef>
              <c:f>Produkce!$D$2:$M$2</c:f>
              <c:numCache>
                <c:formatCode>General</c:formatCode>
                <c:ptCount val="10"/>
                <c:pt idx="0">
                  <c:v>142.69999999999999</c:v>
                </c:pt>
                <c:pt idx="1">
                  <c:v>131.6</c:v>
                </c:pt>
                <c:pt idx="2" formatCode="#\ ##0.0">
                  <c:v>141.9</c:v>
                </c:pt>
                <c:pt idx="3" formatCode="0.0">
                  <c:v>147.19999999999999</c:v>
                </c:pt>
                <c:pt idx="4" formatCode="#\ ##0.0">
                  <c:v>142.9</c:v>
                </c:pt>
                <c:pt idx="5" formatCode="0.0">
                  <c:v>143</c:v>
                </c:pt>
                <c:pt idx="6" formatCode="0.0">
                  <c:v>152.4</c:v>
                </c:pt>
                <c:pt idx="7" formatCode="0.0">
                  <c:v>153.6</c:v>
                </c:pt>
                <c:pt idx="8" formatCode="0.0">
                  <c:v>158.80000000000001</c:v>
                </c:pt>
                <c:pt idx="9" formatCode="0.0">
                  <c:v>157</c:v>
                </c:pt>
              </c:numCache>
            </c:numRef>
          </c:val>
          <c:extLst>
            <c:ext xmlns:c16="http://schemas.microsoft.com/office/drawing/2014/chart" uri="{C3380CC4-5D6E-409C-BE32-E72D297353CC}">
              <c16:uniqueId val="{00000000-CE42-C047-8F33-5B5631A8338C}"/>
            </c:ext>
          </c:extLst>
        </c:ser>
        <c:ser>
          <c:idx val="1"/>
          <c:order val="1"/>
          <c:tx>
            <c:strRef>
              <c:f>Produkce!$A$3</c:f>
              <c:strCache>
                <c:ptCount val="1"/>
                <c:pt idx="0">
                  <c:v>Dovoz</c:v>
                </c:pt>
              </c:strCache>
            </c:strRef>
          </c:tx>
          <c:spPr>
            <a:solidFill>
              <a:schemeClr val="accent2"/>
            </a:solidFill>
            <a:ln>
              <a:noFill/>
            </a:ln>
            <a:effectLst/>
          </c:spPr>
          <c:invertIfNegative val="0"/>
          <c:cat>
            <c:strRef>
              <c:f>Produkce!$D$1:$M$1</c:f>
              <c:strCache>
                <c:ptCount val="10"/>
                <c:pt idx="0">
                  <c:v>2011</c:v>
                </c:pt>
                <c:pt idx="1">
                  <c:v>2012</c:v>
                </c:pt>
                <c:pt idx="2">
                  <c:v>2013</c:v>
                </c:pt>
                <c:pt idx="3">
                  <c:v>2014</c:v>
                </c:pt>
                <c:pt idx="4">
                  <c:v>2015</c:v>
                </c:pt>
                <c:pt idx="5">
                  <c:v>2016</c:v>
                </c:pt>
                <c:pt idx="6">
                  <c:v>2017</c:v>
                </c:pt>
                <c:pt idx="7">
                  <c:v>2018</c:v>
                </c:pt>
                <c:pt idx="8">
                  <c:v>2019</c:v>
                </c:pt>
                <c:pt idx="9">
                  <c:v>2020</c:v>
                </c:pt>
              </c:strCache>
            </c:strRef>
          </c:cat>
          <c:val>
            <c:numRef>
              <c:f>Produkce!$D$3:$M$3</c:f>
              <c:numCache>
                <c:formatCode>General</c:formatCode>
                <c:ptCount val="10"/>
                <c:pt idx="0">
                  <c:v>40.299999999999997</c:v>
                </c:pt>
                <c:pt idx="1">
                  <c:v>39.700000000000003</c:v>
                </c:pt>
                <c:pt idx="2" formatCode="#\ ##0.0">
                  <c:v>33.700000000000003</c:v>
                </c:pt>
                <c:pt idx="3" formatCode="0.0">
                  <c:v>38.5</c:v>
                </c:pt>
                <c:pt idx="4" formatCode="#\ ##0.0">
                  <c:v>47.2</c:v>
                </c:pt>
                <c:pt idx="5" formatCode="0.0">
                  <c:v>47.7</c:v>
                </c:pt>
                <c:pt idx="6" formatCode="0.0">
                  <c:v>40.6</c:v>
                </c:pt>
                <c:pt idx="7" formatCode="0.0">
                  <c:v>40.200000000000003</c:v>
                </c:pt>
                <c:pt idx="8" formatCode="0.0">
                  <c:v>42.5</c:v>
                </c:pt>
                <c:pt idx="9" formatCode="0.0">
                  <c:v>39</c:v>
                </c:pt>
              </c:numCache>
            </c:numRef>
          </c:val>
          <c:extLst>
            <c:ext xmlns:c16="http://schemas.microsoft.com/office/drawing/2014/chart" uri="{C3380CC4-5D6E-409C-BE32-E72D297353CC}">
              <c16:uniqueId val="{00000001-CE42-C047-8F33-5B5631A8338C}"/>
            </c:ext>
          </c:extLst>
        </c:ser>
        <c:ser>
          <c:idx val="2"/>
          <c:order val="2"/>
          <c:tx>
            <c:strRef>
              <c:f>Produkce!$A$4</c:f>
              <c:strCache>
                <c:ptCount val="1"/>
                <c:pt idx="0">
                  <c:v>Vývoz</c:v>
                </c:pt>
              </c:strCache>
            </c:strRef>
          </c:tx>
          <c:spPr>
            <a:solidFill>
              <a:schemeClr val="accent3"/>
            </a:solidFill>
            <a:ln>
              <a:noFill/>
            </a:ln>
            <a:effectLst/>
          </c:spPr>
          <c:invertIfNegative val="0"/>
          <c:cat>
            <c:strRef>
              <c:f>Produkce!$D$1:$M$1</c:f>
              <c:strCache>
                <c:ptCount val="10"/>
                <c:pt idx="0">
                  <c:v>2011</c:v>
                </c:pt>
                <c:pt idx="1">
                  <c:v>2012</c:v>
                </c:pt>
                <c:pt idx="2">
                  <c:v>2013</c:v>
                </c:pt>
                <c:pt idx="3">
                  <c:v>2014</c:v>
                </c:pt>
                <c:pt idx="4">
                  <c:v>2015</c:v>
                </c:pt>
                <c:pt idx="5">
                  <c:v>2016</c:v>
                </c:pt>
                <c:pt idx="6">
                  <c:v>2017</c:v>
                </c:pt>
                <c:pt idx="7">
                  <c:v>2018</c:v>
                </c:pt>
                <c:pt idx="8">
                  <c:v>2019</c:v>
                </c:pt>
                <c:pt idx="9">
                  <c:v>2020</c:v>
                </c:pt>
              </c:strCache>
            </c:strRef>
          </c:cat>
          <c:val>
            <c:numRef>
              <c:f>Produkce!$D$4:$M$4</c:f>
              <c:numCache>
                <c:formatCode>General</c:formatCode>
                <c:ptCount val="10"/>
                <c:pt idx="0">
                  <c:v>20.2</c:v>
                </c:pt>
                <c:pt idx="1">
                  <c:v>16.5</c:v>
                </c:pt>
                <c:pt idx="2" formatCode="#\ ##0.0">
                  <c:v>22.4</c:v>
                </c:pt>
                <c:pt idx="3" formatCode="0.0">
                  <c:v>18.899999999999999</c:v>
                </c:pt>
                <c:pt idx="4" formatCode="#\ ##0.0">
                  <c:v>19.600000000000001</c:v>
                </c:pt>
                <c:pt idx="5" formatCode="#\ ##0.0">
                  <c:v>22.1</c:v>
                </c:pt>
                <c:pt idx="6" formatCode="#\ ##0.0">
                  <c:v>23.2</c:v>
                </c:pt>
                <c:pt idx="7" formatCode="#\ ##0.0">
                  <c:v>23.4</c:v>
                </c:pt>
                <c:pt idx="8" formatCode="#\ ##0.0">
                  <c:v>22.5</c:v>
                </c:pt>
                <c:pt idx="9" formatCode="#\ ##0.0">
                  <c:v>26.7</c:v>
                </c:pt>
              </c:numCache>
            </c:numRef>
          </c:val>
          <c:extLst>
            <c:ext xmlns:c16="http://schemas.microsoft.com/office/drawing/2014/chart" uri="{C3380CC4-5D6E-409C-BE32-E72D297353CC}">
              <c16:uniqueId val="{00000002-CE42-C047-8F33-5B5631A8338C}"/>
            </c:ext>
          </c:extLst>
        </c:ser>
        <c:dLbls>
          <c:showLegendKey val="0"/>
          <c:showVal val="0"/>
          <c:showCatName val="0"/>
          <c:showSerName val="0"/>
          <c:showPercent val="0"/>
          <c:showBubbleSize val="0"/>
        </c:dLbls>
        <c:gapWidth val="219"/>
        <c:axId val="367415696"/>
        <c:axId val="367412088"/>
      </c:barChart>
      <c:lineChart>
        <c:grouping val="stacked"/>
        <c:varyColors val="0"/>
        <c:ser>
          <c:idx val="3"/>
          <c:order val="3"/>
          <c:tx>
            <c:strRef>
              <c:f>Produkce!$A$5</c:f>
              <c:strCache>
                <c:ptCount val="1"/>
                <c:pt idx="0">
                  <c:v>Soběstačnost</c:v>
                </c:pt>
              </c:strCache>
            </c:strRef>
          </c:tx>
          <c:spPr>
            <a:ln w="28575" cap="rnd">
              <a:solidFill>
                <a:srgbClr val="FFFFFF">
                  <a:alpha val="0"/>
                </a:srgbClr>
              </a:solidFill>
              <a:round/>
            </a:ln>
            <a:effectLst/>
          </c:spPr>
          <c:marker>
            <c:symbol val="circle"/>
            <c:size val="10"/>
            <c:spPr>
              <a:solidFill>
                <a:schemeClr val="accent4"/>
              </a:solidFill>
              <a:ln w="9525">
                <a:solidFill>
                  <a:schemeClr val="accent4"/>
                </a:solidFill>
              </a:ln>
              <a:effectLst/>
            </c:spPr>
          </c:marker>
          <c:cat>
            <c:strRef>
              <c:f>Produkce!$D$1:$M$1</c:f>
              <c:strCache>
                <c:ptCount val="10"/>
                <c:pt idx="0">
                  <c:v>2011</c:v>
                </c:pt>
                <c:pt idx="1">
                  <c:v>2012</c:v>
                </c:pt>
                <c:pt idx="2">
                  <c:v>2013</c:v>
                </c:pt>
                <c:pt idx="3">
                  <c:v>2014</c:v>
                </c:pt>
                <c:pt idx="4">
                  <c:v>2015</c:v>
                </c:pt>
                <c:pt idx="5">
                  <c:v>2016</c:v>
                </c:pt>
                <c:pt idx="6">
                  <c:v>2017</c:v>
                </c:pt>
                <c:pt idx="7">
                  <c:v>2018</c:v>
                </c:pt>
                <c:pt idx="8">
                  <c:v>2019</c:v>
                </c:pt>
                <c:pt idx="9">
                  <c:v>2020</c:v>
                </c:pt>
              </c:strCache>
            </c:strRef>
          </c:cat>
          <c:val>
            <c:numRef>
              <c:f>Produkce!$D$5:$M$5</c:f>
              <c:numCache>
                <c:formatCode>0.00</c:formatCode>
                <c:ptCount val="10"/>
                <c:pt idx="0">
                  <c:v>0.87599999999999989</c:v>
                </c:pt>
                <c:pt idx="1">
                  <c:v>0.85</c:v>
                </c:pt>
                <c:pt idx="2">
                  <c:v>0.92624020887728453</c:v>
                </c:pt>
                <c:pt idx="3">
                  <c:v>0.88249400479616313</c:v>
                </c:pt>
                <c:pt idx="4">
                  <c:v>0.83812316715542512</c:v>
                </c:pt>
                <c:pt idx="5">
                  <c:v>0.8481613285883749</c:v>
                </c:pt>
                <c:pt idx="6">
                  <c:v>0.89752650176678439</c:v>
                </c:pt>
                <c:pt idx="7">
                  <c:v>0.90140845070422526</c:v>
                </c:pt>
                <c:pt idx="8">
                  <c:v>0.88814317673378074</c:v>
                </c:pt>
                <c:pt idx="9">
                  <c:v>0.9273479031305375</c:v>
                </c:pt>
              </c:numCache>
            </c:numRef>
          </c:val>
          <c:smooth val="0"/>
          <c:extLst>
            <c:ext xmlns:c16="http://schemas.microsoft.com/office/drawing/2014/chart" uri="{C3380CC4-5D6E-409C-BE32-E72D297353CC}">
              <c16:uniqueId val="{00000003-CE42-C047-8F33-5B5631A8338C}"/>
            </c:ext>
          </c:extLst>
        </c:ser>
        <c:dLbls>
          <c:showLegendKey val="0"/>
          <c:showVal val="0"/>
          <c:showCatName val="0"/>
          <c:showSerName val="0"/>
          <c:showPercent val="0"/>
          <c:showBubbleSize val="0"/>
        </c:dLbls>
        <c:marker val="1"/>
        <c:smooth val="0"/>
        <c:axId val="678491960"/>
        <c:axId val="678495240"/>
      </c:lineChart>
      <c:catAx>
        <c:axId val="3674156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cs-CZ"/>
          </a:p>
        </c:txPr>
        <c:crossAx val="367412088"/>
        <c:crosses val="autoZero"/>
        <c:auto val="1"/>
        <c:lblAlgn val="ctr"/>
        <c:lblOffset val="100"/>
        <c:noMultiLvlLbl val="0"/>
      </c:catAx>
      <c:valAx>
        <c:axId val="3674120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baseline="0">
                    <a:solidFill>
                      <a:sysClr val="windowText" lastClr="000000"/>
                    </a:solidFill>
                    <a:latin typeface="+mn-lt"/>
                    <a:ea typeface="+mn-ea"/>
                    <a:cs typeface="+mn-cs"/>
                  </a:defRPr>
                </a:pPr>
                <a:r>
                  <a:rPr lang="en-GB" sz="1200" b="1">
                    <a:solidFill>
                      <a:sysClr val="windowText" lastClr="000000"/>
                    </a:solidFill>
                  </a:rPr>
                  <a:t>Produkce, dovoz a v</a:t>
                </a:r>
                <a:r>
                  <a:rPr lang="cs-CZ" sz="1200" b="1">
                    <a:solidFill>
                      <a:sysClr val="windowText" lastClr="000000"/>
                    </a:solidFill>
                  </a:rPr>
                  <a:t>ý</a:t>
                </a:r>
                <a:r>
                  <a:rPr lang="en-GB" sz="1200" b="1">
                    <a:solidFill>
                      <a:sysClr val="windowText" lastClr="000000"/>
                    </a:solidFill>
                  </a:rPr>
                  <a:t>vo</a:t>
                </a:r>
                <a:r>
                  <a:rPr lang="cs-CZ" sz="1200" b="1">
                    <a:solidFill>
                      <a:sysClr val="windowText" lastClr="000000"/>
                    </a:solidFill>
                  </a:rPr>
                  <a:t>z</a:t>
                </a:r>
                <a:r>
                  <a:rPr lang="en-GB" sz="1200" b="1">
                    <a:solidFill>
                      <a:sysClr val="windowText" lastClr="000000"/>
                    </a:solidFill>
                  </a:rPr>
                  <a:t>,</a:t>
                </a:r>
                <a:r>
                  <a:rPr lang="cs-CZ" sz="1200" b="1">
                    <a:solidFill>
                      <a:sysClr val="windowText" lastClr="000000"/>
                    </a:solidFill>
                  </a:rPr>
                  <a:t> tis.t</a:t>
                </a:r>
                <a:r>
                  <a:rPr lang="en-GB" sz="1200" b="1">
                    <a:solidFill>
                      <a:sysClr val="windowText" lastClr="000000"/>
                    </a:solidFill>
                  </a:rPr>
                  <a:t> </a:t>
                </a:r>
                <a:endParaRPr lang="cs-CZ" sz="1200" b="1">
                  <a:solidFill>
                    <a:sysClr val="windowText" lastClr="000000"/>
                  </a:solidFill>
                </a:endParaRPr>
              </a:p>
            </c:rich>
          </c:tx>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mn-lt"/>
                  <a:ea typeface="+mn-ea"/>
                  <a:cs typeface="+mn-cs"/>
                </a:defRPr>
              </a:pPr>
              <a:endParaRPr lang="cs-CZ"/>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cs-CZ"/>
          </a:p>
        </c:txPr>
        <c:crossAx val="367415696"/>
        <c:crosses val="autoZero"/>
        <c:crossBetween val="between"/>
      </c:valAx>
      <c:valAx>
        <c:axId val="678495240"/>
        <c:scaling>
          <c:orientation val="minMax"/>
        </c:scaling>
        <c:delete val="0"/>
        <c:axPos val="r"/>
        <c:title>
          <c:tx>
            <c:rich>
              <a:bodyPr rot="-5400000" spcFirstLastPara="1" vertOverflow="ellipsis" vert="horz" wrap="square" anchor="ctr" anchorCtr="1"/>
              <a:lstStyle/>
              <a:p>
                <a:pPr>
                  <a:defRPr sz="1200" b="1" i="0" u="none" strike="noStrike" kern="1200" baseline="0">
                    <a:solidFill>
                      <a:sysClr val="windowText" lastClr="000000"/>
                    </a:solidFill>
                    <a:latin typeface="+mn-lt"/>
                    <a:ea typeface="+mn-ea"/>
                    <a:cs typeface="+mn-cs"/>
                  </a:defRPr>
                </a:pPr>
                <a:r>
                  <a:rPr lang="cs-CZ" sz="1200" b="1">
                    <a:solidFill>
                      <a:sysClr val="windowText" lastClr="000000"/>
                    </a:solidFill>
                  </a:rPr>
                  <a:t>Soběstačnost</a:t>
                </a:r>
              </a:p>
            </c:rich>
          </c:tx>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mn-lt"/>
                  <a:ea typeface="+mn-ea"/>
                  <a:cs typeface="+mn-cs"/>
                </a:defRPr>
              </a:pPr>
              <a:endParaRPr lang="cs-CZ"/>
            </a:p>
          </c:txPr>
        </c:title>
        <c:numFmt formatCode="0.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cs-CZ"/>
          </a:p>
        </c:txPr>
        <c:crossAx val="678491960"/>
        <c:crosses val="max"/>
        <c:crossBetween val="between"/>
      </c:valAx>
      <c:catAx>
        <c:axId val="678491960"/>
        <c:scaling>
          <c:orientation val="minMax"/>
        </c:scaling>
        <c:delete val="1"/>
        <c:axPos val="b"/>
        <c:numFmt formatCode="General" sourceLinked="1"/>
        <c:majorTickMark val="out"/>
        <c:minorTickMark val="none"/>
        <c:tickLblPos val="nextTo"/>
        <c:crossAx val="678495240"/>
        <c:crosses val="autoZero"/>
        <c:auto val="1"/>
        <c:lblAlgn val="ctr"/>
        <c:lblOffset val="100"/>
        <c:noMultiLvlLbl val="0"/>
      </c:cat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userShapes r:id="rId4"/>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1400" b="1" i="0" u="none" strike="noStrike" kern="1200" spc="0" baseline="0">
                <a:solidFill>
                  <a:schemeClr val="tx1">
                    <a:lumMod val="65000"/>
                    <a:lumOff val="35000"/>
                  </a:schemeClr>
                </a:solidFill>
                <a:latin typeface="+mn-lt"/>
                <a:ea typeface="+mn-ea"/>
                <a:cs typeface="+mn-cs"/>
              </a:defRPr>
            </a:pPr>
            <a:r>
              <a:rPr lang="cs-CZ" b="1"/>
              <a:t>Struktura podpor u</a:t>
            </a:r>
            <a:r>
              <a:rPr lang="cs-CZ" b="1" baseline="0"/>
              <a:t> drůbeže (Kč/ks)</a:t>
            </a:r>
            <a:endParaRPr lang="cs-CZ" b="1"/>
          </a:p>
        </c:rich>
      </c:tx>
      <c:layout>
        <c:manualLayout>
          <c:xMode val="edge"/>
          <c:yMode val="edge"/>
          <c:x val="0.31092088714044236"/>
          <c:y val="1.5252612078199765E-2"/>
        </c:manualLayout>
      </c:layout>
      <c:overlay val="0"/>
      <c:spPr>
        <a:noFill/>
        <a:ln>
          <a:noFill/>
        </a:ln>
        <a:effectLst/>
      </c:spPr>
      <c:txPr>
        <a:bodyPr rot="0" spcFirstLastPara="1" vertOverflow="ellipsis" vert="horz" wrap="square" anchor="ctr" anchorCtr="1"/>
        <a:lstStyle/>
        <a:p>
          <a:pPr algn="ctr">
            <a:defRPr sz="1400" b="1"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manualLayout>
          <c:layoutTarget val="inner"/>
          <c:xMode val="edge"/>
          <c:yMode val="edge"/>
          <c:x val="0.10274217511562825"/>
          <c:y val="9.4286612743383874E-2"/>
          <c:w val="0.86877886628874113"/>
          <c:h val="0.71465874580165445"/>
        </c:manualLayout>
      </c:layout>
      <c:barChart>
        <c:barDir val="col"/>
        <c:grouping val="stacked"/>
        <c:varyColors val="0"/>
        <c:ser>
          <c:idx val="0"/>
          <c:order val="0"/>
          <c:tx>
            <c:strRef>
              <c:f>'grafD-drůbež'!$B$4</c:f>
              <c:strCache>
                <c:ptCount val="1"/>
                <c:pt idx="0">
                  <c:v>Dotační titul 8. F.c. - Ozdravení chovu drůbeže</c:v>
                </c:pt>
              </c:strCache>
            </c:strRef>
          </c:tx>
          <c:spPr>
            <a:solidFill>
              <a:schemeClr val="accent2">
                <a:lumMod val="40000"/>
                <a:lumOff val="60000"/>
              </a:schemeClr>
            </a:solidFill>
            <a:ln>
              <a:noFill/>
            </a:ln>
            <a:effectLst/>
          </c:spPr>
          <c:invertIfNegative val="0"/>
          <c:cat>
            <c:strRef>
              <c:f>'grafD-drůbež'!$C$3:$N$3</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'grafD-drůbež'!$C$4:$N$4</c:f>
              <c:numCache>
                <c:formatCode>#,##0.00</c:formatCode>
                <c:ptCount val="10"/>
                <c:pt idx="0">
                  <c:v>0</c:v>
                </c:pt>
                <c:pt idx="1">
                  <c:v>1.0995522146403642</c:v>
                </c:pt>
                <c:pt idx="2">
                  <c:v>1.3784210893117148</c:v>
                </c:pt>
                <c:pt idx="3">
                  <c:v>2.4723156154130028</c:v>
                </c:pt>
                <c:pt idx="4">
                  <c:v>2.9762452039697931</c:v>
                </c:pt>
                <c:pt idx="5">
                  <c:v>3.2241538197172033</c:v>
                </c:pt>
                <c:pt idx="6">
                  <c:v>3.1462603730957124</c:v>
                </c:pt>
                <c:pt idx="7">
                  <c:v>3.3231117020264516</c:v>
                </c:pt>
                <c:pt idx="8">
                  <c:v>3.2878744119961434</c:v>
                </c:pt>
                <c:pt idx="9">
                  <c:v>3.4598545661307147</c:v>
                </c:pt>
              </c:numCache>
              <c:extLst/>
            </c:numRef>
          </c:val>
          <c:extLst>
            <c:ext xmlns:c16="http://schemas.microsoft.com/office/drawing/2014/chart" uri="{C3380CC4-5D6E-409C-BE32-E72D297353CC}">
              <c16:uniqueId val="{00000000-E841-9A48-8CA2-FD1D6BF9B88F}"/>
            </c:ext>
          </c:extLst>
        </c:ser>
        <c:ser>
          <c:idx val="1"/>
          <c:order val="1"/>
          <c:tx>
            <c:strRef>
              <c:f>'grafD-drůbež'!$B$6</c:f>
              <c:strCache>
                <c:ptCount val="1"/>
                <c:pt idx="0">
                  <c:v>Zelená nafta ŽV</c:v>
                </c:pt>
              </c:strCache>
            </c:strRef>
          </c:tx>
          <c:spPr>
            <a:solidFill>
              <a:srgbClr val="C00000"/>
            </a:solidFill>
            <a:ln>
              <a:noFill/>
            </a:ln>
            <a:effectLst/>
          </c:spPr>
          <c:invertIfNegative val="0"/>
          <c:cat>
            <c:strRef>
              <c:f>'grafD-drůbež'!$C$3:$N$3</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'grafD-drůbež'!$C$6:$N$6</c:f>
              <c:numCache>
                <c:formatCode>#,##0.00</c:formatCode>
                <c:ptCount val="10"/>
                <c:pt idx="0">
                  <c:v>0</c:v>
                </c:pt>
                <c:pt idx="1">
                  <c:v>0</c:v>
                </c:pt>
                <c:pt idx="2">
                  <c:v>0</c:v>
                </c:pt>
                <c:pt idx="3">
                  <c:v>0</c:v>
                </c:pt>
                <c:pt idx="4" formatCode="#\ ##0.000">
                  <c:v>0</c:v>
                </c:pt>
                <c:pt idx="5">
                  <c:v>1.2840174645208903E-2</c:v>
                </c:pt>
                <c:pt idx="6">
                  <c:v>1.1292791626372155E-2</c:v>
                </c:pt>
                <c:pt idx="7">
                  <c:v>2.3064514404853291E-2</c:v>
                </c:pt>
                <c:pt idx="8">
                  <c:v>2.5471744204547668E-2</c:v>
                </c:pt>
                <c:pt idx="9">
                  <c:v>2.6931892395622079E-2</c:v>
                </c:pt>
              </c:numCache>
              <c:extLst/>
            </c:numRef>
          </c:val>
          <c:extLst>
            <c:ext xmlns:c16="http://schemas.microsoft.com/office/drawing/2014/chart" uri="{C3380CC4-5D6E-409C-BE32-E72D297353CC}">
              <c16:uniqueId val="{00000001-E841-9A48-8CA2-FD1D6BF9B88F}"/>
            </c:ext>
          </c:extLst>
        </c:ser>
        <c:ser>
          <c:idx val="2"/>
          <c:order val="2"/>
          <c:tx>
            <c:strRef>
              <c:f>'grafD-drůbež'!$B$7</c:f>
              <c:strCache>
                <c:ptCount val="1"/>
                <c:pt idx="0">
                  <c:v>  Podpora pojištění ŽV</c:v>
                </c:pt>
              </c:strCache>
            </c:strRef>
          </c:tx>
          <c:spPr>
            <a:solidFill>
              <a:srgbClr val="FFFF00"/>
            </a:solidFill>
            <a:ln>
              <a:noFill/>
            </a:ln>
            <a:effectLst/>
          </c:spPr>
          <c:invertIfNegative val="0"/>
          <c:cat>
            <c:strRef>
              <c:f>'grafD-drůbež'!$C$3:$N$3</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'grafD-drůbež'!$C$7:$N$7</c:f>
              <c:numCache>
                <c:formatCode>#,##0.00</c:formatCode>
                <c:ptCount val="10"/>
                <c:pt idx="0">
                  <c:v>7.9879516277901755E-2</c:v>
                </c:pt>
                <c:pt idx="1">
                  <c:v>6.4554043843775194E-2</c:v>
                </c:pt>
                <c:pt idx="2">
                  <c:v>7.9271084850490017E-2</c:v>
                </c:pt>
                <c:pt idx="3">
                  <c:v>8.0587135322879005E-2</c:v>
                </c:pt>
                <c:pt idx="4">
                  <c:v>9.1321150349913824E-2</c:v>
                </c:pt>
                <c:pt idx="5">
                  <c:v>8.9279467310662594E-2</c:v>
                </c:pt>
                <c:pt idx="6">
                  <c:v>8.7536719067176791E-2</c:v>
                </c:pt>
                <c:pt idx="7">
                  <c:v>8.8171872036616375E-2</c:v>
                </c:pt>
                <c:pt idx="8">
                  <c:v>8.4198623094937031E-2</c:v>
                </c:pt>
                <c:pt idx="9">
                  <c:v>8.4906595120862294E-2</c:v>
                </c:pt>
              </c:numCache>
              <c:extLst/>
            </c:numRef>
          </c:val>
          <c:extLst>
            <c:ext xmlns:c16="http://schemas.microsoft.com/office/drawing/2014/chart" uri="{C3380CC4-5D6E-409C-BE32-E72D297353CC}">
              <c16:uniqueId val="{00000002-E841-9A48-8CA2-FD1D6BF9B88F}"/>
            </c:ext>
          </c:extLst>
        </c:ser>
        <c:ser>
          <c:idx val="3"/>
          <c:order val="3"/>
          <c:tx>
            <c:strRef>
              <c:f>'grafD-drůbež'!$B$8</c:f>
              <c:strCache>
                <c:ptCount val="1"/>
                <c:pt idx="0">
                  <c:v>SAPS (+ greening) vázající se na krmné plodiny</c:v>
                </c:pt>
              </c:strCache>
            </c:strRef>
          </c:tx>
          <c:spPr>
            <a:solidFill>
              <a:schemeClr val="accent6">
                <a:lumMod val="40000"/>
                <a:lumOff val="60000"/>
              </a:schemeClr>
            </a:solidFill>
            <a:ln>
              <a:noFill/>
            </a:ln>
            <a:effectLst/>
          </c:spPr>
          <c:invertIfNegative val="0"/>
          <c:cat>
            <c:strRef>
              <c:f>'grafD-drůbež'!$C$3:$N$3</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'grafD-drůbež'!$C$8:$N$8</c:f>
              <c:numCache>
                <c:formatCode>#,##0.00</c:formatCode>
                <c:ptCount val="10"/>
                <c:pt idx="0">
                  <c:v>5.6676696761579971E-2</c:v>
                </c:pt>
                <c:pt idx="1">
                  <c:v>7.2353849432694725E-2</c:v>
                </c:pt>
                <c:pt idx="2">
                  <c:v>9.2812340560119902E-2</c:v>
                </c:pt>
                <c:pt idx="3">
                  <c:v>7.6098804785764168E-2</c:v>
                </c:pt>
                <c:pt idx="4">
                  <c:v>8.887026351888723E-2</c:v>
                </c:pt>
                <c:pt idx="5">
                  <c:v>6.1541184033000282E-2</c:v>
                </c:pt>
                <c:pt idx="6">
                  <c:v>7.8981165588983562E-2</c:v>
                </c:pt>
                <c:pt idx="7">
                  <c:v>8.5900048421877234E-2</c:v>
                </c:pt>
                <c:pt idx="8">
                  <c:v>7.0881180018998277E-2</c:v>
                </c:pt>
                <c:pt idx="9">
                  <c:v>6.6221662276319565E-2</c:v>
                </c:pt>
              </c:numCache>
              <c:extLst/>
            </c:numRef>
          </c:val>
          <c:extLst>
            <c:ext xmlns:c16="http://schemas.microsoft.com/office/drawing/2014/chart" uri="{C3380CC4-5D6E-409C-BE32-E72D297353CC}">
              <c16:uniqueId val="{00000003-E841-9A48-8CA2-FD1D6BF9B88F}"/>
            </c:ext>
          </c:extLst>
        </c:ser>
        <c:ser>
          <c:idx val="4"/>
          <c:order val="4"/>
          <c:tx>
            <c:strRef>
              <c:f>'grafD-drůbež'!$B$9</c:f>
              <c:strCache>
                <c:ptCount val="1"/>
                <c:pt idx="0">
                  <c:v>PVP na z.p. - krmné plodiny</c:v>
                </c:pt>
              </c:strCache>
            </c:strRef>
          </c:tx>
          <c:spPr>
            <a:solidFill>
              <a:schemeClr val="accent1">
                <a:lumMod val="75000"/>
              </a:schemeClr>
            </a:solidFill>
            <a:ln>
              <a:noFill/>
            </a:ln>
            <a:effectLst/>
          </c:spPr>
          <c:invertIfNegative val="0"/>
          <c:cat>
            <c:strRef>
              <c:f>'grafD-drůbež'!$C$3:$N$3</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'grafD-drůbež'!$C$9:$N$9</c:f>
              <c:numCache>
                <c:formatCode>#,##0.00</c:formatCode>
                <c:ptCount val="10"/>
                <c:pt idx="0">
                  <c:v>0</c:v>
                </c:pt>
                <c:pt idx="1">
                  <c:v>6.6001247798914437E-3</c:v>
                </c:pt>
                <c:pt idx="2">
                  <c:v>3.7893386825883042E-3</c:v>
                </c:pt>
                <c:pt idx="3">
                  <c:v>2.3482248994374936E-3</c:v>
                </c:pt>
                <c:pt idx="4">
                  <c:v>3.1121831753857486E-3</c:v>
                </c:pt>
                <c:pt idx="5">
                  <c:v>2.0161830649010762E-3</c:v>
                </c:pt>
                <c:pt idx="6">
                  <c:v>2.4044271202209931E-3</c:v>
                </c:pt>
                <c:pt idx="7">
                  <c:v>2.3096875063990481E-3</c:v>
                </c:pt>
                <c:pt idx="8">
                  <c:v>1.7438262729244443E-3</c:v>
                </c:pt>
                <c:pt idx="9">
                  <c:v>1.38159064784498E-3</c:v>
                </c:pt>
              </c:numCache>
              <c:extLst/>
            </c:numRef>
          </c:val>
          <c:extLst>
            <c:ext xmlns:c16="http://schemas.microsoft.com/office/drawing/2014/chart" uri="{C3380CC4-5D6E-409C-BE32-E72D297353CC}">
              <c16:uniqueId val="{00000004-E841-9A48-8CA2-FD1D6BF9B88F}"/>
            </c:ext>
          </c:extLst>
        </c:ser>
        <c:ser>
          <c:idx val="5"/>
          <c:order val="5"/>
          <c:tx>
            <c:strRef>
              <c:f>'grafD-drůbež'!$B$10</c:f>
              <c:strCache>
                <c:ptCount val="1"/>
                <c:pt idx="0">
                  <c:v>LFA platby (z.p.) od 2015</c:v>
                </c:pt>
              </c:strCache>
            </c:strRef>
          </c:tx>
          <c:spPr>
            <a:solidFill>
              <a:srgbClr val="00B0F0"/>
            </a:solidFill>
            <a:ln>
              <a:noFill/>
            </a:ln>
            <a:effectLst/>
          </c:spPr>
          <c:invertIfNegative val="0"/>
          <c:cat>
            <c:strRef>
              <c:f>'grafD-drůbež'!$C$3:$N$3</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'grafD-drůbež'!$C$10:$N$10</c:f>
              <c:numCache>
                <c:formatCode>#,##0.00</c:formatCode>
                <c:ptCount val="10"/>
                <c:pt idx="0">
                  <c:v>0</c:v>
                </c:pt>
                <c:pt idx="1">
                  <c:v>0</c:v>
                </c:pt>
                <c:pt idx="2">
                  <c:v>0</c:v>
                </c:pt>
                <c:pt idx="3">
                  <c:v>0</c:v>
                </c:pt>
                <c:pt idx="4">
                  <c:v>1.2196691262756352E-3</c:v>
                </c:pt>
                <c:pt idx="5">
                  <c:v>1.1147242060215578E-3</c:v>
                </c:pt>
                <c:pt idx="6">
                  <c:v>1.4123476082981048E-3</c:v>
                </c:pt>
                <c:pt idx="7">
                  <c:v>3.9916363152017569E-3</c:v>
                </c:pt>
                <c:pt idx="8">
                  <c:v>3.8972085784443841E-3</c:v>
                </c:pt>
                <c:pt idx="9">
                  <c:v>3.6649032056854732E-3</c:v>
                </c:pt>
              </c:numCache>
              <c:extLst/>
            </c:numRef>
          </c:val>
          <c:extLst>
            <c:ext xmlns:c16="http://schemas.microsoft.com/office/drawing/2014/chart" uri="{C3380CC4-5D6E-409C-BE32-E72D297353CC}">
              <c16:uniqueId val="{00000005-E841-9A48-8CA2-FD1D6BF9B88F}"/>
            </c:ext>
          </c:extLst>
        </c:ser>
        <c:ser>
          <c:idx val="6"/>
          <c:order val="6"/>
          <c:tx>
            <c:strRef>
              <c:f>'grafD-drůbež'!$B$11</c:f>
              <c:strCache>
                <c:ptCount val="1"/>
                <c:pt idx="0">
                  <c:v>Zelená nafta RV</c:v>
                </c:pt>
              </c:strCache>
            </c:strRef>
          </c:tx>
          <c:spPr>
            <a:solidFill>
              <a:srgbClr val="92D050"/>
            </a:solidFill>
            <a:ln>
              <a:noFill/>
            </a:ln>
            <a:effectLst/>
          </c:spPr>
          <c:invertIfNegative val="0"/>
          <c:cat>
            <c:strRef>
              <c:f>'grafD-drůbež'!$C$3:$N$3</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'grafD-drůbež'!$C$11:$N$11</c:f>
              <c:numCache>
                <c:formatCode>#,##0.00</c:formatCode>
                <c:ptCount val="10"/>
                <c:pt idx="0">
                  <c:v>8.5221092919423713E-3</c:v>
                </c:pt>
                <c:pt idx="1">
                  <c:v>9.5893580786874325E-3</c:v>
                </c:pt>
                <c:pt idx="2">
                  <c:v>7.4568276011335571E-3</c:v>
                </c:pt>
                <c:pt idx="3">
                  <c:v>4.8180888779431079E-3</c:v>
                </c:pt>
                <c:pt idx="4">
                  <c:v>7.9402436270457465E-3</c:v>
                </c:pt>
                <c:pt idx="5">
                  <c:v>6.0598385763986767E-3</c:v>
                </c:pt>
                <c:pt idx="6">
                  <c:v>6.4356450069591635E-3</c:v>
                </c:pt>
                <c:pt idx="7">
                  <c:v>7.7373809476420701E-3</c:v>
                </c:pt>
                <c:pt idx="8">
                  <c:v>7.0524915041063436E-3</c:v>
                </c:pt>
                <c:pt idx="9">
                  <c:v>6.4884167898046022E-3</c:v>
                </c:pt>
              </c:numCache>
              <c:extLst/>
            </c:numRef>
          </c:val>
          <c:extLst>
            <c:ext xmlns:c16="http://schemas.microsoft.com/office/drawing/2014/chart" uri="{C3380CC4-5D6E-409C-BE32-E72D297353CC}">
              <c16:uniqueId val="{00000006-E841-9A48-8CA2-FD1D6BF9B88F}"/>
            </c:ext>
          </c:extLst>
        </c:ser>
        <c:ser>
          <c:idx val="7"/>
          <c:order val="7"/>
          <c:tx>
            <c:strRef>
              <c:f>'grafD-drůbež'!$B$13</c:f>
              <c:strCache>
                <c:ptCount val="1"/>
                <c:pt idx="0">
                  <c:v>Kompenzace sucho (krmné plodiny)</c:v>
                </c:pt>
              </c:strCache>
            </c:strRef>
          </c:tx>
          <c:spPr>
            <a:solidFill>
              <a:schemeClr val="bg1">
                <a:lumMod val="95000"/>
              </a:schemeClr>
            </a:solidFill>
            <a:ln>
              <a:noFill/>
            </a:ln>
            <a:effectLst/>
          </c:spPr>
          <c:invertIfNegative val="0"/>
          <c:cat>
            <c:strRef>
              <c:f>'grafD-drůbež'!$C$3:$N$3</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'grafD-drůbež'!$C$13:$N$13</c:f>
              <c:numCache>
                <c:formatCode>#,##0.00</c:formatCode>
                <c:ptCount val="10"/>
                <c:pt idx="0">
                  <c:v>0</c:v>
                </c:pt>
                <c:pt idx="1">
                  <c:v>0</c:v>
                </c:pt>
                <c:pt idx="2">
                  <c:v>0</c:v>
                </c:pt>
                <c:pt idx="3">
                  <c:v>0</c:v>
                </c:pt>
                <c:pt idx="4">
                  <c:v>0</c:v>
                </c:pt>
                <c:pt idx="5">
                  <c:v>0</c:v>
                </c:pt>
                <c:pt idx="6">
                  <c:v>2.1596747082255483E-2</c:v>
                </c:pt>
                <c:pt idx="7">
                  <c:v>2.9714223171137522E-2</c:v>
                </c:pt>
                <c:pt idx="8">
                  <c:v>0</c:v>
                </c:pt>
                <c:pt idx="9">
                  <c:v>0</c:v>
                </c:pt>
              </c:numCache>
              <c:extLst/>
            </c:numRef>
          </c:val>
          <c:extLst>
            <c:ext xmlns:c16="http://schemas.microsoft.com/office/drawing/2014/chart" uri="{C3380CC4-5D6E-409C-BE32-E72D297353CC}">
              <c16:uniqueId val="{00000007-E841-9A48-8CA2-FD1D6BF9B88F}"/>
            </c:ext>
          </c:extLst>
        </c:ser>
        <c:dLbls>
          <c:showLegendKey val="0"/>
          <c:showVal val="0"/>
          <c:showCatName val="0"/>
          <c:showSerName val="0"/>
          <c:showPercent val="0"/>
          <c:showBubbleSize val="0"/>
        </c:dLbls>
        <c:gapWidth val="150"/>
        <c:overlap val="100"/>
        <c:axId val="499402616"/>
        <c:axId val="494258296"/>
      </c:barChart>
      <c:catAx>
        <c:axId val="4994026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94258296"/>
        <c:crosses val="autoZero"/>
        <c:auto val="1"/>
        <c:lblAlgn val="ctr"/>
        <c:lblOffset val="100"/>
        <c:noMultiLvlLbl val="0"/>
      </c:catAx>
      <c:valAx>
        <c:axId val="49425829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99402616"/>
        <c:crosses val="autoZero"/>
        <c:crossBetween val="between"/>
      </c:valAx>
      <c:spPr>
        <a:noFill/>
        <a:ln>
          <a:noFill/>
        </a:ln>
        <a:effectLst/>
      </c:spPr>
    </c:plotArea>
    <c:legend>
      <c:legendPos val="b"/>
      <c:layout>
        <c:manualLayout>
          <c:xMode val="edge"/>
          <c:yMode val="edge"/>
          <c:x val="5.3149596334908919E-4"/>
          <c:y val="0.87534513410783477"/>
          <c:w val="0.99946850403665088"/>
          <c:h val="0.1144863976584051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sz="1400" b="1" i="0" u="none" strike="noStrike" kern="1200" spc="0" baseline="0">
                <a:solidFill>
                  <a:schemeClr val="tx1">
                    <a:lumMod val="65000"/>
                    <a:lumOff val="35000"/>
                  </a:schemeClr>
                </a:solidFill>
                <a:latin typeface="+mn-lt"/>
                <a:ea typeface="+mn-ea"/>
                <a:cs typeface="+mn-cs"/>
              </a:defRPr>
            </a:pPr>
            <a:r>
              <a:rPr lang="cs-CZ" b="1"/>
              <a:t>Struktura podpor u</a:t>
            </a:r>
            <a:r>
              <a:rPr lang="cs-CZ" b="1" baseline="0"/>
              <a:t> nosnic (Kč/ks)</a:t>
            </a:r>
            <a:endParaRPr lang="cs-CZ" b="1"/>
          </a:p>
        </c:rich>
      </c:tx>
      <c:layout>
        <c:manualLayout>
          <c:xMode val="edge"/>
          <c:yMode val="edge"/>
          <c:x val="0.31092088714044236"/>
          <c:y val="1.5252612078199765E-2"/>
        </c:manualLayout>
      </c:layout>
      <c:overlay val="0"/>
      <c:spPr>
        <a:noFill/>
        <a:ln>
          <a:noFill/>
        </a:ln>
        <a:effectLst/>
      </c:spPr>
    </c:title>
    <c:autoTitleDeleted val="0"/>
    <c:plotArea>
      <c:layout>
        <c:manualLayout>
          <c:layoutTarget val="inner"/>
          <c:xMode val="edge"/>
          <c:yMode val="edge"/>
          <c:x val="0.10274217511562825"/>
          <c:y val="9.4286612743383874E-2"/>
          <c:w val="0.86877886628874113"/>
          <c:h val="0.68951504608435576"/>
        </c:manualLayout>
      </c:layout>
      <c:barChart>
        <c:barDir val="col"/>
        <c:grouping val="stacked"/>
        <c:varyColors val="0"/>
        <c:ser>
          <c:idx val="0"/>
          <c:order val="0"/>
          <c:tx>
            <c:strRef>
              <c:f>'grafD-vejce'!$C$3</c:f>
              <c:strCache>
                <c:ptCount val="1"/>
                <c:pt idx="0">
                  <c:v>Dotační titul 8. F.c. - Ozdravení chovu drůbeže</c:v>
                </c:pt>
              </c:strCache>
            </c:strRef>
          </c:tx>
          <c:invertIfNegative val="0"/>
          <c:cat>
            <c:strRef>
              <c:f>'grafD-vejce'!$D$2:$O$2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'grafD-vejce'!$D$3:$O$3</c:f>
              <c:numCache>
                <c:formatCode>0.00_ ;[Red]\-0.00\ </c:formatCode>
                <c:ptCount val="10"/>
                <c:pt idx="0">
                  <c:v>0</c:v>
                </c:pt>
                <c:pt idx="1">
                  <c:v>5.5613943530623535</c:v>
                </c:pt>
                <c:pt idx="2">
                  <c:v>6.6496812850131253</c:v>
                </c:pt>
                <c:pt idx="3">
                  <c:v>12.148378458297413</c:v>
                </c:pt>
                <c:pt idx="4">
                  <c:v>13.800085291921937</c:v>
                </c:pt>
                <c:pt idx="5">
                  <c:v>15.427458410572838</c:v>
                </c:pt>
                <c:pt idx="6">
                  <c:v>20.558837751951071</c:v>
                </c:pt>
                <c:pt idx="7">
                  <c:v>24.718791688837211</c:v>
                </c:pt>
                <c:pt idx="8">
                  <c:v>22.892249416380139</c:v>
                </c:pt>
                <c:pt idx="9">
                  <c:v>11.177705638411123</c:v>
                </c:pt>
              </c:numCache>
              <c:extLst/>
            </c:numRef>
          </c:val>
          <c:extLst>
            <c:ext xmlns:c16="http://schemas.microsoft.com/office/drawing/2014/chart" uri="{C3380CC4-5D6E-409C-BE32-E72D297353CC}">
              <c16:uniqueId val="{00000000-5B84-D547-89B7-B60C5588FB94}"/>
            </c:ext>
          </c:extLst>
        </c:ser>
        <c:ser>
          <c:idx val="8"/>
          <c:order val="1"/>
          <c:tx>
            <c:strRef>
              <c:f>'grafD-vejce'!$C$4</c:f>
              <c:strCache>
                <c:ptCount val="1"/>
                <c:pt idx="0">
                  <c:v>DT 20.B. Zlepšení životních podmínek v chovu  hosp.zvířat</c:v>
                </c:pt>
              </c:strCache>
            </c:strRef>
          </c:tx>
          <c:spPr>
            <a:solidFill>
              <a:sysClr val="windowText" lastClr="000000">
                <a:lumMod val="65000"/>
                <a:lumOff val="35000"/>
              </a:sysClr>
            </a:solidFill>
          </c:spPr>
          <c:invertIfNegative val="0"/>
          <c:cat>
            <c:strRef>
              <c:f>'grafD-vejce'!$D$2:$O$2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'grafD-vejce'!$D$4:$O$4</c:f>
              <c:numCache>
                <c:formatCode>0.00_ ;[Red]\-0.00\ </c:formatCode>
                <c:ptCount val="10"/>
                <c:pt idx="0">
                  <c:v>0</c:v>
                </c:pt>
                <c:pt idx="1">
                  <c:v>0</c:v>
                </c:pt>
                <c:pt idx="2">
                  <c:v>0</c:v>
                </c:pt>
                <c:pt idx="3">
                  <c:v>0</c:v>
                </c:pt>
                <c:pt idx="4">
                  <c:v>0</c:v>
                </c:pt>
                <c:pt idx="5">
                  <c:v>0</c:v>
                </c:pt>
                <c:pt idx="6">
                  <c:v>6.3358519335339656</c:v>
                </c:pt>
                <c:pt idx="7">
                  <c:v>12.615650319453145</c:v>
                </c:pt>
                <c:pt idx="8">
                  <c:v>13.149430640398894</c:v>
                </c:pt>
                <c:pt idx="9">
                  <c:v>13.665057615137199</c:v>
                </c:pt>
              </c:numCache>
              <c:extLst/>
            </c:numRef>
          </c:val>
          <c:extLst>
            <c:ext xmlns:c16="http://schemas.microsoft.com/office/drawing/2014/chart" uri="{C3380CC4-5D6E-409C-BE32-E72D297353CC}">
              <c16:uniqueId val="{00000001-5B84-D547-89B7-B60C5588FB94}"/>
            </c:ext>
          </c:extLst>
        </c:ser>
        <c:ser>
          <c:idx val="1"/>
          <c:order val="2"/>
          <c:tx>
            <c:strRef>
              <c:f>'grafD-vejce'!$C$5</c:f>
              <c:strCache>
                <c:ptCount val="1"/>
                <c:pt idx="0">
                  <c:v>Zelená nafta ŽV</c:v>
                </c:pt>
              </c:strCache>
            </c:strRef>
          </c:tx>
          <c:invertIfNegative val="0"/>
          <c:cat>
            <c:strRef>
              <c:f>'grafD-vejce'!$D$2:$O$2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'grafD-vejce'!$D$5:$O$5</c:f>
              <c:numCache>
                <c:formatCode>0.00_ ;[Red]\-0.00\ </c:formatCode>
                <c:ptCount val="10"/>
                <c:pt idx="0">
                  <c:v>0</c:v>
                </c:pt>
                <c:pt idx="1">
                  <c:v>0</c:v>
                </c:pt>
                <c:pt idx="2">
                  <c:v>0</c:v>
                </c:pt>
                <c:pt idx="3">
                  <c:v>0</c:v>
                </c:pt>
                <c:pt idx="4">
                  <c:v>0</c:v>
                </c:pt>
                <c:pt idx="5">
                  <c:v>0.34071647210039552</c:v>
                </c:pt>
                <c:pt idx="6">
                  <c:v>0.29965636990288841</c:v>
                </c:pt>
                <c:pt idx="7">
                  <c:v>0.61202126885887953</c:v>
                </c:pt>
                <c:pt idx="8">
                  <c:v>0.67589756864058437</c:v>
                </c:pt>
                <c:pt idx="9">
                  <c:v>0.71464287812064531</c:v>
                </c:pt>
              </c:numCache>
              <c:extLst/>
            </c:numRef>
          </c:val>
          <c:extLst>
            <c:ext xmlns:c16="http://schemas.microsoft.com/office/drawing/2014/chart" uri="{C3380CC4-5D6E-409C-BE32-E72D297353CC}">
              <c16:uniqueId val="{00000002-5B84-D547-89B7-B60C5588FB94}"/>
            </c:ext>
          </c:extLst>
        </c:ser>
        <c:ser>
          <c:idx val="2"/>
          <c:order val="3"/>
          <c:tx>
            <c:strRef>
              <c:f>'grafD-vejce'!$C$6</c:f>
              <c:strCache>
                <c:ptCount val="1"/>
                <c:pt idx="0">
                  <c:v>  Podpora pojištění ŽV</c:v>
                </c:pt>
              </c:strCache>
            </c:strRef>
          </c:tx>
          <c:invertIfNegative val="0"/>
          <c:cat>
            <c:strRef>
              <c:f>'grafD-vejce'!$D$2:$O$2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'grafD-vejce'!$D$6:$O$6</c:f>
              <c:numCache>
                <c:formatCode>0.00_ ;[Red]\-0.00\ </c:formatCode>
                <c:ptCount val="10"/>
                <c:pt idx="0">
                  <c:v>0.13579517767243299</c:v>
                </c:pt>
                <c:pt idx="1">
                  <c:v>0.10974187453441782</c:v>
                </c:pt>
                <c:pt idx="2">
                  <c:v>0.13476084424583301</c:v>
                </c:pt>
                <c:pt idx="3">
                  <c:v>0.1369981300488943</c:v>
                </c:pt>
                <c:pt idx="4">
                  <c:v>0.15524595559485349</c:v>
                </c:pt>
                <c:pt idx="5">
                  <c:v>0.15177509442812639</c:v>
                </c:pt>
                <c:pt idx="6">
                  <c:v>0.14881242241420053</c:v>
                </c:pt>
                <c:pt idx="7">
                  <c:v>0.14989218246224784</c:v>
                </c:pt>
                <c:pt idx="8">
                  <c:v>0.14313765926139296</c:v>
                </c:pt>
                <c:pt idx="9">
                  <c:v>0.14313765926139296</c:v>
                </c:pt>
              </c:numCache>
              <c:extLst/>
            </c:numRef>
          </c:val>
          <c:extLst>
            <c:ext xmlns:c16="http://schemas.microsoft.com/office/drawing/2014/chart" uri="{C3380CC4-5D6E-409C-BE32-E72D297353CC}">
              <c16:uniqueId val="{00000003-5B84-D547-89B7-B60C5588FB94}"/>
            </c:ext>
          </c:extLst>
        </c:ser>
        <c:ser>
          <c:idx val="3"/>
          <c:order val="4"/>
          <c:tx>
            <c:strRef>
              <c:f>'grafD-vejce'!$C$7</c:f>
              <c:strCache>
                <c:ptCount val="1"/>
                <c:pt idx="0">
                  <c:v>SAPS (+ greening) vázající se na krmné plodiny</c:v>
                </c:pt>
              </c:strCache>
            </c:strRef>
          </c:tx>
          <c:spPr>
            <a:solidFill>
              <a:srgbClr val="FFC000"/>
            </a:solidFill>
          </c:spPr>
          <c:invertIfNegative val="0"/>
          <c:cat>
            <c:strRef>
              <c:f>'grafD-vejce'!$D$2:$O$2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'grafD-vejce'!$D$7:$O$7</c:f>
              <c:numCache>
                <c:formatCode>0.00_ ;[Red]\-0.00\ </c:formatCode>
                <c:ptCount val="10"/>
                <c:pt idx="0">
                  <c:v>2.1755426025955349</c:v>
                </c:pt>
                <c:pt idx="1">
                  <c:v>3.0996936247499312</c:v>
                </c:pt>
                <c:pt idx="2">
                  <c:v>3.0969740337375162</c:v>
                </c:pt>
                <c:pt idx="3">
                  <c:v>5.7163527636464631</c:v>
                </c:pt>
                <c:pt idx="4">
                  <c:v>2.6659294587721227</c:v>
                </c:pt>
                <c:pt idx="5">
                  <c:v>2.3465988012992476</c:v>
                </c:pt>
                <c:pt idx="6">
                  <c:v>2.6009514998815422</c:v>
                </c:pt>
                <c:pt idx="7">
                  <c:v>2.9255635344218165</c:v>
                </c:pt>
                <c:pt idx="8">
                  <c:v>2.6811620328818098</c:v>
                </c:pt>
                <c:pt idx="9">
                  <c:v>2.6712264904393193</c:v>
                </c:pt>
              </c:numCache>
              <c:extLst/>
            </c:numRef>
          </c:val>
          <c:extLst>
            <c:ext xmlns:c16="http://schemas.microsoft.com/office/drawing/2014/chart" uri="{C3380CC4-5D6E-409C-BE32-E72D297353CC}">
              <c16:uniqueId val="{00000004-5B84-D547-89B7-B60C5588FB94}"/>
            </c:ext>
          </c:extLst>
        </c:ser>
        <c:ser>
          <c:idx val="4"/>
          <c:order val="5"/>
          <c:tx>
            <c:strRef>
              <c:f>'grafD-vejce'!$C$8</c:f>
              <c:strCache>
                <c:ptCount val="1"/>
                <c:pt idx="0">
                  <c:v>PVP na z.p. - krmné plodiny</c:v>
                </c:pt>
              </c:strCache>
            </c:strRef>
          </c:tx>
          <c:spPr>
            <a:solidFill>
              <a:srgbClr val="00B0F0"/>
            </a:solidFill>
          </c:spPr>
          <c:invertIfNegative val="0"/>
          <c:cat>
            <c:strRef>
              <c:f>'grafD-vejce'!$D$2:$O$2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'grafD-vejce'!$D$8:$O$8</c:f>
              <c:numCache>
                <c:formatCode>0.00_ ;[Red]\-0.00\ </c:formatCode>
                <c:ptCount val="10"/>
                <c:pt idx="0">
                  <c:v>0</c:v>
                </c:pt>
                <c:pt idx="1">
                  <c:v>0.28275433668272765</c:v>
                </c:pt>
                <c:pt idx="2">
                  <c:v>0.12644313713230149</c:v>
                </c:pt>
                <c:pt idx="3">
                  <c:v>0.1763928084199563</c:v>
                </c:pt>
                <c:pt idx="4">
                  <c:v>9.3359246162160153E-2</c:v>
                </c:pt>
                <c:pt idx="5">
                  <c:v>7.6878156272711731E-2</c:v>
                </c:pt>
                <c:pt idx="6">
                  <c:v>7.9180881645116413E-2</c:v>
                </c:pt>
                <c:pt idx="7">
                  <c:v>7.8662790868809174E-2</c:v>
                </c:pt>
                <c:pt idx="8">
                  <c:v>6.5962231351871459E-2</c:v>
                </c:pt>
                <c:pt idx="9">
                  <c:v>5.5730125318621676E-2</c:v>
                </c:pt>
              </c:numCache>
              <c:extLst/>
            </c:numRef>
          </c:val>
          <c:extLst>
            <c:ext xmlns:c16="http://schemas.microsoft.com/office/drawing/2014/chart" uri="{C3380CC4-5D6E-409C-BE32-E72D297353CC}">
              <c16:uniqueId val="{00000005-5B84-D547-89B7-B60C5588FB94}"/>
            </c:ext>
          </c:extLst>
        </c:ser>
        <c:ser>
          <c:idx val="5"/>
          <c:order val="6"/>
          <c:tx>
            <c:strRef>
              <c:f>'grafD-vejce'!$C$9</c:f>
              <c:strCache>
                <c:ptCount val="1"/>
                <c:pt idx="0">
                  <c:v>LFA platby (z.p.) od 2015</c:v>
                </c:pt>
              </c:strCache>
            </c:strRef>
          </c:tx>
          <c:invertIfNegative val="0"/>
          <c:cat>
            <c:strRef>
              <c:f>'grafD-vejce'!$D$2:$O$2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'grafD-vejce'!$D$9:$O$9</c:f>
              <c:numCache>
                <c:formatCode>0.00_ ;[Red]\-0.00\ </c:formatCode>
                <c:ptCount val="10"/>
                <c:pt idx="0">
                  <c:v>0</c:v>
                </c:pt>
                <c:pt idx="1">
                  <c:v>0</c:v>
                </c:pt>
                <c:pt idx="2">
                  <c:v>0</c:v>
                </c:pt>
                <c:pt idx="3">
                  <c:v>0</c:v>
                </c:pt>
                <c:pt idx="4">
                  <c:v>0.10194200547937571</c:v>
                </c:pt>
                <c:pt idx="5">
                  <c:v>9.812075324366315E-2</c:v>
                </c:pt>
                <c:pt idx="6">
                  <c:v>0.11117929264926947</c:v>
                </c:pt>
                <c:pt idx="7">
                  <c:v>0.35844767452071069</c:v>
                </c:pt>
                <c:pt idx="8">
                  <c:v>0.34996809372272325</c:v>
                </c:pt>
                <c:pt idx="9">
                  <c:v>0.32910714496169124</c:v>
                </c:pt>
              </c:numCache>
              <c:extLst/>
            </c:numRef>
          </c:val>
          <c:extLst>
            <c:ext xmlns:c16="http://schemas.microsoft.com/office/drawing/2014/chart" uri="{C3380CC4-5D6E-409C-BE32-E72D297353CC}">
              <c16:uniqueId val="{00000006-5B84-D547-89B7-B60C5588FB94}"/>
            </c:ext>
          </c:extLst>
        </c:ser>
        <c:ser>
          <c:idx val="6"/>
          <c:order val="7"/>
          <c:tx>
            <c:strRef>
              <c:f>'grafD-vejce'!$C$10</c:f>
              <c:strCache>
                <c:ptCount val="1"/>
                <c:pt idx="0">
                  <c:v> Zelená nafta RV</c:v>
                </c:pt>
              </c:strCache>
            </c:strRef>
          </c:tx>
          <c:spPr>
            <a:solidFill>
              <a:srgbClr val="4472C4">
                <a:lumMod val="75000"/>
              </a:srgbClr>
            </a:solidFill>
          </c:spPr>
          <c:invertIfNegative val="0"/>
          <c:cat>
            <c:strRef>
              <c:f>'grafD-vejce'!$D$2:$O$2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'grafD-vejce'!$D$10:$O$10</c:f>
              <c:numCache>
                <c:formatCode>0.00_ ;[Red]\-0.00\ </c:formatCode>
                <c:ptCount val="10"/>
                <c:pt idx="0">
                  <c:v>0.29188988221962431</c:v>
                </c:pt>
                <c:pt idx="1">
                  <c:v>0.37827925559756648</c:v>
                </c:pt>
                <c:pt idx="2">
                  <c:v>0.22162928368127102</c:v>
                </c:pt>
                <c:pt idx="3">
                  <c:v>0.32242824685863625</c:v>
                </c:pt>
                <c:pt idx="4">
                  <c:v>0.21243918533355988</c:v>
                </c:pt>
                <c:pt idx="5">
                  <c:v>0.19190479701480198</c:v>
                </c:pt>
                <c:pt idx="6">
                  <c:v>0.18881057245337463</c:v>
                </c:pt>
                <c:pt idx="7">
                  <c:v>0.23479108996159923</c:v>
                </c:pt>
                <c:pt idx="8">
                  <c:v>0.23768005792981159</c:v>
                </c:pt>
                <c:pt idx="9">
                  <c:v>0.23347613813566492</c:v>
                </c:pt>
              </c:numCache>
              <c:extLst/>
            </c:numRef>
          </c:val>
          <c:extLst>
            <c:ext xmlns:c16="http://schemas.microsoft.com/office/drawing/2014/chart" uri="{C3380CC4-5D6E-409C-BE32-E72D297353CC}">
              <c16:uniqueId val="{00000007-5B84-D547-89B7-B60C5588FB94}"/>
            </c:ext>
          </c:extLst>
        </c:ser>
        <c:ser>
          <c:idx val="7"/>
          <c:order val="8"/>
          <c:tx>
            <c:strRef>
              <c:f>'grafD-vejce'!$C$11</c:f>
              <c:strCache>
                <c:ptCount val="1"/>
                <c:pt idx="0">
                  <c:v> Podpora pojištění RV (krmné plodiny)</c:v>
                </c:pt>
              </c:strCache>
            </c:strRef>
          </c:tx>
          <c:invertIfNegative val="0"/>
          <c:cat>
            <c:strRef>
              <c:f>'grafD-vejce'!$D$2:$O$2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'grafD-vejce'!$D$11:$O$11</c:f>
              <c:numCache>
                <c:formatCode>0.00_ ;[Red]\-0.00\ </c:formatCode>
                <c:ptCount val="10"/>
                <c:pt idx="0">
                  <c:v>6.0806968475190987E-2</c:v>
                </c:pt>
                <c:pt idx="1">
                  <c:v>2.7673407589221349E-2</c:v>
                </c:pt>
                <c:pt idx="2">
                  <c:v>2.5342182877800365E-2</c:v>
                </c:pt>
                <c:pt idx="3">
                  <c:v>4.6492136311644588E-2</c:v>
                </c:pt>
                <c:pt idx="4">
                  <c:v>6.2412472058777736E-2</c:v>
                </c:pt>
                <c:pt idx="5">
                  <c:v>4.0783982756751019E-2</c:v>
                </c:pt>
                <c:pt idx="6">
                  <c:v>5.3359275016522406E-2</c:v>
                </c:pt>
                <c:pt idx="7">
                  <c:v>6.1343796046273352E-2</c:v>
                </c:pt>
                <c:pt idx="8">
                  <c:v>5.7700738245366569E-2</c:v>
                </c:pt>
                <c:pt idx="9">
                  <c:v>6.077723133706163E-2</c:v>
                </c:pt>
              </c:numCache>
              <c:extLst/>
            </c:numRef>
          </c:val>
          <c:extLst>
            <c:ext xmlns:c16="http://schemas.microsoft.com/office/drawing/2014/chart" uri="{C3380CC4-5D6E-409C-BE32-E72D297353CC}">
              <c16:uniqueId val="{00000008-5B84-D547-89B7-B60C5588FB94}"/>
            </c:ext>
          </c:extLst>
        </c:ser>
        <c:ser>
          <c:idx val="9"/>
          <c:order val="9"/>
          <c:tx>
            <c:strRef>
              <c:f>'grafD-vejce'!$C$12</c:f>
              <c:strCache>
                <c:ptCount val="1"/>
                <c:pt idx="0">
                  <c:v>Kompenzace sucha</c:v>
                </c:pt>
              </c:strCache>
            </c:strRef>
          </c:tx>
          <c:spPr>
            <a:solidFill>
              <a:srgbClr val="70AD47">
                <a:lumMod val="20000"/>
                <a:lumOff val="80000"/>
              </a:srgbClr>
            </a:solidFill>
          </c:spPr>
          <c:invertIfNegative val="0"/>
          <c:cat>
            <c:strRef>
              <c:f>'grafD-vejce'!$D$2:$O$2</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'grafD-vejce'!$D$12:$O$12</c:f>
              <c:numCache>
                <c:formatCode>0.00_ ;[Red]\-0.00\ </c:formatCode>
                <c:ptCount val="10"/>
                <c:pt idx="0">
                  <c:v>0</c:v>
                </c:pt>
                <c:pt idx="1">
                  <c:v>0</c:v>
                </c:pt>
                <c:pt idx="2">
                  <c:v>0</c:v>
                </c:pt>
                <c:pt idx="3">
                  <c:v>0</c:v>
                </c:pt>
                <c:pt idx="4">
                  <c:v>0</c:v>
                </c:pt>
                <c:pt idx="5">
                  <c:v>0</c:v>
                </c:pt>
                <c:pt idx="6">
                  <c:v>0.40328012233701799</c:v>
                </c:pt>
                <c:pt idx="7">
                  <c:v>0.38079670839230589</c:v>
                </c:pt>
                <c:pt idx="8">
                  <c:v>0</c:v>
                </c:pt>
                <c:pt idx="9">
                  <c:v>0</c:v>
                </c:pt>
              </c:numCache>
              <c:extLst/>
            </c:numRef>
          </c:val>
          <c:extLst>
            <c:ext xmlns:c16="http://schemas.microsoft.com/office/drawing/2014/chart" uri="{C3380CC4-5D6E-409C-BE32-E72D297353CC}">
              <c16:uniqueId val="{00000009-5B84-D547-89B7-B60C5588FB94}"/>
            </c:ext>
          </c:extLst>
        </c:ser>
        <c:dLbls>
          <c:showLegendKey val="0"/>
          <c:showVal val="0"/>
          <c:showCatName val="0"/>
          <c:showSerName val="0"/>
          <c:showPercent val="0"/>
          <c:showBubbleSize val="0"/>
        </c:dLbls>
        <c:gapWidth val="150"/>
        <c:overlap val="100"/>
        <c:axId val="207047680"/>
        <c:axId val="207061760"/>
      </c:barChart>
      <c:catAx>
        <c:axId val="2070476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207061760"/>
        <c:crosses val="autoZero"/>
        <c:auto val="1"/>
        <c:lblAlgn val="ctr"/>
        <c:lblOffset val="100"/>
        <c:noMultiLvlLbl val="0"/>
      </c:catAx>
      <c:valAx>
        <c:axId val="207061760"/>
        <c:scaling>
          <c:orientation val="minMax"/>
        </c:scaling>
        <c:delete val="0"/>
        <c:axPos val="l"/>
        <c:majorGridlines>
          <c:spPr>
            <a:ln w="9525" cap="flat" cmpd="sng" algn="ctr">
              <a:solidFill>
                <a:schemeClr val="tx1">
                  <a:lumMod val="15000"/>
                  <a:lumOff val="85000"/>
                </a:schemeClr>
              </a:solidFill>
              <a:round/>
            </a:ln>
            <a:effectLst/>
          </c:spPr>
        </c:majorGridlines>
        <c:numFmt formatCode="0.0_ ;[Red]\-0.0\ "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207047680"/>
        <c:crosses val="autoZero"/>
        <c:crossBetween val="between"/>
      </c:valAx>
      <c:spPr>
        <a:noFill/>
        <a:ln>
          <a:noFill/>
        </a:ln>
        <a:effectLst/>
      </c:spPr>
    </c:plotArea>
    <c:legend>
      <c:legendPos val="b"/>
      <c:layout>
        <c:manualLayout>
          <c:xMode val="edge"/>
          <c:yMode val="edge"/>
          <c:x val="1.8364108980759429E-2"/>
          <c:y val="0.83192791308063241"/>
          <c:w val="0.97764571563386038"/>
          <c:h val="0.1589004226942562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sz="1800" b="1" i="0" baseline="0">
                <a:effectLst/>
              </a:rPr>
              <a:t>Struktura podpor u ovcí (Kč/ks)</a:t>
            </a:r>
            <a:endParaRPr lang="cs-CZ">
              <a:effectLst/>
            </a:endParaRPr>
          </a:p>
        </c:rich>
      </c:tx>
      <c:overlay val="1"/>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manualLayout>
          <c:layoutTarget val="inner"/>
          <c:xMode val="edge"/>
          <c:yMode val="edge"/>
          <c:x val="9.1349047055392582E-2"/>
          <c:y val="7.1087369203702178E-2"/>
          <c:w val="0.88468581133240698"/>
          <c:h val="0.6838347534864232"/>
        </c:manualLayout>
      </c:layout>
      <c:barChart>
        <c:barDir val="col"/>
        <c:grouping val="stacked"/>
        <c:varyColors val="0"/>
        <c:ser>
          <c:idx val="0"/>
          <c:order val="0"/>
          <c:tx>
            <c:strRef>
              <c:f>'graf ovce kozy'!$P$29</c:f>
              <c:strCache>
                <c:ptCount val="1"/>
                <c:pt idx="0">
                  <c:v>Přímá platba VCS (do 2015 PP dle č. 68)</c:v>
                </c:pt>
              </c:strCache>
            </c:strRef>
          </c:tx>
          <c:spPr>
            <a:solidFill>
              <a:schemeClr val="accent1"/>
            </a:solidFill>
            <a:ln>
              <a:noFill/>
            </a:ln>
            <a:effectLst/>
          </c:spPr>
          <c:invertIfNegative val="0"/>
          <c:cat>
            <c:strRef>
              <c:f>'graf ovce kozy'!$Q$28:$AB$28</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 ovce kozy'!$Q$29:$AB$29</c:f>
              <c:numCache>
                <c:formatCode>#\ ##0.0</c:formatCode>
                <c:ptCount val="10"/>
                <c:pt idx="0">
                  <c:v>0</c:v>
                </c:pt>
                <c:pt idx="1">
                  <c:v>283.02</c:v>
                </c:pt>
                <c:pt idx="2">
                  <c:v>279.19499999999999</c:v>
                </c:pt>
                <c:pt idx="3">
                  <c:v>525.76649999999995</c:v>
                </c:pt>
                <c:pt idx="4">
                  <c:v>550.54499999999996</c:v>
                </c:pt>
                <c:pt idx="5">
                  <c:v>528.73349999999994</c:v>
                </c:pt>
                <c:pt idx="6">
                  <c:v>510.43049999999994</c:v>
                </c:pt>
                <c:pt idx="7">
                  <c:v>532.76700000000005</c:v>
                </c:pt>
                <c:pt idx="8">
                  <c:v>579.79049999999995</c:v>
                </c:pt>
                <c:pt idx="9">
                  <c:v>670.755</c:v>
                </c:pt>
              </c:numCache>
              <c:extLst/>
            </c:numRef>
          </c:val>
          <c:extLst>
            <c:ext xmlns:c16="http://schemas.microsoft.com/office/drawing/2014/chart" uri="{C3380CC4-5D6E-409C-BE32-E72D297353CC}">
              <c16:uniqueId val="{00000000-67B8-F945-94C2-17602737B1DE}"/>
            </c:ext>
          </c:extLst>
        </c:ser>
        <c:ser>
          <c:idx val="1"/>
          <c:order val="1"/>
          <c:tx>
            <c:strRef>
              <c:f>'graf ovce kozy'!$P$30</c:f>
              <c:strCache>
                <c:ptCount val="1"/>
                <c:pt idx="0">
                  <c:v>PVP - přežvýkavci (do 2015 Top Up)</c:v>
                </c:pt>
              </c:strCache>
            </c:strRef>
          </c:tx>
          <c:spPr>
            <a:solidFill>
              <a:schemeClr val="accent2"/>
            </a:solidFill>
            <a:ln>
              <a:noFill/>
            </a:ln>
            <a:effectLst/>
          </c:spPr>
          <c:invertIfNegative val="0"/>
          <c:cat>
            <c:strRef>
              <c:f>'graf ovce kozy'!$Q$28:$AB$28</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 ovce kozy'!$Q$30:$AB$30</c:f>
              <c:numCache>
                <c:formatCode>#\ ##0.0</c:formatCode>
                <c:ptCount val="10"/>
                <c:pt idx="0">
                  <c:v>136.61999999999998</c:v>
                </c:pt>
                <c:pt idx="1">
                  <c:v>75.683999999999997</c:v>
                </c:pt>
                <c:pt idx="2">
                  <c:v>19.412999999999997</c:v>
                </c:pt>
                <c:pt idx="3">
                  <c:v>14.495999999999999</c:v>
                </c:pt>
                <c:pt idx="4">
                  <c:v>15.244499999999999</c:v>
                </c:pt>
                <c:pt idx="5">
                  <c:v>14.31</c:v>
                </c:pt>
                <c:pt idx="6">
                  <c:v>12.8475</c:v>
                </c:pt>
                <c:pt idx="7">
                  <c:v>11.467499999999999</c:v>
                </c:pt>
                <c:pt idx="8">
                  <c:v>10.528499999999999</c:v>
                </c:pt>
                <c:pt idx="9">
                  <c:v>9.6359999999999992</c:v>
                </c:pt>
              </c:numCache>
              <c:extLst/>
            </c:numRef>
          </c:val>
          <c:extLst>
            <c:ext xmlns:c16="http://schemas.microsoft.com/office/drawing/2014/chart" uri="{C3380CC4-5D6E-409C-BE32-E72D297353CC}">
              <c16:uniqueId val="{00000001-67B8-F945-94C2-17602737B1DE}"/>
            </c:ext>
          </c:extLst>
        </c:ser>
        <c:ser>
          <c:idx val="2"/>
          <c:order val="2"/>
          <c:tx>
            <c:strRef>
              <c:f>'graf ovce kozy'!$P$31</c:f>
              <c:strCache>
                <c:ptCount val="1"/>
                <c:pt idx="0">
                  <c:v>PVP ovce, kozy (do 2015 Top-Up)</c:v>
                </c:pt>
              </c:strCache>
            </c:strRef>
          </c:tx>
          <c:spPr>
            <a:solidFill>
              <a:schemeClr val="accent3"/>
            </a:solidFill>
            <a:ln>
              <a:noFill/>
            </a:ln>
            <a:effectLst/>
          </c:spPr>
          <c:invertIfNegative val="0"/>
          <c:cat>
            <c:strRef>
              <c:f>'graf ovce kozy'!$Q$28:$AB$28</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 ovce kozy'!$Q$31:$AB$31</c:f>
              <c:numCache>
                <c:formatCode>#\ ##0.0</c:formatCode>
                <c:ptCount val="10"/>
                <c:pt idx="0">
                  <c:v>97.61999999999999</c:v>
                </c:pt>
                <c:pt idx="1">
                  <c:v>55.645500000000006</c:v>
                </c:pt>
                <c:pt idx="2">
                  <c:v>14.1645</c:v>
                </c:pt>
                <c:pt idx="3">
                  <c:v>9.1724999999999994</c:v>
                </c:pt>
                <c:pt idx="4">
                  <c:v>9.1754999999999995</c:v>
                </c:pt>
                <c:pt idx="5">
                  <c:v>8.6204999999999998</c:v>
                </c:pt>
                <c:pt idx="6">
                  <c:v>7.5644999999999998</c:v>
                </c:pt>
                <c:pt idx="7">
                  <c:v>6.4485000000000001</c:v>
                </c:pt>
                <c:pt idx="8">
                  <c:v>6.4695</c:v>
                </c:pt>
                <c:pt idx="9">
                  <c:v>6.4545000000000003</c:v>
                </c:pt>
              </c:numCache>
              <c:extLst/>
            </c:numRef>
          </c:val>
          <c:extLst>
            <c:ext xmlns:c16="http://schemas.microsoft.com/office/drawing/2014/chart" uri="{C3380CC4-5D6E-409C-BE32-E72D297353CC}">
              <c16:uniqueId val="{00000002-67B8-F945-94C2-17602737B1DE}"/>
            </c:ext>
          </c:extLst>
        </c:ser>
        <c:ser>
          <c:idx val="3"/>
          <c:order val="3"/>
          <c:tx>
            <c:strRef>
              <c:f>'graf ovce kozy'!$P$32</c:f>
              <c:strCache>
                <c:ptCount val="1"/>
                <c:pt idx="0">
                  <c:v>Zelená nafta ŽV</c:v>
                </c:pt>
              </c:strCache>
            </c:strRef>
          </c:tx>
          <c:spPr>
            <a:solidFill>
              <a:schemeClr val="accent4"/>
            </a:solidFill>
            <a:ln>
              <a:noFill/>
            </a:ln>
            <a:effectLst/>
          </c:spPr>
          <c:invertIfNegative val="0"/>
          <c:cat>
            <c:strRef>
              <c:f>'graf ovce kozy'!$Q$28:$AB$28</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 ovce kozy'!$Q$32:$AB$32</c:f>
              <c:numCache>
                <c:formatCode>#\ ##0.0</c:formatCode>
                <c:ptCount val="10"/>
                <c:pt idx="0">
                  <c:v>0</c:v>
                </c:pt>
                <c:pt idx="1">
                  <c:v>0</c:v>
                </c:pt>
                <c:pt idx="2">
                  <c:v>0</c:v>
                </c:pt>
                <c:pt idx="3">
                  <c:v>0</c:v>
                </c:pt>
                <c:pt idx="4">
                  <c:v>0</c:v>
                </c:pt>
                <c:pt idx="5">
                  <c:v>18.372307412550821</c:v>
                </c:pt>
                <c:pt idx="6">
                  <c:v>15.663307853548083</c:v>
                </c:pt>
                <c:pt idx="7">
                  <c:v>31.990901945993802</c:v>
                </c:pt>
                <c:pt idx="8">
                  <c:v>34.936538209183951</c:v>
                </c:pt>
                <c:pt idx="9">
                  <c:v>34.936538209183951</c:v>
                </c:pt>
              </c:numCache>
              <c:extLst/>
            </c:numRef>
          </c:val>
          <c:extLst>
            <c:ext xmlns:c16="http://schemas.microsoft.com/office/drawing/2014/chart" uri="{C3380CC4-5D6E-409C-BE32-E72D297353CC}">
              <c16:uniqueId val="{00000003-67B8-F945-94C2-17602737B1DE}"/>
            </c:ext>
          </c:extLst>
        </c:ser>
        <c:ser>
          <c:idx val="4"/>
          <c:order val="4"/>
          <c:tx>
            <c:strRef>
              <c:f>'graf ovce kozy'!$P$33</c:f>
              <c:strCache>
                <c:ptCount val="1"/>
                <c:pt idx="0">
                  <c:v>Podpora pojištění ŽV</c:v>
                </c:pt>
              </c:strCache>
            </c:strRef>
          </c:tx>
          <c:spPr>
            <a:solidFill>
              <a:schemeClr val="accent5"/>
            </a:solidFill>
            <a:ln>
              <a:noFill/>
            </a:ln>
            <a:effectLst/>
          </c:spPr>
          <c:invertIfNegative val="0"/>
          <c:cat>
            <c:strRef>
              <c:f>'graf ovce kozy'!$Q$28:$AB$28</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 ovce kozy'!$Q$33:$AB$33</c:f>
              <c:numCache>
                <c:formatCode>#\ ##0.0</c:formatCode>
                <c:ptCount val="10"/>
                <c:pt idx="0">
                  <c:v>7.9879516277901761</c:v>
                </c:pt>
                <c:pt idx="1">
                  <c:v>6.4554043843775197</c:v>
                </c:pt>
                <c:pt idx="2">
                  <c:v>7.9271084850490015</c:v>
                </c:pt>
                <c:pt idx="3">
                  <c:v>8.0587135322879018</c:v>
                </c:pt>
                <c:pt idx="4">
                  <c:v>9.1321150349913829</c:v>
                </c:pt>
                <c:pt idx="5">
                  <c:v>8.9279467310662604</c:v>
                </c:pt>
                <c:pt idx="6">
                  <c:v>8.7536719067176794</c:v>
                </c:pt>
                <c:pt idx="7">
                  <c:v>8.8171872036616374</c:v>
                </c:pt>
                <c:pt idx="8">
                  <c:v>8.4198623094937037</c:v>
                </c:pt>
                <c:pt idx="9">
                  <c:v>8.4906595120862303</c:v>
                </c:pt>
              </c:numCache>
              <c:extLst/>
            </c:numRef>
          </c:val>
          <c:extLst>
            <c:ext xmlns:c16="http://schemas.microsoft.com/office/drawing/2014/chart" uri="{C3380CC4-5D6E-409C-BE32-E72D297353CC}">
              <c16:uniqueId val="{00000004-67B8-F945-94C2-17602737B1DE}"/>
            </c:ext>
          </c:extLst>
        </c:ser>
        <c:ser>
          <c:idx val="5"/>
          <c:order val="5"/>
          <c:tx>
            <c:strRef>
              <c:f>'graf ovce kozy'!$P$34</c:f>
              <c:strCache>
                <c:ptCount val="1"/>
                <c:pt idx="0">
                  <c:v>SAPS (+ greening) vázající se na krmné plodiny</c:v>
                </c:pt>
              </c:strCache>
            </c:strRef>
          </c:tx>
          <c:spPr>
            <a:solidFill>
              <a:schemeClr val="accent6">
                <a:lumMod val="40000"/>
                <a:lumOff val="60000"/>
              </a:schemeClr>
            </a:solidFill>
            <a:ln>
              <a:noFill/>
            </a:ln>
            <a:effectLst/>
          </c:spPr>
          <c:invertIfNegative val="0"/>
          <c:cat>
            <c:strRef>
              <c:f>'graf ovce kozy'!$Q$28:$AB$28</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 ovce kozy'!$Q$34:$AB$34</c:f>
              <c:numCache>
                <c:formatCode>#\ ##0.0</c:formatCode>
                <c:ptCount val="10"/>
                <c:pt idx="0">
                  <c:v>1567.6342500000001</c:v>
                </c:pt>
                <c:pt idx="1">
                  <c:v>1802.0518500000001</c:v>
                </c:pt>
                <c:pt idx="2">
                  <c:v>2030.04036</c:v>
                </c:pt>
                <c:pt idx="3">
                  <c:v>2006.0734349999998</c:v>
                </c:pt>
                <c:pt idx="4">
                  <c:v>1835.5787849999997</c:v>
                </c:pt>
                <c:pt idx="5">
                  <c:v>1820.6734649999996</c:v>
                </c:pt>
                <c:pt idx="6">
                  <c:v>1749.7962599999998</c:v>
                </c:pt>
                <c:pt idx="7">
                  <c:v>1761.3197849999999</c:v>
                </c:pt>
                <c:pt idx="8">
                  <c:v>1765.6281449999999</c:v>
                </c:pt>
                <c:pt idx="9">
                  <c:v>1892.5441349999999</c:v>
                </c:pt>
              </c:numCache>
              <c:extLst/>
            </c:numRef>
          </c:val>
          <c:extLst>
            <c:ext xmlns:c16="http://schemas.microsoft.com/office/drawing/2014/chart" uri="{C3380CC4-5D6E-409C-BE32-E72D297353CC}">
              <c16:uniqueId val="{00000005-67B8-F945-94C2-17602737B1DE}"/>
            </c:ext>
          </c:extLst>
        </c:ser>
        <c:ser>
          <c:idx val="6"/>
          <c:order val="6"/>
          <c:tx>
            <c:strRef>
              <c:f>'graf ovce kozy'!$P$35</c:f>
              <c:strCache>
                <c:ptCount val="1"/>
                <c:pt idx="0">
                  <c:v>PVP na z.p. - krmné plodiny</c:v>
                </c:pt>
              </c:strCache>
            </c:strRef>
          </c:tx>
          <c:spPr>
            <a:solidFill>
              <a:srgbClr val="7030A0"/>
            </a:solidFill>
            <a:ln>
              <a:noFill/>
            </a:ln>
            <a:effectLst/>
          </c:spPr>
          <c:invertIfNegative val="0"/>
          <c:cat>
            <c:strRef>
              <c:f>'graf ovce kozy'!$Q$28:$AB$28</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 ovce kozy'!$Q$35:$AB$35</c:f>
              <c:numCache>
                <c:formatCode>#\ ##0.0</c:formatCode>
                <c:ptCount val="10"/>
                <c:pt idx="0">
                  <c:v>0</c:v>
                </c:pt>
                <c:pt idx="1">
                  <c:v>164.38333499999999</c:v>
                </c:pt>
                <c:pt idx="2">
                  <c:v>82.882409999999993</c:v>
                </c:pt>
                <c:pt idx="3">
                  <c:v>61.90256999999999</c:v>
                </c:pt>
                <c:pt idx="4">
                  <c:v>64.280864999999991</c:v>
                </c:pt>
                <c:pt idx="5">
                  <c:v>59.648039999999988</c:v>
                </c:pt>
                <c:pt idx="6">
                  <c:v>53.269124999999995</c:v>
                </c:pt>
                <c:pt idx="7">
                  <c:v>47.35851000000001</c:v>
                </c:pt>
                <c:pt idx="8">
                  <c:v>43.43817</c:v>
                </c:pt>
                <c:pt idx="9">
                  <c:v>39.484379999999994</c:v>
                </c:pt>
              </c:numCache>
              <c:extLst/>
            </c:numRef>
          </c:val>
          <c:extLst>
            <c:ext xmlns:c16="http://schemas.microsoft.com/office/drawing/2014/chart" uri="{C3380CC4-5D6E-409C-BE32-E72D297353CC}">
              <c16:uniqueId val="{00000006-67B8-F945-94C2-17602737B1DE}"/>
            </c:ext>
          </c:extLst>
        </c:ser>
        <c:ser>
          <c:idx val="7"/>
          <c:order val="7"/>
          <c:tx>
            <c:strRef>
              <c:f>'graf ovce kozy'!$P$36</c:f>
              <c:strCache>
                <c:ptCount val="1"/>
                <c:pt idx="0">
                  <c:v>LFA platby (TTP nebo z.p.)</c:v>
                </c:pt>
              </c:strCache>
            </c:strRef>
          </c:tx>
          <c:spPr>
            <a:solidFill>
              <a:srgbClr val="00B050"/>
            </a:solidFill>
            <a:ln>
              <a:noFill/>
            </a:ln>
            <a:effectLst/>
          </c:spPr>
          <c:invertIfNegative val="0"/>
          <c:cat>
            <c:strRef>
              <c:f>'graf ovce kozy'!$Q$28:$AB$28</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 ovce kozy'!$Q$36:$AB$36</c:f>
              <c:numCache>
                <c:formatCode>#\ ##0.0</c:formatCode>
                <c:ptCount val="10"/>
                <c:pt idx="0">
                  <c:v>1014.1409349107896</c:v>
                </c:pt>
                <c:pt idx="1">
                  <c:v>1012.0175153527575</c:v>
                </c:pt>
                <c:pt idx="2">
                  <c:v>1026.75472488075</c:v>
                </c:pt>
                <c:pt idx="3">
                  <c:v>1119.0405719036094</c:v>
                </c:pt>
                <c:pt idx="4">
                  <c:v>428.62971318665745</c:v>
                </c:pt>
                <c:pt idx="5">
                  <c:v>417.62613086147633</c:v>
                </c:pt>
                <c:pt idx="6">
                  <c:v>417.59522192236068</c:v>
                </c:pt>
                <c:pt idx="7">
                  <c:v>802.58277378730884</c:v>
                </c:pt>
                <c:pt idx="8">
                  <c:v>808.52317497179365</c:v>
                </c:pt>
                <c:pt idx="9">
                  <c:v>792.72364781480064</c:v>
                </c:pt>
              </c:numCache>
              <c:extLst/>
            </c:numRef>
          </c:val>
          <c:extLst>
            <c:ext xmlns:c16="http://schemas.microsoft.com/office/drawing/2014/chart" uri="{C3380CC4-5D6E-409C-BE32-E72D297353CC}">
              <c16:uniqueId val="{00000007-67B8-F945-94C2-17602737B1DE}"/>
            </c:ext>
          </c:extLst>
        </c:ser>
        <c:ser>
          <c:idx val="8"/>
          <c:order val="8"/>
          <c:tx>
            <c:strRef>
              <c:f>'graf ovce kozy'!$P$37</c:f>
              <c:strCache>
                <c:ptCount val="1"/>
                <c:pt idx="0">
                  <c:v>AEKO (na TTP)</c:v>
                </c:pt>
              </c:strCache>
            </c:strRef>
          </c:tx>
          <c:spPr>
            <a:solidFill>
              <a:srgbClr val="92D050"/>
            </a:solidFill>
            <a:ln>
              <a:noFill/>
            </a:ln>
            <a:effectLst/>
          </c:spPr>
          <c:invertIfNegative val="0"/>
          <c:cat>
            <c:strRef>
              <c:f>'graf ovce kozy'!$Q$28:$AB$28</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 ovce kozy'!$Q$37:$AB$37</c:f>
              <c:numCache>
                <c:formatCode>#\ ##0.0</c:formatCode>
                <c:ptCount val="10"/>
                <c:pt idx="0">
                  <c:v>786.4905</c:v>
                </c:pt>
                <c:pt idx="1">
                  <c:v>799.57199999999989</c:v>
                </c:pt>
                <c:pt idx="2">
                  <c:v>790.68299999999988</c:v>
                </c:pt>
                <c:pt idx="3">
                  <c:v>861.77716499999997</c:v>
                </c:pt>
                <c:pt idx="4">
                  <c:v>868.42628999999988</c:v>
                </c:pt>
                <c:pt idx="5">
                  <c:v>867.76324499999987</c:v>
                </c:pt>
                <c:pt idx="6">
                  <c:v>867.6996899999998</c:v>
                </c:pt>
                <c:pt idx="7">
                  <c:v>819.97992000000011</c:v>
                </c:pt>
                <c:pt idx="8">
                  <c:v>826.04908799999987</c:v>
                </c:pt>
                <c:pt idx="9">
                  <c:v>826.04908799999987</c:v>
                </c:pt>
              </c:numCache>
              <c:extLst/>
            </c:numRef>
          </c:val>
          <c:extLst>
            <c:ext xmlns:c16="http://schemas.microsoft.com/office/drawing/2014/chart" uri="{C3380CC4-5D6E-409C-BE32-E72D297353CC}">
              <c16:uniqueId val="{00000008-67B8-F945-94C2-17602737B1DE}"/>
            </c:ext>
          </c:extLst>
        </c:ser>
        <c:ser>
          <c:idx val="11"/>
          <c:order val="9"/>
          <c:tx>
            <c:strRef>
              <c:f>'graf ovce kozy'!$P$38</c:f>
              <c:strCache>
                <c:ptCount val="1"/>
                <c:pt idx="0">
                  <c:v>Ekologické zemědělství (TTP)</c:v>
                </c:pt>
              </c:strCache>
            </c:strRef>
          </c:tx>
          <c:spPr>
            <a:solidFill>
              <a:schemeClr val="accent6">
                <a:lumMod val="60000"/>
              </a:schemeClr>
            </a:solidFill>
            <a:ln>
              <a:noFill/>
            </a:ln>
            <a:effectLst/>
          </c:spPr>
          <c:invertIfNegative val="0"/>
          <c:cat>
            <c:strLit>
              <c:ptCount val="10"/>
              <c:pt idx="0">
                <c:v>2011</c:v>
              </c:pt>
              <c:pt idx="1">
                <c:v>2012</c:v>
              </c:pt>
              <c:pt idx="2">
                <c:v>2013</c:v>
              </c:pt>
              <c:pt idx="3">
                <c:v>2014</c:v>
              </c:pt>
              <c:pt idx="4">
                <c:v>2015</c:v>
              </c:pt>
              <c:pt idx="5">
                <c:v>2016</c:v>
              </c:pt>
              <c:pt idx="6">
                <c:v>2017</c:v>
              </c:pt>
              <c:pt idx="7">
                <c:v>2018</c:v>
              </c:pt>
              <c:pt idx="8">
                <c:v>2019</c:v>
              </c:pt>
              <c:pt idx="9">
                <c:v>2020p</c:v>
              </c:pt>
              <c:extLst>
                <c:ext xmlns:c15="http://schemas.microsoft.com/office/drawing/2012/chart" uri="{02D57815-91ED-43cb-92C2-25804820EDAC}">
                  <c15:autoCat val="1"/>
                </c:ext>
              </c:extLst>
            </c:strLit>
          </c:cat>
          <c:val>
            <c:numRef>
              <c:f>'graf ovce kozy'!$Q$38:$AB$38</c:f>
              <c:numCache>
                <c:formatCode>#\ ##0.0</c:formatCode>
                <c:ptCount val="10"/>
                <c:pt idx="0">
                  <c:v>370.13382836752783</c:v>
                </c:pt>
                <c:pt idx="1">
                  <c:v>376.26681164097101</c:v>
                </c:pt>
                <c:pt idx="2">
                  <c:v>371.95714771909195</c:v>
                </c:pt>
                <c:pt idx="3">
                  <c:v>405.40842756810713</c:v>
                </c:pt>
                <c:pt idx="4">
                  <c:v>381.57101339097585</c:v>
                </c:pt>
                <c:pt idx="5">
                  <c:v>371.77647334698247</c:v>
                </c:pt>
                <c:pt idx="6">
                  <c:v>371.74829477518557</c:v>
                </c:pt>
                <c:pt idx="7">
                  <c:v>351.30556971805731</c:v>
                </c:pt>
                <c:pt idx="8">
                  <c:v>353.90496008816916</c:v>
                </c:pt>
                <c:pt idx="9">
                  <c:v>349.55750372882142</c:v>
                </c:pt>
              </c:numCache>
              <c:extLst/>
            </c:numRef>
          </c:val>
          <c:extLst>
            <c:ext xmlns:c16="http://schemas.microsoft.com/office/drawing/2014/chart" uri="{C3380CC4-5D6E-409C-BE32-E72D297353CC}">
              <c16:uniqueId val="{00000009-67B8-F945-94C2-17602737B1DE}"/>
            </c:ext>
          </c:extLst>
        </c:ser>
        <c:ser>
          <c:idx val="9"/>
          <c:order val="10"/>
          <c:tx>
            <c:strRef>
              <c:f>'graf ovce kozy'!$P$39</c:f>
              <c:strCache>
                <c:ptCount val="1"/>
                <c:pt idx="0">
                  <c:v>Kompenzace sucho</c:v>
                </c:pt>
              </c:strCache>
            </c:strRef>
          </c:tx>
          <c:spPr>
            <a:solidFill>
              <a:srgbClr val="FFFF00"/>
            </a:solidFill>
            <a:ln>
              <a:noFill/>
            </a:ln>
            <a:effectLst/>
          </c:spPr>
          <c:invertIfNegative val="0"/>
          <c:cat>
            <c:strRef>
              <c:f>'graf ovce kozy'!$Q$28:$AB$28</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 ovce kozy'!$Q$39:$AB$39</c:f>
              <c:numCache>
                <c:formatCode>#\ ##0.0</c:formatCode>
                <c:ptCount val="10"/>
                <c:pt idx="0">
                  <c:v>0</c:v>
                </c:pt>
                <c:pt idx="1">
                  <c:v>0</c:v>
                </c:pt>
                <c:pt idx="2">
                  <c:v>0</c:v>
                </c:pt>
                <c:pt idx="3">
                  <c:v>0</c:v>
                </c:pt>
                <c:pt idx="4">
                  <c:v>62.067413787937511</c:v>
                </c:pt>
                <c:pt idx="5">
                  <c:v>0</c:v>
                </c:pt>
                <c:pt idx="6">
                  <c:v>15.320099999999996</c:v>
                </c:pt>
                <c:pt idx="7">
                  <c:v>230.53771796318998</c:v>
                </c:pt>
                <c:pt idx="8">
                  <c:v>0</c:v>
                </c:pt>
                <c:pt idx="9">
                  <c:v>0</c:v>
                </c:pt>
              </c:numCache>
              <c:extLst/>
            </c:numRef>
          </c:val>
          <c:extLst>
            <c:ext xmlns:c16="http://schemas.microsoft.com/office/drawing/2014/chart" uri="{C3380CC4-5D6E-409C-BE32-E72D297353CC}">
              <c16:uniqueId val="{0000000A-67B8-F945-94C2-17602737B1DE}"/>
            </c:ext>
          </c:extLst>
        </c:ser>
        <c:ser>
          <c:idx val="10"/>
          <c:order val="11"/>
          <c:tx>
            <c:strRef>
              <c:f>'graf ovce kozy'!$P$40</c:f>
              <c:strCache>
                <c:ptCount val="1"/>
                <c:pt idx="0">
                  <c:v> Zelená nafta RV</c:v>
                </c:pt>
              </c:strCache>
            </c:strRef>
          </c:tx>
          <c:spPr>
            <a:solidFill>
              <a:srgbClr val="FF0000"/>
            </a:solidFill>
            <a:ln>
              <a:noFill/>
            </a:ln>
            <a:effectLst/>
          </c:spPr>
          <c:invertIfNegative val="0"/>
          <c:cat>
            <c:strRef>
              <c:f>'graf ovce kozy'!$Q$28:$AB$28</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 ovce kozy'!$Q$40:$AB$40</c:f>
              <c:numCache>
                <c:formatCode>#,##0</c:formatCode>
                <c:ptCount val="10"/>
                <c:pt idx="0">
                  <c:v>73.342870224125292</c:v>
                </c:pt>
                <c:pt idx="1">
                  <c:v>70.621905775457549</c:v>
                </c:pt>
                <c:pt idx="2">
                  <c:v>49.895423412156681</c:v>
                </c:pt>
                <c:pt idx="3">
                  <c:v>39.114834747731251</c:v>
                </c:pt>
                <c:pt idx="4">
                  <c:v>49.677875716053322</c:v>
                </c:pt>
                <c:pt idx="5">
                  <c:v>50.608783319640018</c:v>
                </c:pt>
                <c:pt idx="6">
                  <c:v>43.919298860914417</c:v>
                </c:pt>
                <c:pt idx="7">
                  <c:v>48.331878423083573</c:v>
                </c:pt>
                <c:pt idx="8" formatCode="#\ ##0.0">
                  <c:v>54.158651611228528</c:v>
                </c:pt>
                <c:pt idx="9" formatCode="#\ ##0.0">
                  <c:v>57.62572367296216</c:v>
                </c:pt>
              </c:numCache>
              <c:extLst/>
            </c:numRef>
          </c:val>
          <c:extLst>
            <c:ext xmlns:c16="http://schemas.microsoft.com/office/drawing/2014/chart" uri="{C3380CC4-5D6E-409C-BE32-E72D297353CC}">
              <c16:uniqueId val="{0000000B-67B8-F945-94C2-17602737B1DE}"/>
            </c:ext>
          </c:extLst>
        </c:ser>
        <c:dLbls>
          <c:showLegendKey val="0"/>
          <c:showVal val="0"/>
          <c:showCatName val="0"/>
          <c:showSerName val="0"/>
          <c:showPercent val="0"/>
          <c:showBubbleSize val="0"/>
        </c:dLbls>
        <c:gapWidth val="219"/>
        <c:overlap val="100"/>
        <c:axId val="1310931472"/>
        <c:axId val="1310935408"/>
      </c:barChart>
      <c:catAx>
        <c:axId val="13109314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310935408"/>
        <c:crosses val="autoZero"/>
        <c:auto val="1"/>
        <c:lblAlgn val="ctr"/>
        <c:lblOffset val="100"/>
        <c:noMultiLvlLbl val="0"/>
      </c:catAx>
      <c:valAx>
        <c:axId val="131093540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310931472"/>
        <c:crosses val="autoZero"/>
        <c:crossBetween val="between"/>
      </c:valAx>
      <c:spPr>
        <a:noFill/>
        <a:ln>
          <a:noFill/>
        </a:ln>
        <a:effectLst/>
      </c:spPr>
    </c:plotArea>
    <c:legend>
      <c:legendPos val="b"/>
      <c:layout>
        <c:manualLayout>
          <c:xMode val="edge"/>
          <c:yMode val="edge"/>
          <c:x val="5.8069026949422856E-2"/>
          <c:y val="0.81201684693251741"/>
          <c:w val="0.91219759343718976"/>
          <c:h val="0.1879831530674826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sz="1800" b="1" i="0" baseline="0">
                <a:effectLst/>
              </a:rPr>
              <a:t>Struktura podpor u koz (Kč/ks)</a:t>
            </a:r>
            <a:endParaRPr lang="cs-CZ">
              <a:effectLst/>
            </a:endParaRPr>
          </a:p>
        </c:rich>
      </c:tx>
      <c:layout>
        <c:manualLayout>
          <c:xMode val="edge"/>
          <c:yMode val="edge"/>
          <c:x val="0.26953994307351664"/>
          <c:y val="5.1903584392060872E-3"/>
        </c:manualLayout>
      </c:layout>
      <c:overlay val="1"/>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manualLayout>
          <c:layoutTarget val="inner"/>
          <c:xMode val="edge"/>
          <c:yMode val="edge"/>
          <c:x val="8.7396515163044683E-2"/>
          <c:y val="6.2866888353550851E-2"/>
          <c:w val="0.88468581133240698"/>
          <c:h val="0.68946310237532471"/>
        </c:manualLayout>
      </c:layout>
      <c:barChart>
        <c:barDir val="col"/>
        <c:grouping val="stacked"/>
        <c:varyColors val="0"/>
        <c:ser>
          <c:idx val="0"/>
          <c:order val="0"/>
          <c:tx>
            <c:strRef>
              <c:f>'graf ovce kozy'!$P$53</c:f>
              <c:strCache>
                <c:ptCount val="1"/>
                <c:pt idx="0">
                  <c:v>Přímá platba VCS (do 2015 PP dle č. 68)</c:v>
                </c:pt>
              </c:strCache>
            </c:strRef>
          </c:tx>
          <c:spPr>
            <a:solidFill>
              <a:schemeClr val="accent1"/>
            </a:solidFill>
            <a:ln>
              <a:noFill/>
            </a:ln>
            <a:effectLst/>
          </c:spPr>
          <c:invertIfNegative val="0"/>
          <c:cat>
            <c:strRef>
              <c:f>'graf ovce kozy'!$Q$28:$AB$28</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 ovce kozy'!$Q$53:$AB$53</c:f>
              <c:numCache>
                <c:formatCode>#\ ##0.0</c:formatCode>
                <c:ptCount val="10"/>
                <c:pt idx="0">
                  <c:v>0</c:v>
                </c:pt>
                <c:pt idx="1">
                  <c:v>283.02</c:v>
                </c:pt>
                <c:pt idx="2">
                  <c:v>279.19499999999999</c:v>
                </c:pt>
                <c:pt idx="3">
                  <c:v>525.76649999999995</c:v>
                </c:pt>
                <c:pt idx="4">
                  <c:v>550.54499999999996</c:v>
                </c:pt>
                <c:pt idx="5">
                  <c:v>528.73349999999994</c:v>
                </c:pt>
                <c:pt idx="6">
                  <c:v>510.43049999999994</c:v>
                </c:pt>
                <c:pt idx="7">
                  <c:v>532.76700000000005</c:v>
                </c:pt>
                <c:pt idx="8">
                  <c:v>579.79049999999995</c:v>
                </c:pt>
                <c:pt idx="9">
                  <c:v>670.755</c:v>
                </c:pt>
              </c:numCache>
              <c:extLst/>
            </c:numRef>
          </c:val>
          <c:extLst>
            <c:ext xmlns:c16="http://schemas.microsoft.com/office/drawing/2014/chart" uri="{C3380CC4-5D6E-409C-BE32-E72D297353CC}">
              <c16:uniqueId val="{00000000-A25F-E34E-9509-A11C9142A188}"/>
            </c:ext>
          </c:extLst>
        </c:ser>
        <c:ser>
          <c:idx val="1"/>
          <c:order val="1"/>
          <c:tx>
            <c:strRef>
              <c:f>'graf ovce kozy'!$P$54</c:f>
              <c:strCache>
                <c:ptCount val="1"/>
                <c:pt idx="0">
                  <c:v>PVP - přežvýkavci (do 2015 Top Up)</c:v>
                </c:pt>
              </c:strCache>
            </c:strRef>
          </c:tx>
          <c:spPr>
            <a:solidFill>
              <a:schemeClr val="accent2"/>
            </a:solidFill>
            <a:ln>
              <a:noFill/>
            </a:ln>
            <a:effectLst/>
          </c:spPr>
          <c:invertIfNegative val="0"/>
          <c:cat>
            <c:strRef>
              <c:f>'graf ovce kozy'!$Q$28:$AB$28</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 ovce kozy'!$Q$54:$AB$54</c:f>
              <c:numCache>
                <c:formatCode>#\ ##0.0</c:formatCode>
                <c:ptCount val="10"/>
                <c:pt idx="0">
                  <c:v>136.61999999999998</c:v>
                </c:pt>
                <c:pt idx="1">
                  <c:v>75.683999999999997</c:v>
                </c:pt>
                <c:pt idx="2">
                  <c:v>19.412999999999997</c:v>
                </c:pt>
                <c:pt idx="3">
                  <c:v>14.495999999999999</c:v>
                </c:pt>
                <c:pt idx="4">
                  <c:v>15.244499999999999</c:v>
                </c:pt>
                <c:pt idx="5">
                  <c:v>14.31</c:v>
                </c:pt>
                <c:pt idx="6">
                  <c:v>12.8475</c:v>
                </c:pt>
                <c:pt idx="7">
                  <c:v>11.467499999999999</c:v>
                </c:pt>
                <c:pt idx="8">
                  <c:v>10.528499999999999</c:v>
                </c:pt>
                <c:pt idx="9">
                  <c:v>9.6359999999999992</c:v>
                </c:pt>
              </c:numCache>
              <c:extLst/>
            </c:numRef>
          </c:val>
          <c:extLst>
            <c:ext xmlns:c16="http://schemas.microsoft.com/office/drawing/2014/chart" uri="{C3380CC4-5D6E-409C-BE32-E72D297353CC}">
              <c16:uniqueId val="{00000001-A25F-E34E-9509-A11C9142A188}"/>
            </c:ext>
          </c:extLst>
        </c:ser>
        <c:ser>
          <c:idx val="2"/>
          <c:order val="2"/>
          <c:tx>
            <c:strRef>
              <c:f>'graf ovce kozy'!$P$55</c:f>
              <c:strCache>
                <c:ptCount val="1"/>
                <c:pt idx="0">
                  <c:v>PVP ovce, kozy (do 2015 Top-Up)</c:v>
                </c:pt>
              </c:strCache>
            </c:strRef>
          </c:tx>
          <c:spPr>
            <a:solidFill>
              <a:schemeClr val="accent3"/>
            </a:solidFill>
            <a:ln>
              <a:noFill/>
            </a:ln>
            <a:effectLst/>
          </c:spPr>
          <c:invertIfNegative val="0"/>
          <c:cat>
            <c:strRef>
              <c:f>'graf ovce kozy'!$Q$28:$AB$28</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 ovce kozy'!$Q$55:$AB$55</c:f>
              <c:numCache>
                <c:formatCode>#\ ##0.0</c:formatCode>
                <c:ptCount val="10"/>
                <c:pt idx="0">
                  <c:v>97.61999999999999</c:v>
                </c:pt>
                <c:pt idx="1">
                  <c:v>55.645500000000006</c:v>
                </c:pt>
                <c:pt idx="2">
                  <c:v>14.1645</c:v>
                </c:pt>
                <c:pt idx="3">
                  <c:v>9.1724999999999994</c:v>
                </c:pt>
                <c:pt idx="4">
                  <c:v>9.1754999999999995</c:v>
                </c:pt>
                <c:pt idx="5">
                  <c:v>8.6204999999999998</c:v>
                </c:pt>
                <c:pt idx="6">
                  <c:v>7.5644999999999998</c:v>
                </c:pt>
                <c:pt idx="7">
                  <c:v>6.4485000000000001</c:v>
                </c:pt>
                <c:pt idx="8">
                  <c:v>6.4695</c:v>
                </c:pt>
                <c:pt idx="9">
                  <c:v>6.4545000000000003</c:v>
                </c:pt>
              </c:numCache>
              <c:extLst/>
            </c:numRef>
          </c:val>
          <c:extLst>
            <c:ext xmlns:c16="http://schemas.microsoft.com/office/drawing/2014/chart" uri="{C3380CC4-5D6E-409C-BE32-E72D297353CC}">
              <c16:uniqueId val="{00000002-A25F-E34E-9509-A11C9142A188}"/>
            </c:ext>
          </c:extLst>
        </c:ser>
        <c:ser>
          <c:idx val="3"/>
          <c:order val="3"/>
          <c:tx>
            <c:strRef>
              <c:f>'graf ovce kozy'!$P$56</c:f>
              <c:strCache>
                <c:ptCount val="1"/>
                <c:pt idx="0">
                  <c:v>Zelená nafta ŽV</c:v>
                </c:pt>
              </c:strCache>
            </c:strRef>
          </c:tx>
          <c:spPr>
            <a:solidFill>
              <a:schemeClr val="accent4"/>
            </a:solidFill>
            <a:ln>
              <a:noFill/>
            </a:ln>
            <a:effectLst/>
          </c:spPr>
          <c:invertIfNegative val="0"/>
          <c:cat>
            <c:strRef>
              <c:f>'graf ovce kozy'!$Q$28:$AB$28</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 ovce kozy'!$Q$56:$AB$56</c:f>
              <c:numCache>
                <c:formatCode>#\ ##0.0</c:formatCode>
                <c:ptCount val="10"/>
                <c:pt idx="0">
                  <c:v>0</c:v>
                </c:pt>
                <c:pt idx="1">
                  <c:v>0</c:v>
                </c:pt>
                <c:pt idx="2">
                  <c:v>0</c:v>
                </c:pt>
                <c:pt idx="3">
                  <c:v>0</c:v>
                </c:pt>
                <c:pt idx="4">
                  <c:v>0</c:v>
                </c:pt>
                <c:pt idx="5">
                  <c:v>23.439920639261981</c:v>
                </c:pt>
                <c:pt idx="6">
                  <c:v>22.477863867754063</c:v>
                </c:pt>
                <c:pt idx="7">
                  <c:v>45.909021623796299</c:v>
                </c:pt>
                <c:pt idx="8">
                  <c:v>50.136200936556179</c:v>
                </c:pt>
                <c:pt idx="9">
                  <c:v>50.136200936556179</c:v>
                </c:pt>
              </c:numCache>
              <c:extLst/>
            </c:numRef>
          </c:val>
          <c:extLst>
            <c:ext xmlns:c16="http://schemas.microsoft.com/office/drawing/2014/chart" uri="{C3380CC4-5D6E-409C-BE32-E72D297353CC}">
              <c16:uniqueId val="{00000003-A25F-E34E-9509-A11C9142A188}"/>
            </c:ext>
          </c:extLst>
        </c:ser>
        <c:ser>
          <c:idx val="4"/>
          <c:order val="4"/>
          <c:tx>
            <c:strRef>
              <c:f>'graf ovce kozy'!$P$57</c:f>
              <c:strCache>
                <c:ptCount val="1"/>
                <c:pt idx="0">
                  <c:v>Podpora pojištění ŽV</c:v>
                </c:pt>
              </c:strCache>
            </c:strRef>
          </c:tx>
          <c:spPr>
            <a:solidFill>
              <a:schemeClr val="accent5"/>
            </a:solidFill>
            <a:ln>
              <a:noFill/>
            </a:ln>
            <a:effectLst/>
          </c:spPr>
          <c:invertIfNegative val="0"/>
          <c:cat>
            <c:strRef>
              <c:f>'graf ovce kozy'!$Q$28:$AB$28</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 ovce kozy'!$Q$57:$AB$57</c:f>
              <c:numCache>
                <c:formatCode>#\ ##0.0</c:formatCode>
                <c:ptCount val="10"/>
                <c:pt idx="0">
                  <c:v>7.9879516277901761</c:v>
                </c:pt>
                <c:pt idx="1">
                  <c:v>6.4554043843775197</c:v>
                </c:pt>
                <c:pt idx="2">
                  <c:v>7.9271084850490015</c:v>
                </c:pt>
                <c:pt idx="3">
                  <c:v>8.0587135322879018</c:v>
                </c:pt>
                <c:pt idx="4">
                  <c:v>9.1321150349913829</c:v>
                </c:pt>
                <c:pt idx="5">
                  <c:v>8.9279467310662604</c:v>
                </c:pt>
                <c:pt idx="6">
                  <c:v>8.7536719067176794</c:v>
                </c:pt>
                <c:pt idx="7">
                  <c:v>8.8171872036616374</c:v>
                </c:pt>
                <c:pt idx="8">
                  <c:v>8.4198623094937037</c:v>
                </c:pt>
                <c:pt idx="9">
                  <c:v>8.4906595120862303</c:v>
                </c:pt>
              </c:numCache>
              <c:extLst/>
            </c:numRef>
          </c:val>
          <c:extLst>
            <c:ext xmlns:c16="http://schemas.microsoft.com/office/drawing/2014/chart" uri="{C3380CC4-5D6E-409C-BE32-E72D297353CC}">
              <c16:uniqueId val="{00000004-A25F-E34E-9509-A11C9142A188}"/>
            </c:ext>
          </c:extLst>
        </c:ser>
        <c:ser>
          <c:idx val="5"/>
          <c:order val="5"/>
          <c:tx>
            <c:strRef>
              <c:f>'graf ovce kozy'!$P$58</c:f>
              <c:strCache>
                <c:ptCount val="1"/>
                <c:pt idx="0">
                  <c:v>SAPS (+ greening) vázající se na krmné plodiny</c:v>
                </c:pt>
              </c:strCache>
            </c:strRef>
          </c:tx>
          <c:spPr>
            <a:solidFill>
              <a:schemeClr val="accent6">
                <a:lumMod val="40000"/>
                <a:lumOff val="60000"/>
              </a:schemeClr>
            </a:solidFill>
            <a:ln>
              <a:noFill/>
            </a:ln>
            <a:effectLst/>
          </c:spPr>
          <c:invertIfNegative val="0"/>
          <c:cat>
            <c:strRef>
              <c:f>'graf ovce kozy'!$Q$28:$AB$28</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 ovce kozy'!$Q$58:$AB$58</c:f>
              <c:numCache>
                <c:formatCode>#\ ##0.0</c:formatCode>
                <c:ptCount val="10"/>
                <c:pt idx="0">
                  <c:v>1567.6342500000001</c:v>
                </c:pt>
                <c:pt idx="1">
                  <c:v>1802.0518500000001</c:v>
                </c:pt>
                <c:pt idx="2">
                  <c:v>2030.04036</c:v>
                </c:pt>
                <c:pt idx="3">
                  <c:v>2006.0734349999998</c:v>
                </c:pt>
                <c:pt idx="4">
                  <c:v>1835.5787849999997</c:v>
                </c:pt>
                <c:pt idx="5">
                  <c:v>1820.6734649999996</c:v>
                </c:pt>
                <c:pt idx="6">
                  <c:v>1749.7962599999998</c:v>
                </c:pt>
                <c:pt idx="7">
                  <c:v>1761.3197849999999</c:v>
                </c:pt>
                <c:pt idx="8">
                  <c:v>1765.6281449999999</c:v>
                </c:pt>
                <c:pt idx="9">
                  <c:v>1892.5441349999999</c:v>
                </c:pt>
              </c:numCache>
              <c:extLst/>
            </c:numRef>
          </c:val>
          <c:extLst>
            <c:ext xmlns:c16="http://schemas.microsoft.com/office/drawing/2014/chart" uri="{C3380CC4-5D6E-409C-BE32-E72D297353CC}">
              <c16:uniqueId val="{00000005-A25F-E34E-9509-A11C9142A188}"/>
            </c:ext>
          </c:extLst>
        </c:ser>
        <c:ser>
          <c:idx val="6"/>
          <c:order val="6"/>
          <c:tx>
            <c:strRef>
              <c:f>'graf ovce kozy'!$P$59</c:f>
              <c:strCache>
                <c:ptCount val="1"/>
                <c:pt idx="0">
                  <c:v>PVP na z.p. - krmné plodiny</c:v>
                </c:pt>
              </c:strCache>
            </c:strRef>
          </c:tx>
          <c:spPr>
            <a:solidFill>
              <a:srgbClr val="7030A0"/>
            </a:solidFill>
            <a:ln>
              <a:noFill/>
            </a:ln>
            <a:effectLst/>
          </c:spPr>
          <c:invertIfNegative val="0"/>
          <c:cat>
            <c:strRef>
              <c:f>'graf ovce kozy'!$Q$28:$AB$28</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 ovce kozy'!$Q$59:$AB$59</c:f>
              <c:numCache>
                <c:formatCode>#\ ##0.0</c:formatCode>
                <c:ptCount val="10"/>
                <c:pt idx="0">
                  <c:v>0</c:v>
                </c:pt>
                <c:pt idx="1">
                  <c:v>164.38333499999999</c:v>
                </c:pt>
                <c:pt idx="2">
                  <c:v>82.882409999999993</c:v>
                </c:pt>
                <c:pt idx="3">
                  <c:v>61.90256999999999</c:v>
                </c:pt>
                <c:pt idx="4">
                  <c:v>64.280864999999991</c:v>
                </c:pt>
                <c:pt idx="5">
                  <c:v>59.648039999999988</c:v>
                </c:pt>
                <c:pt idx="6">
                  <c:v>53.269124999999995</c:v>
                </c:pt>
                <c:pt idx="7">
                  <c:v>47.35851000000001</c:v>
                </c:pt>
                <c:pt idx="8">
                  <c:v>43.43817</c:v>
                </c:pt>
                <c:pt idx="9">
                  <c:v>39.484379999999994</c:v>
                </c:pt>
              </c:numCache>
              <c:extLst/>
            </c:numRef>
          </c:val>
          <c:extLst>
            <c:ext xmlns:c16="http://schemas.microsoft.com/office/drawing/2014/chart" uri="{C3380CC4-5D6E-409C-BE32-E72D297353CC}">
              <c16:uniqueId val="{00000006-A25F-E34E-9509-A11C9142A188}"/>
            </c:ext>
          </c:extLst>
        </c:ser>
        <c:ser>
          <c:idx val="7"/>
          <c:order val="7"/>
          <c:tx>
            <c:strRef>
              <c:f>'graf ovce kozy'!$P$60</c:f>
              <c:strCache>
                <c:ptCount val="1"/>
                <c:pt idx="0">
                  <c:v>LFA platby (TTP nebo z.p.)</c:v>
                </c:pt>
              </c:strCache>
            </c:strRef>
          </c:tx>
          <c:spPr>
            <a:solidFill>
              <a:srgbClr val="00B050"/>
            </a:solidFill>
            <a:ln>
              <a:noFill/>
            </a:ln>
            <a:effectLst/>
          </c:spPr>
          <c:invertIfNegative val="0"/>
          <c:cat>
            <c:strRef>
              <c:f>'graf ovce kozy'!$Q$28:$AB$28</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 ovce kozy'!$Q$60:$AB$60</c:f>
              <c:numCache>
                <c:formatCode>#\ ##0.0</c:formatCode>
                <c:ptCount val="10"/>
                <c:pt idx="0">
                  <c:v>1014.1409349107896</c:v>
                </c:pt>
                <c:pt idx="1">
                  <c:v>1012.0175153527575</c:v>
                </c:pt>
                <c:pt idx="2">
                  <c:v>1026.75472488075</c:v>
                </c:pt>
                <c:pt idx="3">
                  <c:v>1119.0405719036094</c:v>
                </c:pt>
                <c:pt idx="4">
                  <c:v>428.62971318665745</c:v>
                </c:pt>
                <c:pt idx="5">
                  <c:v>417.62613086147633</c:v>
                </c:pt>
                <c:pt idx="6">
                  <c:v>417.59522192236068</c:v>
                </c:pt>
                <c:pt idx="7">
                  <c:v>802.58277378730884</c:v>
                </c:pt>
                <c:pt idx="8">
                  <c:v>808.52317497179365</c:v>
                </c:pt>
                <c:pt idx="9">
                  <c:v>792.72364781480064</c:v>
                </c:pt>
              </c:numCache>
              <c:extLst/>
            </c:numRef>
          </c:val>
          <c:extLst>
            <c:ext xmlns:c16="http://schemas.microsoft.com/office/drawing/2014/chart" uri="{C3380CC4-5D6E-409C-BE32-E72D297353CC}">
              <c16:uniqueId val="{00000007-A25F-E34E-9509-A11C9142A188}"/>
            </c:ext>
          </c:extLst>
        </c:ser>
        <c:ser>
          <c:idx val="8"/>
          <c:order val="8"/>
          <c:tx>
            <c:strRef>
              <c:f>'graf ovce kozy'!$P$61</c:f>
              <c:strCache>
                <c:ptCount val="1"/>
                <c:pt idx="0">
                  <c:v>AEKO (na TTP)</c:v>
                </c:pt>
              </c:strCache>
            </c:strRef>
          </c:tx>
          <c:spPr>
            <a:solidFill>
              <a:srgbClr val="92D050"/>
            </a:solidFill>
            <a:ln>
              <a:noFill/>
            </a:ln>
            <a:effectLst/>
          </c:spPr>
          <c:invertIfNegative val="0"/>
          <c:cat>
            <c:strRef>
              <c:f>'graf ovce kozy'!$Q$28:$AB$28</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 ovce kozy'!$Q$61:$AB$61</c:f>
              <c:numCache>
                <c:formatCode>#\ ##0.0</c:formatCode>
                <c:ptCount val="10"/>
                <c:pt idx="0">
                  <c:v>786.4905</c:v>
                </c:pt>
                <c:pt idx="1">
                  <c:v>799.57199999999989</c:v>
                </c:pt>
                <c:pt idx="2">
                  <c:v>790.68299999999988</c:v>
                </c:pt>
                <c:pt idx="3">
                  <c:v>861.77716499999997</c:v>
                </c:pt>
                <c:pt idx="4">
                  <c:v>868.42628999999988</c:v>
                </c:pt>
                <c:pt idx="5">
                  <c:v>867.76324499999987</c:v>
                </c:pt>
                <c:pt idx="6">
                  <c:v>867.6996899999998</c:v>
                </c:pt>
                <c:pt idx="7">
                  <c:v>819.97992000000011</c:v>
                </c:pt>
                <c:pt idx="8">
                  <c:v>826.04908799999987</c:v>
                </c:pt>
                <c:pt idx="9">
                  <c:v>826.04908799999987</c:v>
                </c:pt>
              </c:numCache>
              <c:extLst/>
            </c:numRef>
          </c:val>
          <c:extLst>
            <c:ext xmlns:c16="http://schemas.microsoft.com/office/drawing/2014/chart" uri="{C3380CC4-5D6E-409C-BE32-E72D297353CC}">
              <c16:uniqueId val="{00000008-A25F-E34E-9509-A11C9142A188}"/>
            </c:ext>
          </c:extLst>
        </c:ser>
        <c:ser>
          <c:idx val="11"/>
          <c:order val="9"/>
          <c:tx>
            <c:strRef>
              <c:f>'graf ovce kozy'!$P$62</c:f>
              <c:strCache>
                <c:ptCount val="1"/>
                <c:pt idx="0">
                  <c:v>Ekologické zemědělství (TTP)</c:v>
                </c:pt>
              </c:strCache>
            </c:strRef>
          </c:tx>
          <c:spPr>
            <a:solidFill>
              <a:schemeClr val="accent6">
                <a:lumMod val="60000"/>
              </a:schemeClr>
            </a:solidFill>
            <a:ln>
              <a:noFill/>
            </a:ln>
            <a:effectLst/>
          </c:spPr>
          <c:invertIfNegative val="0"/>
          <c:cat>
            <c:strLit>
              <c:ptCount val="10"/>
              <c:pt idx="0">
                <c:v>2011</c:v>
              </c:pt>
              <c:pt idx="1">
                <c:v>2012</c:v>
              </c:pt>
              <c:pt idx="2">
                <c:v>2013</c:v>
              </c:pt>
              <c:pt idx="3">
                <c:v>2014</c:v>
              </c:pt>
              <c:pt idx="4">
                <c:v>2015</c:v>
              </c:pt>
              <c:pt idx="5">
                <c:v>2016</c:v>
              </c:pt>
              <c:pt idx="6">
                <c:v>2017</c:v>
              </c:pt>
              <c:pt idx="7">
                <c:v>2018</c:v>
              </c:pt>
              <c:pt idx="8">
                <c:v>2019</c:v>
              </c:pt>
              <c:pt idx="9">
                <c:v>2020p</c:v>
              </c:pt>
              <c:extLst>
                <c:ext xmlns:c15="http://schemas.microsoft.com/office/drawing/2012/chart" uri="{02D57815-91ED-43cb-92C2-25804820EDAC}">
                  <c15:autoCat val="1"/>
                </c:ext>
              </c:extLst>
            </c:strLit>
          </c:cat>
          <c:val>
            <c:numRef>
              <c:f>'graf ovce kozy'!$Q$62:$AB$62</c:f>
              <c:numCache>
                <c:formatCode>#\ ##0.0</c:formatCode>
                <c:ptCount val="10"/>
                <c:pt idx="0">
                  <c:v>272.07524419703918</c:v>
                </c:pt>
                <c:pt idx="1">
                  <c:v>276.58343230061752</c:v>
                </c:pt>
                <c:pt idx="2">
                  <c:v>273.41551633594082</c:v>
                </c:pt>
                <c:pt idx="3">
                  <c:v>298.00463636791773</c:v>
                </c:pt>
                <c:pt idx="4">
                  <c:v>280.48240579560422</c:v>
                </c:pt>
                <c:pt idx="5">
                  <c:v>273.28270755126783</c:v>
                </c:pt>
                <c:pt idx="6">
                  <c:v>273.26199425457571</c:v>
                </c:pt>
                <c:pt idx="7">
                  <c:v>258.23510671905359</c:v>
                </c:pt>
                <c:pt idx="8">
                  <c:v>260.14584741744062</c:v>
                </c:pt>
                <c:pt idx="9">
                  <c:v>256.95015126661207</c:v>
                </c:pt>
              </c:numCache>
              <c:extLst/>
            </c:numRef>
          </c:val>
          <c:extLst>
            <c:ext xmlns:c16="http://schemas.microsoft.com/office/drawing/2014/chart" uri="{C3380CC4-5D6E-409C-BE32-E72D297353CC}">
              <c16:uniqueId val="{00000009-A25F-E34E-9509-A11C9142A188}"/>
            </c:ext>
          </c:extLst>
        </c:ser>
        <c:ser>
          <c:idx val="9"/>
          <c:order val="10"/>
          <c:tx>
            <c:strRef>
              <c:f>'graf ovce kozy'!$P$63</c:f>
              <c:strCache>
                <c:ptCount val="1"/>
                <c:pt idx="0">
                  <c:v>Kompenzace sucho</c:v>
                </c:pt>
              </c:strCache>
            </c:strRef>
          </c:tx>
          <c:spPr>
            <a:solidFill>
              <a:srgbClr val="FFFF00"/>
            </a:solidFill>
            <a:ln>
              <a:noFill/>
            </a:ln>
            <a:effectLst/>
          </c:spPr>
          <c:invertIfNegative val="0"/>
          <c:cat>
            <c:strRef>
              <c:f>'graf ovce kozy'!$Q$28:$AB$28</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 ovce kozy'!$Q$63:$AB$63</c:f>
              <c:numCache>
                <c:formatCode>#\ ##0.0</c:formatCode>
                <c:ptCount val="10"/>
                <c:pt idx="0">
                  <c:v>0</c:v>
                </c:pt>
                <c:pt idx="1">
                  <c:v>0</c:v>
                </c:pt>
                <c:pt idx="2">
                  <c:v>0</c:v>
                </c:pt>
                <c:pt idx="3">
                  <c:v>0</c:v>
                </c:pt>
                <c:pt idx="4">
                  <c:v>62.067413787937511</c:v>
                </c:pt>
                <c:pt idx="5">
                  <c:v>0</c:v>
                </c:pt>
                <c:pt idx="6">
                  <c:v>15.320099999999996</c:v>
                </c:pt>
                <c:pt idx="7">
                  <c:v>230.53771796318998</c:v>
                </c:pt>
                <c:pt idx="8">
                  <c:v>0</c:v>
                </c:pt>
                <c:pt idx="9">
                  <c:v>0</c:v>
                </c:pt>
              </c:numCache>
              <c:extLst/>
            </c:numRef>
          </c:val>
          <c:extLst>
            <c:ext xmlns:c16="http://schemas.microsoft.com/office/drawing/2014/chart" uri="{C3380CC4-5D6E-409C-BE32-E72D297353CC}">
              <c16:uniqueId val="{0000000A-A25F-E34E-9509-A11C9142A188}"/>
            </c:ext>
          </c:extLst>
        </c:ser>
        <c:ser>
          <c:idx val="10"/>
          <c:order val="11"/>
          <c:tx>
            <c:strRef>
              <c:f>'graf ovce kozy'!$P$64</c:f>
              <c:strCache>
                <c:ptCount val="1"/>
                <c:pt idx="0">
                  <c:v> Zelená nafta RV</c:v>
                </c:pt>
              </c:strCache>
            </c:strRef>
          </c:tx>
          <c:spPr>
            <a:solidFill>
              <a:srgbClr val="FF0000"/>
            </a:solidFill>
            <a:ln>
              <a:noFill/>
            </a:ln>
            <a:effectLst/>
          </c:spPr>
          <c:invertIfNegative val="0"/>
          <c:cat>
            <c:strRef>
              <c:f>'graf ovce kozy'!$Q$28:$AB$28</c:f>
              <c:strCache>
                <c:ptCount val="10"/>
                <c:pt idx="0">
                  <c:v>2011</c:v>
                </c:pt>
                <c:pt idx="1">
                  <c:v>2012</c:v>
                </c:pt>
                <c:pt idx="2">
                  <c:v>2013</c:v>
                </c:pt>
                <c:pt idx="3">
                  <c:v>2014</c:v>
                </c:pt>
                <c:pt idx="4">
                  <c:v>2015</c:v>
                </c:pt>
                <c:pt idx="5">
                  <c:v>2016</c:v>
                </c:pt>
                <c:pt idx="6">
                  <c:v>2017</c:v>
                </c:pt>
                <c:pt idx="7">
                  <c:v>2018</c:v>
                </c:pt>
                <c:pt idx="8">
                  <c:v>2019</c:v>
                </c:pt>
                <c:pt idx="9">
                  <c:v>2020p</c:v>
                </c:pt>
              </c:strCache>
              <c:extLst/>
            </c:strRef>
          </c:cat>
          <c:val>
            <c:numRef>
              <c:f>'graf ovce kozy'!$Q$64:$AB$64</c:f>
              <c:numCache>
                <c:formatCode>#\ ##0.0</c:formatCode>
                <c:ptCount val="10"/>
                <c:pt idx="0">
                  <c:v>73.342870224125292</c:v>
                </c:pt>
                <c:pt idx="1">
                  <c:v>70.621905775457549</c:v>
                </c:pt>
                <c:pt idx="2">
                  <c:v>49.895423412156681</c:v>
                </c:pt>
                <c:pt idx="3">
                  <c:v>39.114834747731251</c:v>
                </c:pt>
                <c:pt idx="4">
                  <c:v>49.677875716053322</c:v>
                </c:pt>
                <c:pt idx="5">
                  <c:v>50.608783319640018</c:v>
                </c:pt>
                <c:pt idx="6">
                  <c:v>43.919298860914417</c:v>
                </c:pt>
                <c:pt idx="7">
                  <c:v>48.331878423083573</c:v>
                </c:pt>
                <c:pt idx="8">
                  <c:v>54.158651611228528</c:v>
                </c:pt>
                <c:pt idx="9">
                  <c:v>57.62572367296216</c:v>
                </c:pt>
              </c:numCache>
              <c:extLst/>
            </c:numRef>
          </c:val>
          <c:extLst>
            <c:ext xmlns:c16="http://schemas.microsoft.com/office/drawing/2014/chart" uri="{C3380CC4-5D6E-409C-BE32-E72D297353CC}">
              <c16:uniqueId val="{0000000B-A25F-E34E-9509-A11C9142A188}"/>
            </c:ext>
          </c:extLst>
        </c:ser>
        <c:dLbls>
          <c:showLegendKey val="0"/>
          <c:showVal val="0"/>
          <c:showCatName val="0"/>
          <c:showSerName val="0"/>
          <c:showPercent val="0"/>
          <c:showBubbleSize val="0"/>
        </c:dLbls>
        <c:gapWidth val="219"/>
        <c:overlap val="100"/>
        <c:axId val="1310931472"/>
        <c:axId val="1310935408"/>
      </c:barChart>
      <c:catAx>
        <c:axId val="13109314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310935408"/>
        <c:crosses val="autoZero"/>
        <c:auto val="1"/>
        <c:lblAlgn val="ctr"/>
        <c:lblOffset val="100"/>
        <c:noMultiLvlLbl val="0"/>
      </c:catAx>
      <c:valAx>
        <c:axId val="131093540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310931472"/>
        <c:crosses val="autoZero"/>
        <c:crossBetween val="between"/>
      </c:valAx>
      <c:spPr>
        <a:noFill/>
        <a:ln>
          <a:noFill/>
        </a:ln>
        <a:effectLst/>
      </c:spPr>
    </c:plotArea>
    <c:legend>
      <c:legendPos val="b"/>
      <c:layout>
        <c:manualLayout>
          <c:xMode val="edge"/>
          <c:yMode val="edge"/>
          <c:x val="0.11937039452502364"/>
          <c:y val="0.81208548638041977"/>
          <c:w val="0.86339122306352001"/>
          <c:h val="0.1879144751536111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cs-CZ" sz="1100"/>
              <a:t>Jetel</a:t>
            </a:r>
            <a:endParaRPr lang="en-US" sz="1100"/>
          </a:p>
        </c:rich>
      </c:tx>
      <c:overlay val="0"/>
      <c:spPr>
        <a:noFill/>
        <a:ln>
          <a:noFill/>
        </a:ln>
        <a:effectLst/>
      </c:spPr>
    </c:title>
    <c:autoTitleDeleted val="0"/>
    <c:plotArea>
      <c:layout/>
      <c:barChart>
        <c:barDir val="col"/>
        <c:grouping val="stacked"/>
        <c:varyColors val="0"/>
        <c:ser>
          <c:idx val="4"/>
          <c:order val="0"/>
          <c:tx>
            <c:strRef>
              <c:f>bílkovinné!$B$55</c:f>
              <c:strCache>
                <c:ptCount val="1"/>
                <c:pt idx="0">
                  <c:v>VCS bílkovinné plodiny</c:v>
                </c:pt>
              </c:strCache>
            </c:strRef>
          </c:tx>
          <c:spPr>
            <a:solidFill>
              <a:schemeClr val="accent5"/>
            </a:solidFill>
            <a:ln>
              <a:noFill/>
            </a:ln>
            <a:effectLst/>
          </c:spPr>
          <c:invertIfNegative val="0"/>
          <c:cat>
            <c:numRef>
              <c:f>bílkovinné!$D$54:$M$54</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bílkovinné!$D$55:$M$55</c:f>
              <c:numCache>
                <c:formatCode>#,##0.00</c:formatCode>
                <c:ptCount val="10"/>
                <c:pt idx="0">
                  <c:v>0</c:v>
                </c:pt>
                <c:pt idx="1">
                  <c:v>0</c:v>
                </c:pt>
                <c:pt idx="2">
                  <c:v>0</c:v>
                </c:pt>
                <c:pt idx="3">
                  <c:v>0</c:v>
                </c:pt>
                <c:pt idx="4" formatCode="0.00">
                  <c:v>0</c:v>
                </c:pt>
                <c:pt idx="5" formatCode="0.00">
                  <c:v>0</c:v>
                </c:pt>
                <c:pt idx="6">
                  <c:v>3711.07</c:v>
                </c:pt>
                <c:pt idx="7">
                  <c:v>3254.51</c:v>
                </c:pt>
                <c:pt idx="8">
                  <c:v>2989.64</c:v>
                </c:pt>
                <c:pt idx="9">
                  <c:v>2218.2199999999998</c:v>
                </c:pt>
              </c:numCache>
            </c:numRef>
          </c:val>
          <c:extLst>
            <c:ext xmlns:c16="http://schemas.microsoft.com/office/drawing/2014/chart" uri="{C3380CC4-5D6E-409C-BE32-E72D297353CC}">
              <c16:uniqueId val="{00000000-F355-B84C-9FB6-8D5CE612D468}"/>
            </c:ext>
          </c:extLst>
        </c:ser>
        <c:ser>
          <c:idx val="5"/>
          <c:order val="1"/>
          <c:tx>
            <c:strRef>
              <c:f>bílkovinné!$B$56</c:f>
              <c:strCache>
                <c:ptCount val="1"/>
                <c:pt idx="0">
                  <c:v>SAPS </c:v>
                </c:pt>
              </c:strCache>
            </c:strRef>
          </c:tx>
          <c:spPr>
            <a:solidFill>
              <a:schemeClr val="accent6"/>
            </a:solidFill>
            <a:ln>
              <a:noFill/>
            </a:ln>
            <a:effectLst/>
          </c:spPr>
          <c:invertIfNegative val="0"/>
          <c:cat>
            <c:numRef>
              <c:f>bílkovinné!$D$54:$M$54</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bílkovinné!$D$56:$M$56</c:f>
              <c:numCache>
                <c:formatCode>#,##0.00</c:formatCode>
                <c:ptCount val="10"/>
                <c:pt idx="0">
                  <c:v>3710</c:v>
                </c:pt>
                <c:pt idx="1">
                  <c:v>4060.8</c:v>
                </c:pt>
                <c:pt idx="2">
                  <c:v>4686.5</c:v>
                </c:pt>
                <c:pt idx="3">
                  <c:v>5387.3</c:v>
                </c:pt>
                <c:pt idx="4">
                  <c:v>6068.88</c:v>
                </c:pt>
                <c:pt idx="5">
                  <c:v>5997.23</c:v>
                </c:pt>
                <c:pt idx="6">
                  <c:v>3543.91</c:v>
                </c:pt>
                <c:pt idx="7">
                  <c:v>3514.54</c:v>
                </c:pt>
                <c:pt idx="8">
                  <c:v>3377.73</c:v>
                </c:pt>
                <c:pt idx="9">
                  <c:v>3388.15</c:v>
                </c:pt>
              </c:numCache>
            </c:numRef>
          </c:val>
          <c:extLst>
            <c:ext xmlns:c16="http://schemas.microsoft.com/office/drawing/2014/chart" uri="{C3380CC4-5D6E-409C-BE32-E72D297353CC}">
              <c16:uniqueId val="{00000001-F355-B84C-9FB6-8D5CE612D468}"/>
            </c:ext>
          </c:extLst>
        </c:ser>
        <c:ser>
          <c:idx val="6"/>
          <c:order val="2"/>
          <c:tx>
            <c:strRef>
              <c:f>bílkovinné!$B$57</c:f>
              <c:strCache>
                <c:ptCount val="1"/>
                <c:pt idx="0">
                  <c:v>Top-Up</c:v>
                </c:pt>
              </c:strCache>
            </c:strRef>
          </c:tx>
          <c:spPr>
            <a:solidFill>
              <a:schemeClr val="accent1">
                <a:lumMod val="60000"/>
              </a:schemeClr>
            </a:solidFill>
            <a:ln>
              <a:noFill/>
            </a:ln>
            <a:effectLst/>
          </c:spPr>
          <c:invertIfNegative val="0"/>
          <c:cat>
            <c:numRef>
              <c:f>bílkovinné!$D$54:$M$54</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bílkovinné!$D$57:$M$57</c:f>
              <c:numCache>
                <c:formatCode>#,##0.00</c:formatCode>
                <c:ptCount val="10"/>
                <c:pt idx="0">
                  <c:v>1184</c:v>
                </c:pt>
                <c:pt idx="1">
                  <c:v>514.1</c:v>
                </c:pt>
                <c:pt idx="2">
                  <c:v>0</c:v>
                </c:pt>
                <c:pt idx="3">
                  <c:v>491.43</c:v>
                </c:pt>
                <c:pt idx="4">
                  <c:v>0</c:v>
                </c:pt>
                <c:pt idx="5">
                  <c:v>0</c:v>
                </c:pt>
                <c:pt idx="6">
                  <c:v>0</c:v>
                </c:pt>
                <c:pt idx="7">
                  <c:v>0</c:v>
                </c:pt>
                <c:pt idx="8">
                  <c:v>0</c:v>
                </c:pt>
                <c:pt idx="9">
                  <c:v>0</c:v>
                </c:pt>
              </c:numCache>
            </c:numRef>
          </c:val>
          <c:extLst>
            <c:ext xmlns:c16="http://schemas.microsoft.com/office/drawing/2014/chart" uri="{C3380CC4-5D6E-409C-BE32-E72D297353CC}">
              <c16:uniqueId val="{00000002-F355-B84C-9FB6-8D5CE612D468}"/>
            </c:ext>
          </c:extLst>
        </c:ser>
        <c:ser>
          <c:idx val="7"/>
          <c:order val="3"/>
          <c:tx>
            <c:strRef>
              <c:f>bílkovinné!$B$58</c:f>
              <c:strCache>
                <c:ptCount val="1"/>
                <c:pt idx="0">
                  <c:v>Greening</c:v>
                </c:pt>
              </c:strCache>
            </c:strRef>
          </c:tx>
          <c:spPr>
            <a:solidFill>
              <a:schemeClr val="accent2">
                <a:lumMod val="60000"/>
              </a:schemeClr>
            </a:solidFill>
            <a:ln>
              <a:noFill/>
            </a:ln>
            <a:effectLst/>
          </c:spPr>
          <c:invertIfNegative val="0"/>
          <c:cat>
            <c:numRef>
              <c:f>bílkovinné!$D$54:$M$54</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bílkovinné!$D$58:$M$58</c:f>
              <c:numCache>
                <c:formatCode>0.00</c:formatCode>
                <c:ptCount val="10"/>
                <c:pt idx="0">
                  <c:v>0</c:v>
                </c:pt>
                <c:pt idx="1">
                  <c:v>0</c:v>
                </c:pt>
                <c:pt idx="2">
                  <c:v>0</c:v>
                </c:pt>
                <c:pt idx="3">
                  <c:v>0</c:v>
                </c:pt>
                <c:pt idx="4">
                  <c:v>0</c:v>
                </c:pt>
                <c:pt idx="5">
                  <c:v>0</c:v>
                </c:pt>
                <c:pt idx="6" formatCode="#,##0.00">
                  <c:v>1943.62</c:v>
                </c:pt>
                <c:pt idx="7" formatCode="#,##0.00">
                  <c:v>1928.43</c:v>
                </c:pt>
                <c:pt idx="8" formatCode="#,##0.00">
                  <c:v>1853.35</c:v>
                </c:pt>
                <c:pt idx="9" formatCode="General">
                  <c:v>1877.38</c:v>
                </c:pt>
              </c:numCache>
            </c:numRef>
          </c:val>
          <c:extLst>
            <c:ext xmlns:c16="http://schemas.microsoft.com/office/drawing/2014/chart" uri="{C3380CC4-5D6E-409C-BE32-E72D297353CC}">
              <c16:uniqueId val="{00000003-F355-B84C-9FB6-8D5CE612D468}"/>
            </c:ext>
          </c:extLst>
        </c:ser>
        <c:ser>
          <c:idx val="8"/>
          <c:order val="4"/>
          <c:tx>
            <c:strRef>
              <c:f>bílkovinné!$B$59</c:f>
              <c:strCache>
                <c:ptCount val="1"/>
                <c:pt idx="0">
                  <c:v>PVP zemědělská půda</c:v>
                </c:pt>
              </c:strCache>
            </c:strRef>
          </c:tx>
          <c:spPr>
            <a:solidFill>
              <a:schemeClr val="accent3">
                <a:lumMod val="60000"/>
              </a:schemeClr>
            </a:solidFill>
            <a:ln>
              <a:noFill/>
            </a:ln>
            <a:effectLst/>
          </c:spPr>
          <c:invertIfNegative val="0"/>
          <c:cat>
            <c:numRef>
              <c:f>bílkovinné!$D$54:$M$54</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bílkovinné!$D$59:$M$59</c:f>
              <c:numCache>
                <c:formatCode>#,##0.00</c:formatCode>
                <c:ptCount val="10"/>
                <c:pt idx="0">
                  <c:v>0</c:v>
                </c:pt>
                <c:pt idx="1">
                  <c:v>0</c:v>
                </c:pt>
                <c:pt idx="2">
                  <c:v>0</c:v>
                </c:pt>
                <c:pt idx="3">
                  <c:v>0</c:v>
                </c:pt>
                <c:pt idx="4" formatCode="0.00">
                  <c:v>247.78</c:v>
                </c:pt>
                <c:pt idx="5" formatCode="0.00">
                  <c:v>185.06</c:v>
                </c:pt>
                <c:pt idx="6" formatCode="General">
                  <c:v>192.17</c:v>
                </c:pt>
                <c:pt idx="7" formatCode="General">
                  <c:v>178.32</c:v>
                </c:pt>
                <c:pt idx="8" formatCode="General">
                  <c:v>159.25</c:v>
                </c:pt>
                <c:pt idx="9">
                  <c:v>141.58000000000001</c:v>
                </c:pt>
              </c:numCache>
            </c:numRef>
          </c:val>
          <c:extLst>
            <c:ext xmlns:c16="http://schemas.microsoft.com/office/drawing/2014/chart" uri="{C3380CC4-5D6E-409C-BE32-E72D297353CC}">
              <c16:uniqueId val="{00000004-F355-B84C-9FB6-8D5CE612D468}"/>
            </c:ext>
          </c:extLst>
        </c:ser>
        <c:ser>
          <c:idx val="9"/>
          <c:order val="5"/>
          <c:tx>
            <c:strRef>
              <c:f>bílkovinné!$B$60</c:f>
              <c:strCache>
                <c:ptCount val="1"/>
                <c:pt idx="0">
                  <c:v>LFA</c:v>
                </c:pt>
              </c:strCache>
            </c:strRef>
          </c:tx>
          <c:spPr>
            <a:solidFill>
              <a:schemeClr val="accent4">
                <a:lumMod val="60000"/>
              </a:schemeClr>
            </a:solidFill>
            <a:ln>
              <a:noFill/>
            </a:ln>
            <a:effectLst/>
          </c:spPr>
          <c:invertIfNegative val="0"/>
          <c:cat>
            <c:numRef>
              <c:f>bílkovinné!$D$54:$M$54</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bílkovinné!$D$60:$M$60</c:f>
              <c:numCache>
                <c:formatCode>0</c:formatCode>
                <c:ptCount val="10"/>
                <c:pt idx="0">
                  <c:v>0</c:v>
                </c:pt>
                <c:pt idx="1">
                  <c:v>0</c:v>
                </c:pt>
                <c:pt idx="2">
                  <c:v>0</c:v>
                </c:pt>
                <c:pt idx="3">
                  <c:v>0</c:v>
                </c:pt>
                <c:pt idx="4">
                  <c:v>0</c:v>
                </c:pt>
                <c:pt idx="5">
                  <c:v>0</c:v>
                </c:pt>
                <c:pt idx="6" formatCode="0.00">
                  <c:v>788.17487460512632</c:v>
                </c:pt>
                <c:pt idx="7" formatCode="0.00">
                  <c:v>767.94121638558966</c:v>
                </c:pt>
                <c:pt idx="8" formatCode="0.00">
                  <c:v>767.88438026699532</c:v>
                </c:pt>
                <c:pt idx="9" formatCode="0.00">
                  <c:v>1745.9641673324188</c:v>
                </c:pt>
              </c:numCache>
            </c:numRef>
          </c:val>
          <c:extLst>
            <c:ext xmlns:c16="http://schemas.microsoft.com/office/drawing/2014/chart" uri="{C3380CC4-5D6E-409C-BE32-E72D297353CC}">
              <c16:uniqueId val="{00000005-F355-B84C-9FB6-8D5CE612D468}"/>
            </c:ext>
          </c:extLst>
        </c:ser>
        <c:ser>
          <c:idx val="0"/>
          <c:order val="6"/>
          <c:tx>
            <c:strRef>
              <c:f>bílkovinné!$B$61</c:f>
              <c:strCache>
                <c:ptCount val="1"/>
                <c:pt idx="0">
                  <c:v>Pojistné RV</c:v>
                </c:pt>
              </c:strCache>
            </c:strRef>
          </c:tx>
          <c:spPr>
            <a:solidFill>
              <a:schemeClr val="accent1"/>
            </a:solidFill>
            <a:ln>
              <a:noFill/>
            </a:ln>
            <a:effectLst/>
          </c:spPr>
          <c:invertIfNegative val="0"/>
          <c:cat>
            <c:numRef>
              <c:f>bílkovinné!$D$54:$M$54</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bílkovinné!$D$61:$M$61</c:f>
              <c:numCache>
                <c:formatCode>#,##0.00</c:formatCode>
                <c:ptCount val="10"/>
                <c:pt idx="0">
                  <c:v>105.55845361190565</c:v>
                </c:pt>
                <c:pt idx="1">
                  <c:v>115.39953665750696</c:v>
                </c:pt>
                <c:pt idx="2">
                  <c:v>131.21812655196268</c:v>
                </c:pt>
                <c:pt idx="3">
                  <c:v>48.153597645910146</c:v>
                </c:pt>
                <c:pt idx="4" formatCode="0.00">
                  <c:v>49.702931637723523</c:v>
                </c:pt>
                <c:pt idx="5" formatCode="0.00">
                  <c:v>48.776561940943303</c:v>
                </c:pt>
                <c:pt idx="6">
                  <c:v>128.46938304003334</c:v>
                </c:pt>
                <c:pt idx="7">
                  <c:v>94.599040322787815</c:v>
                </c:pt>
                <c:pt idx="8">
                  <c:v>107.31712466231785</c:v>
                </c:pt>
                <c:pt idx="9">
                  <c:v>110.4086766857279</c:v>
                </c:pt>
              </c:numCache>
            </c:numRef>
          </c:val>
          <c:extLst>
            <c:ext xmlns:c16="http://schemas.microsoft.com/office/drawing/2014/chart" uri="{C3380CC4-5D6E-409C-BE32-E72D297353CC}">
              <c16:uniqueId val="{00000006-F355-B84C-9FB6-8D5CE612D468}"/>
            </c:ext>
          </c:extLst>
        </c:ser>
        <c:ser>
          <c:idx val="1"/>
          <c:order val="7"/>
          <c:tx>
            <c:strRef>
              <c:f>bílkovinné!$B$62</c:f>
              <c:strCache>
                <c:ptCount val="1"/>
                <c:pt idx="0">
                  <c:v>Vratka na ZN</c:v>
                </c:pt>
              </c:strCache>
            </c:strRef>
          </c:tx>
          <c:spPr>
            <a:solidFill>
              <a:schemeClr val="accent2"/>
            </a:solidFill>
            <a:ln>
              <a:noFill/>
            </a:ln>
            <a:effectLst/>
          </c:spPr>
          <c:invertIfNegative val="0"/>
          <c:cat>
            <c:numRef>
              <c:f>bílkovinné!$D$54:$M$54</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bílkovinné!$D$62:$M$62</c:f>
              <c:numCache>
                <c:formatCode>#,##0.00</c:formatCode>
                <c:ptCount val="10"/>
                <c:pt idx="0">
                  <c:v>457.40430374151077</c:v>
                </c:pt>
                <c:pt idx="1">
                  <c:v>499.40118739087552</c:v>
                </c:pt>
                <c:pt idx="2">
                  <c:v>541.53560946582604</c:v>
                </c:pt>
                <c:pt idx="3">
                  <c:v>556.01724133084883</c:v>
                </c:pt>
                <c:pt idx="4" formatCode="0.00">
                  <c:v>368.40865982593829</c:v>
                </c:pt>
                <c:pt idx="5" formatCode="0.00">
                  <c:v>288.8089300233047</c:v>
                </c:pt>
                <c:pt idx="6">
                  <c:v>366.80237111870332</c:v>
                </c:pt>
                <c:pt idx="7">
                  <c:v>373.67583564121475</c:v>
                </c:pt>
                <c:pt idx="8">
                  <c:v>324.28324939120824</c:v>
                </c:pt>
                <c:pt idx="9">
                  <c:v>356.86404361447154</c:v>
                </c:pt>
              </c:numCache>
            </c:numRef>
          </c:val>
          <c:extLst>
            <c:ext xmlns:c16="http://schemas.microsoft.com/office/drawing/2014/chart" uri="{C3380CC4-5D6E-409C-BE32-E72D297353CC}">
              <c16:uniqueId val="{00000007-F355-B84C-9FB6-8D5CE612D468}"/>
            </c:ext>
          </c:extLst>
        </c:ser>
        <c:ser>
          <c:idx val="2"/>
          <c:order val="8"/>
          <c:tx>
            <c:strRef>
              <c:f>bílkovinné!$B$63</c:f>
              <c:strCache>
                <c:ptCount val="1"/>
                <c:pt idx="0">
                  <c:v>Podpora na zmírnění škod způsobených suchem</c:v>
                </c:pt>
              </c:strCache>
            </c:strRef>
          </c:tx>
          <c:spPr>
            <a:solidFill>
              <a:schemeClr val="accent3"/>
            </a:solidFill>
            <a:ln>
              <a:noFill/>
            </a:ln>
            <a:effectLst/>
          </c:spPr>
          <c:invertIfNegative val="0"/>
          <c:cat>
            <c:numRef>
              <c:f>bílkovinné!$D$54:$M$54</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bílkovinné!$D$63:$M$63</c:f>
              <c:numCache>
                <c:formatCode>General</c:formatCode>
                <c:ptCount val="10"/>
                <c:pt idx="0">
                  <c:v>0</c:v>
                </c:pt>
                <c:pt idx="1">
                  <c:v>0</c:v>
                </c:pt>
                <c:pt idx="2">
                  <c:v>0</c:v>
                </c:pt>
                <c:pt idx="3">
                  <c:v>0</c:v>
                </c:pt>
                <c:pt idx="4">
                  <c:v>0</c:v>
                </c:pt>
                <c:pt idx="5">
                  <c:v>0</c:v>
                </c:pt>
                <c:pt idx="6">
                  <c:v>0</c:v>
                </c:pt>
                <c:pt idx="7">
                  <c:v>0</c:v>
                </c:pt>
                <c:pt idx="8">
                  <c:v>0</c:v>
                </c:pt>
                <c:pt idx="9" formatCode="#,##0.00">
                  <c:v>496.58674090829999</c:v>
                </c:pt>
              </c:numCache>
            </c:numRef>
          </c:val>
          <c:extLst>
            <c:ext xmlns:c16="http://schemas.microsoft.com/office/drawing/2014/chart" uri="{C3380CC4-5D6E-409C-BE32-E72D297353CC}">
              <c16:uniqueId val="{00000008-F355-B84C-9FB6-8D5CE612D468}"/>
            </c:ext>
          </c:extLst>
        </c:ser>
        <c:dLbls>
          <c:showLegendKey val="0"/>
          <c:showVal val="0"/>
          <c:showCatName val="0"/>
          <c:showSerName val="0"/>
          <c:showPercent val="0"/>
          <c:showBubbleSize val="0"/>
        </c:dLbls>
        <c:gapWidth val="150"/>
        <c:overlap val="100"/>
        <c:axId val="193574400"/>
        <c:axId val="193575936"/>
      </c:barChart>
      <c:catAx>
        <c:axId val="193574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93575936"/>
        <c:crosses val="autoZero"/>
        <c:auto val="1"/>
        <c:lblAlgn val="ctr"/>
        <c:lblOffset val="100"/>
        <c:noMultiLvlLbl val="0"/>
      </c:catAx>
      <c:valAx>
        <c:axId val="19357593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93574400"/>
        <c:crosses val="autoZero"/>
        <c:crossBetween val="between"/>
      </c:valAx>
      <c:spPr>
        <a:noFill/>
        <a:ln>
          <a:noFill/>
        </a:ln>
        <a:effectLst/>
      </c:spPr>
    </c:plotArea>
    <c:legend>
      <c:legendPos val="r"/>
      <c:layout>
        <c:manualLayout>
          <c:xMode val="edge"/>
          <c:yMode val="edge"/>
          <c:x val="0.72018824892396827"/>
          <c:y val="2.28757528636882E-2"/>
          <c:w val="0.27131015797566582"/>
          <c:h val="0.7598550748046121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209341096206622"/>
          <c:y val="5.4890219560878244E-2"/>
          <c:w val="0.76356301349953404"/>
          <c:h val="0.73516274537539084"/>
        </c:manualLayout>
      </c:layout>
      <c:barChart>
        <c:barDir val="col"/>
        <c:grouping val="clustered"/>
        <c:varyColors val="0"/>
        <c:ser>
          <c:idx val="0"/>
          <c:order val="0"/>
          <c:tx>
            <c:strRef>
              <c:f>List1!$C$21</c:f>
              <c:strCache>
                <c:ptCount val="1"/>
                <c:pt idx="0">
                  <c:v>Plocha (ha)</c:v>
                </c:pt>
              </c:strCache>
            </c:strRef>
          </c:tx>
          <c:spPr>
            <a:solidFill>
              <a:schemeClr val="accent1"/>
            </a:solidFill>
            <a:ln>
              <a:noFill/>
            </a:ln>
            <a:effectLst/>
          </c:spPr>
          <c:invertIfNegative val="0"/>
          <c:cat>
            <c:numRef>
              <c:f>List1!$B$22:$B$31</c:f>
              <c:numCache>
                <c:formatCode>General</c:formatCode>
                <c:ptCount val="10"/>
                <c:pt idx="0">
                  <c:v>2011</c:v>
                </c:pt>
                <c:pt idx="1">
                  <c:v>2012</c:v>
                </c:pt>
                <c:pt idx="2">
                  <c:v>2013</c:v>
                </c:pt>
                <c:pt idx="3">
                  <c:v>2014</c:v>
                </c:pt>
                <c:pt idx="4">
                  <c:v>2015</c:v>
                </c:pt>
                <c:pt idx="5">
                  <c:v>2016</c:v>
                </c:pt>
                <c:pt idx="6">
                  <c:v>2017</c:v>
                </c:pt>
                <c:pt idx="7">
                  <c:v>2018</c:v>
                </c:pt>
                <c:pt idx="8">
                  <c:v>2019</c:v>
                </c:pt>
                <c:pt idx="9">
                  <c:v>2020</c:v>
                </c:pt>
              </c:numCache>
            </c:numRef>
          </c:cat>
          <c:val>
            <c:numRef>
              <c:f>List1!$C$22:$C$31</c:f>
              <c:numCache>
                <c:formatCode>#,##0</c:formatCode>
                <c:ptCount val="10"/>
                <c:pt idx="0">
                  <c:v>2474.5700000000002</c:v>
                </c:pt>
                <c:pt idx="1">
                  <c:v>1682.51</c:v>
                </c:pt>
                <c:pt idx="2">
                  <c:v>1513.03</c:v>
                </c:pt>
                <c:pt idx="3">
                  <c:v>1812.89</c:v>
                </c:pt>
                <c:pt idx="4">
                  <c:v>1599.32</c:v>
                </c:pt>
                <c:pt idx="5">
                  <c:v>1481.18</c:v>
                </c:pt>
                <c:pt idx="6">
                  <c:v>1721.8</c:v>
                </c:pt>
                <c:pt idx="7">
                  <c:v>1258.4000000000001</c:v>
                </c:pt>
                <c:pt idx="8">
                  <c:v>1081.8</c:v>
                </c:pt>
                <c:pt idx="9">
                  <c:v>1286.71</c:v>
                </c:pt>
              </c:numCache>
            </c:numRef>
          </c:val>
          <c:extLst>
            <c:ext xmlns:c16="http://schemas.microsoft.com/office/drawing/2014/chart" uri="{C3380CC4-5D6E-409C-BE32-E72D297353CC}">
              <c16:uniqueId val="{00000000-55FB-F045-BCEE-735C8519D442}"/>
            </c:ext>
          </c:extLst>
        </c:ser>
        <c:dLbls>
          <c:showLegendKey val="0"/>
          <c:showVal val="0"/>
          <c:showCatName val="0"/>
          <c:showSerName val="0"/>
          <c:showPercent val="0"/>
          <c:showBubbleSize val="0"/>
        </c:dLbls>
        <c:gapWidth val="219"/>
        <c:overlap val="-27"/>
        <c:axId val="554869064"/>
        <c:axId val="554868736"/>
      </c:barChart>
      <c:lineChart>
        <c:grouping val="standard"/>
        <c:varyColors val="0"/>
        <c:ser>
          <c:idx val="1"/>
          <c:order val="1"/>
          <c:tx>
            <c:strRef>
              <c:f>List1!$D$21</c:f>
              <c:strCache>
                <c:ptCount val="1"/>
                <c:pt idx="0">
                  <c:v>Výnos (t/ha)</c:v>
                </c:pt>
              </c:strCache>
            </c:strRef>
          </c:tx>
          <c:spPr>
            <a:ln w="28575" cap="rnd">
              <a:solidFill>
                <a:schemeClr val="accent2"/>
              </a:solidFill>
              <a:round/>
            </a:ln>
            <a:effectLst/>
          </c:spPr>
          <c:marker>
            <c:symbol val="none"/>
          </c:marker>
          <c:cat>
            <c:numRef>
              <c:f>List1!$B$22:$B$31</c:f>
              <c:numCache>
                <c:formatCode>General</c:formatCode>
                <c:ptCount val="10"/>
                <c:pt idx="0">
                  <c:v>2011</c:v>
                </c:pt>
                <c:pt idx="1">
                  <c:v>2012</c:v>
                </c:pt>
                <c:pt idx="2">
                  <c:v>2013</c:v>
                </c:pt>
                <c:pt idx="3">
                  <c:v>2014</c:v>
                </c:pt>
                <c:pt idx="4">
                  <c:v>2015</c:v>
                </c:pt>
                <c:pt idx="5">
                  <c:v>2016</c:v>
                </c:pt>
                <c:pt idx="6">
                  <c:v>2017</c:v>
                </c:pt>
                <c:pt idx="7">
                  <c:v>2018</c:v>
                </c:pt>
                <c:pt idx="8">
                  <c:v>2019</c:v>
                </c:pt>
                <c:pt idx="9">
                  <c:v>2020</c:v>
                </c:pt>
              </c:numCache>
            </c:numRef>
          </c:cat>
          <c:val>
            <c:numRef>
              <c:f>List1!$D$22:$D$31</c:f>
              <c:numCache>
                <c:formatCode>#,##0.00</c:formatCode>
                <c:ptCount val="10"/>
                <c:pt idx="0">
                  <c:v>1.3872996116497005</c:v>
                </c:pt>
                <c:pt idx="1">
                  <c:v>1.4278013206459397</c:v>
                </c:pt>
                <c:pt idx="2">
                  <c:v>1.3656107281415439</c:v>
                </c:pt>
                <c:pt idx="3">
                  <c:v>1.3181549900986822</c:v>
                </c:pt>
                <c:pt idx="4">
                  <c:v>1.3300902883725583</c:v>
                </c:pt>
                <c:pt idx="5">
                  <c:v>1.5102890938305946</c:v>
                </c:pt>
                <c:pt idx="6">
                  <c:v>1.3641131374143338</c:v>
                </c:pt>
                <c:pt idx="7">
                  <c:v>1.3916242848061029</c:v>
                </c:pt>
                <c:pt idx="8">
                  <c:v>1.2481050101682383</c:v>
                </c:pt>
                <c:pt idx="9">
                  <c:v>1.2311165686129741</c:v>
                </c:pt>
              </c:numCache>
            </c:numRef>
          </c:val>
          <c:smooth val="0"/>
          <c:extLst>
            <c:ext xmlns:c16="http://schemas.microsoft.com/office/drawing/2014/chart" uri="{C3380CC4-5D6E-409C-BE32-E72D297353CC}">
              <c16:uniqueId val="{00000001-55FB-F045-BCEE-735C8519D442}"/>
            </c:ext>
          </c:extLst>
        </c:ser>
        <c:dLbls>
          <c:showLegendKey val="0"/>
          <c:showVal val="0"/>
          <c:showCatName val="0"/>
          <c:showSerName val="0"/>
          <c:showPercent val="0"/>
          <c:showBubbleSize val="0"/>
        </c:dLbls>
        <c:marker val="1"/>
        <c:smooth val="0"/>
        <c:axId val="617345680"/>
        <c:axId val="617348304"/>
      </c:lineChart>
      <c:catAx>
        <c:axId val="6173456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617348304"/>
        <c:crosses val="autoZero"/>
        <c:auto val="1"/>
        <c:lblAlgn val="ctr"/>
        <c:lblOffset val="100"/>
        <c:noMultiLvlLbl val="0"/>
      </c:catAx>
      <c:valAx>
        <c:axId val="6173483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t/ha</a:t>
                </a:r>
              </a:p>
            </c:rich>
          </c:tx>
          <c:layout>
            <c:manualLayout>
              <c:xMode val="edge"/>
              <c:yMode val="edge"/>
              <c:x val="1.3572204125950055E-2"/>
              <c:y val="0.34947978059628776"/>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617345680"/>
        <c:crosses val="autoZero"/>
        <c:crossBetween val="between"/>
      </c:valAx>
      <c:valAx>
        <c:axId val="554868736"/>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ha</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54869064"/>
        <c:crosses val="max"/>
        <c:crossBetween val="between"/>
      </c:valAx>
      <c:catAx>
        <c:axId val="554869064"/>
        <c:scaling>
          <c:orientation val="minMax"/>
        </c:scaling>
        <c:delete val="1"/>
        <c:axPos val="b"/>
        <c:numFmt formatCode="General" sourceLinked="1"/>
        <c:majorTickMark val="out"/>
        <c:minorTickMark val="none"/>
        <c:tickLblPos val="nextTo"/>
        <c:crossAx val="554868736"/>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56776808958254"/>
          <c:y val="5.4644808743169397E-2"/>
          <c:w val="0.79528711818708708"/>
          <c:h val="0.78105620553019539"/>
        </c:manualLayout>
      </c:layout>
      <c:barChart>
        <c:barDir val="col"/>
        <c:grouping val="clustered"/>
        <c:varyColors val="0"/>
        <c:ser>
          <c:idx val="0"/>
          <c:order val="0"/>
          <c:tx>
            <c:strRef>
              <c:f>List1!$C$34</c:f>
              <c:strCache>
                <c:ptCount val="1"/>
                <c:pt idx="0">
                  <c:v>Plocha (ha)</c:v>
                </c:pt>
              </c:strCache>
            </c:strRef>
          </c:tx>
          <c:spPr>
            <a:solidFill>
              <a:schemeClr val="accent1"/>
            </a:solidFill>
            <a:ln>
              <a:noFill/>
            </a:ln>
            <a:effectLst/>
          </c:spPr>
          <c:invertIfNegative val="0"/>
          <c:cat>
            <c:numRef>
              <c:f>List1!$B$35:$B$44</c:f>
              <c:numCache>
                <c:formatCode>General</c:formatCode>
                <c:ptCount val="10"/>
                <c:pt idx="0">
                  <c:v>2011</c:v>
                </c:pt>
                <c:pt idx="1">
                  <c:v>2012</c:v>
                </c:pt>
                <c:pt idx="2">
                  <c:v>2013</c:v>
                </c:pt>
                <c:pt idx="3">
                  <c:v>2014</c:v>
                </c:pt>
                <c:pt idx="4">
                  <c:v>2015</c:v>
                </c:pt>
                <c:pt idx="5">
                  <c:v>2016</c:v>
                </c:pt>
                <c:pt idx="6">
                  <c:v>2017</c:v>
                </c:pt>
                <c:pt idx="7">
                  <c:v>2018</c:v>
                </c:pt>
                <c:pt idx="8">
                  <c:v>2019</c:v>
                </c:pt>
                <c:pt idx="9">
                  <c:v>2020</c:v>
                </c:pt>
              </c:numCache>
            </c:numRef>
          </c:cat>
          <c:val>
            <c:numRef>
              <c:f>List1!$C$35:$C$44</c:f>
              <c:numCache>
                <c:formatCode>#,##0</c:formatCode>
                <c:ptCount val="10"/>
                <c:pt idx="0">
                  <c:v>298.55</c:v>
                </c:pt>
                <c:pt idx="1">
                  <c:v>212.94</c:v>
                </c:pt>
                <c:pt idx="2">
                  <c:v>279.89999999999998</c:v>
                </c:pt>
                <c:pt idx="3">
                  <c:v>126.95</c:v>
                </c:pt>
                <c:pt idx="4">
                  <c:v>427.13</c:v>
                </c:pt>
                <c:pt idx="5">
                  <c:v>556.13</c:v>
                </c:pt>
                <c:pt idx="6">
                  <c:v>568.91</c:v>
                </c:pt>
                <c:pt idx="7">
                  <c:v>785.84</c:v>
                </c:pt>
                <c:pt idx="8">
                  <c:v>399.8</c:v>
                </c:pt>
                <c:pt idx="9">
                  <c:v>413.29</c:v>
                </c:pt>
              </c:numCache>
            </c:numRef>
          </c:val>
          <c:extLst>
            <c:ext xmlns:c16="http://schemas.microsoft.com/office/drawing/2014/chart" uri="{C3380CC4-5D6E-409C-BE32-E72D297353CC}">
              <c16:uniqueId val="{00000000-AB33-2846-A339-FC53A0337F89}"/>
            </c:ext>
          </c:extLst>
        </c:ser>
        <c:dLbls>
          <c:showLegendKey val="0"/>
          <c:showVal val="0"/>
          <c:showCatName val="0"/>
          <c:showSerName val="0"/>
          <c:showPercent val="0"/>
          <c:showBubbleSize val="0"/>
        </c:dLbls>
        <c:gapWidth val="219"/>
        <c:overlap val="-27"/>
        <c:axId val="476944264"/>
        <c:axId val="489410424"/>
      </c:barChart>
      <c:lineChart>
        <c:grouping val="standard"/>
        <c:varyColors val="0"/>
        <c:ser>
          <c:idx val="1"/>
          <c:order val="1"/>
          <c:tx>
            <c:strRef>
              <c:f>List1!$D$34</c:f>
              <c:strCache>
                <c:ptCount val="1"/>
                <c:pt idx="0">
                  <c:v>Výnos (t/ha)</c:v>
                </c:pt>
              </c:strCache>
            </c:strRef>
          </c:tx>
          <c:spPr>
            <a:ln w="28575" cap="rnd">
              <a:solidFill>
                <a:schemeClr val="accent2"/>
              </a:solidFill>
              <a:round/>
            </a:ln>
            <a:effectLst/>
          </c:spPr>
          <c:marker>
            <c:symbol val="none"/>
          </c:marker>
          <c:cat>
            <c:numRef>
              <c:f>List1!$B$35:$B$44</c:f>
              <c:numCache>
                <c:formatCode>General</c:formatCode>
                <c:ptCount val="10"/>
                <c:pt idx="0">
                  <c:v>2011</c:v>
                </c:pt>
                <c:pt idx="1">
                  <c:v>2012</c:v>
                </c:pt>
                <c:pt idx="2">
                  <c:v>2013</c:v>
                </c:pt>
                <c:pt idx="3">
                  <c:v>2014</c:v>
                </c:pt>
                <c:pt idx="4">
                  <c:v>2015</c:v>
                </c:pt>
                <c:pt idx="5">
                  <c:v>2016</c:v>
                </c:pt>
                <c:pt idx="6">
                  <c:v>2017</c:v>
                </c:pt>
                <c:pt idx="7">
                  <c:v>2018</c:v>
                </c:pt>
                <c:pt idx="8">
                  <c:v>2019</c:v>
                </c:pt>
                <c:pt idx="9">
                  <c:v>2020</c:v>
                </c:pt>
              </c:numCache>
            </c:numRef>
          </c:cat>
          <c:val>
            <c:numRef>
              <c:f>List1!$D$35:$D$44</c:f>
              <c:numCache>
                <c:formatCode>#,##0.00</c:formatCode>
                <c:ptCount val="10"/>
                <c:pt idx="0">
                  <c:v>1.8664880254563725</c:v>
                </c:pt>
                <c:pt idx="1">
                  <c:v>1.8450737296891142</c:v>
                </c:pt>
                <c:pt idx="2">
                  <c:v>3.071204001429082</c:v>
                </c:pt>
                <c:pt idx="3">
                  <c:v>0</c:v>
                </c:pt>
                <c:pt idx="4">
                  <c:v>1.5189988996324304</c:v>
                </c:pt>
                <c:pt idx="5">
                  <c:v>1.0814198119144804</c:v>
                </c:pt>
                <c:pt idx="6">
                  <c:v>0.81925084811305837</c:v>
                </c:pt>
                <c:pt idx="7">
                  <c:v>0.46494197292069633</c:v>
                </c:pt>
                <c:pt idx="8">
                  <c:v>0.45722861430715361</c:v>
                </c:pt>
                <c:pt idx="9">
                  <c:v>0.68068426528587667</c:v>
                </c:pt>
              </c:numCache>
            </c:numRef>
          </c:val>
          <c:smooth val="0"/>
          <c:extLst>
            <c:ext xmlns:c16="http://schemas.microsoft.com/office/drawing/2014/chart" uri="{C3380CC4-5D6E-409C-BE32-E72D297353CC}">
              <c16:uniqueId val="{00000001-AB33-2846-A339-FC53A0337F89}"/>
            </c:ext>
          </c:extLst>
        </c:ser>
        <c:dLbls>
          <c:showLegendKey val="0"/>
          <c:showVal val="0"/>
          <c:showCatName val="0"/>
          <c:showSerName val="0"/>
          <c:showPercent val="0"/>
          <c:showBubbleSize val="0"/>
        </c:dLbls>
        <c:marker val="1"/>
        <c:smooth val="0"/>
        <c:axId val="551482608"/>
        <c:axId val="551481624"/>
      </c:lineChart>
      <c:catAx>
        <c:axId val="551482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51481624"/>
        <c:crosses val="autoZero"/>
        <c:auto val="1"/>
        <c:lblAlgn val="ctr"/>
        <c:lblOffset val="100"/>
        <c:noMultiLvlLbl val="0"/>
      </c:catAx>
      <c:valAx>
        <c:axId val="5514816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t/ha</a:t>
                </a:r>
              </a:p>
            </c:rich>
          </c:tx>
          <c:layout>
            <c:manualLayout>
              <c:xMode val="edge"/>
              <c:yMode val="edge"/>
              <c:x val="8.1333875559170387E-3"/>
              <c:y val="0.3551204571857727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51482608"/>
        <c:crosses val="autoZero"/>
        <c:crossBetween val="between"/>
      </c:valAx>
      <c:valAx>
        <c:axId val="489410424"/>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ha</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76944264"/>
        <c:crosses val="max"/>
        <c:crossBetween val="between"/>
      </c:valAx>
      <c:catAx>
        <c:axId val="476944264"/>
        <c:scaling>
          <c:orientation val="minMax"/>
        </c:scaling>
        <c:delete val="1"/>
        <c:axPos val="b"/>
        <c:numFmt formatCode="General" sourceLinked="1"/>
        <c:majorTickMark val="out"/>
        <c:minorTickMark val="none"/>
        <c:tickLblPos val="nextTo"/>
        <c:crossAx val="489410424"/>
        <c:crosses val="autoZero"/>
        <c:auto val="1"/>
        <c:lblAlgn val="ctr"/>
        <c:lblOffset val="100"/>
        <c:noMultiLvlLbl val="0"/>
      </c:catAx>
      <c:spPr>
        <a:noFill/>
        <a:ln>
          <a:noFill/>
        </a:ln>
        <a:effectLst/>
      </c:spPr>
    </c:plotArea>
    <c:legend>
      <c:legendPos val="b"/>
      <c:layout>
        <c:manualLayout>
          <c:xMode val="edge"/>
          <c:yMode val="edge"/>
          <c:x val="0.28195957001918071"/>
          <c:y val="0.90623388916921899"/>
          <c:w val="0.43608085996163859"/>
          <c:h val="8.383069105929567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'Grafy-len, t'!$P$4:$P$5</c:f>
              <c:strCache>
                <c:ptCount val="2"/>
                <c:pt idx="0">
                  <c:v>Vývoz</c:v>
                </c:pt>
                <c:pt idx="1">
                  <c:v>(t)</c:v>
                </c:pt>
              </c:strCache>
            </c:strRef>
          </c:tx>
          <c:spPr>
            <a:solidFill>
              <a:schemeClr val="accent1"/>
            </a:solidFill>
            <a:ln>
              <a:noFill/>
            </a:ln>
            <a:effectLst/>
            <a:sp3d/>
          </c:spPr>
          <c:invertIfNegative val="0"/>
          <c:cat>
            <c:numRef>
              <c:f>'Grafy-len, t'!$O$6:$O$12</c:f>
              <c:numCache>
                <c:formatCode>General</c:formatCode>
                <c:ptCount val="7"/>
                <c:pt idx="0">
                  <c:v>2014</c:v>
                </c:pt>
                <c:pt idx="1">
                  <c:v>2015</c:v>
                </c:pt>
                <c:pt idx="2">
                  <c:v>2016</c:v>
                </c:pt>
                <c:pt idx="3">
                  <c:v>2017</c:v>
                </c:pt>
                <c:pt idx="4">
                  <c:v>2018</c:v>
                </c:pt>
                <c:pt idx="5">
                  <c:v>2019</c:v>
                </c:pt>
                <c:pt idx="6">
                  <c:v>2020</c:v>
                </c:pt>
              </c:numCache>
            </c:numRef>
          </c:cat>
          <c:val>
            <c:numRef>
              <c:f>'Grafy-len, t'!$P$6:$P$12</c:f>
              <c:numCache>
                <c:formatCode>0.00</c:formatCode>
                <c:ptCount val="7"/>
                <c:pt idx="0">
                  <c:v>69.703000000000003</c:v>
                </c:pt>
                <c:pt idx="1">
                  <c:v>124.113</c:v>
                </c:pt>
                <c:pt idx="2">
                  <c:v>97.034999999999997</c:v>
                </c:pt>
                <c:pt idx="3">
                  <c:v>255.35499999999999</c:v>
                </c:pt>
                <c:pt idx="4">
                  <c:v>758.4053100000001</c:v>
                </c:pt>
                <c:pt idx="5">
                  <c:v>910.33500000000004</c:v>
                </c:pt>
                <c:pt idx="6">
                  <c:v>629.29300000000001</c:v>
                </c:pt>
              </c:numCache>
            </c:numRef>
          </c:val>
          <c:extLst>
            <c:ext xmlns:c16="http://schemas.microsoft.com/office/drawing/2014/chart" uri="{C3380CC4-5D6E-409C-BE32-E72D297353CC}">
              <c16:uniqueId val="{00000000-E93D-0348-AECE-40FCEFE12778}"/>
            </c:ext>
          </c:extLst>
        </c:ser>
        <c:ser>
          <c:idx val="1"/>
          <c:order val="1"/>
          <c:tx>
            <c:strRef>
              <c:f>'Grafy-len, t'!$Q$4:$Q$5</c:f>
              <c:strCache>
                <c:ptCount val="2"/>
                <c:pt idx="0">
                  <c:v>Dovoz</c:v>
                </c:pt>
                <c:pt idx="1">
                  <c:v>(t)</c:v>
                </c:pt>
              </c:strCache>
            </c:strRef>
          </c:tx>
          <c:spPr>
            <a:solidFill>
              <a:schemeClr val="accent2"/>
            </a:solidFill>
            <a:ln>
              <a:noFill/>
            </a:ln>
            <a:effectLst/>
            <a:sp3d/>
          </c:spPr>
          <c:invertIfNegative val="0"/>
          <c:cat>
            <c:numRef>
              <c:f>'Grafy-len, t'!$O$6:$O$12</c:f>
              <c:numCache>
                <c:formatCode>General</c:formatCode>
                <c:ptCount val="7"/>
                <c:pt idx="0">
                  <c:v>2014</c:v>
                </c:pt>
                <c:pt idx="1">
                  <c:v>2015</c:v>
                </c:pt>
                <c:pt idx="2">
                  <c:v>2016</c:v>
                </c:pt>
                <c:pt idx="3">
                  <c:v>2017</c:v>
                </c:pt>
                <c:pt idx="4">
                  <c:v>2018</c:v>
                </c:pt>
                <c:pt idx="5">
                  <c:v>2019</c:v>
                </c:pt>
                <c:pt idx="6">
                  <c:v>2020</c:v>
                </c:pt>
              </c:numCache>
            </c:numRef>
          </c:cat>
          <c:val>
            <c:numRef>
              <c:f>'Grafy-len, t'!$Q$6:$Q$12</c:f>
              <c:numCache>
                <c:formatCode>General</c:formatCode>
                <c:ptCount val="7"/>
                <c:pt idx="0">
                  <c:v>87.057000000000002</c:v>
                </c:pt>
                <c:pt idx="1">
                  <c:v>135.60837000000001</c:v>
                </c:pt>
                <c:pt idx="2">
                  <c:v>88.726050000000001</c:v>
                </c:pt>
                <c:pt idx="3">
                  <c:v>117.01939999999999</c:v>
                </c:pt>
                <c:pt idx="4">
                  <c:v>263.37200000000001</c:v>
                </c:pt>
                <c:pt idx="5">
                  <c:v>195.37</c:v>
                </c:pt>
                <c:pt idx="6">
                  <c:v>131.685</c:v>
                </c:pt>
              </c:numCache>
            </c:numRef>
          </c:val>
          <c:extLst>
            <c:ext xmlns:c16="http://schemas.microsoft.com/office/drawing/2014/chart" uri="{C3380CC4-5D6E-409C-BE32-E72D297353CC}">
              <c16:uniqueId val="{00000001-E93D-0348-AECE-40FCEFE12778}"/>
            </c:ext>
          </c:extLst>
        </c:ser>
        <c:dLbls>
          <c:showLegendKey val="0"/>
          <c:showVal val="0"/>
          <c:showCatName val="0"/>
          <c:showSerName val="0"/>
          <c:showPercent val="0"/>
          <c:showBubbleSize val="0"/>
        </c:dLbls>
        <c:gapWidth val="150"/>
        <c:shape val="box"/>
        <c:axId val="613738920"/>
        <c:axId val="613739248"/>
        <c:axId val="0"/>
      </c:bar3DChart>
      <c:catAx>
        <c:axId val="61373892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613739248"/>
        <c:crosses val="autoZero"/>
        <c:auto val="1"/>
        <c:lblAlgn val="ctr"/>
        <c:lblOffset val="100"/>
        <c:noMultiLvlLbl val="0"/>
      </c:catAx>
      <c:valAx>
        <c:axId val="61373924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6137389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'Grafy -len,mil. Kč'!$P$4:$P$5</c:f>
              <c:strCache>
                <c:ptCount val="2"/>
                <c:pt idx="0">
                  <c:v>Vývoz</c:v>
                </c:pt>
                <c:pt idx="1">
                  <c:v>(mil. Kč)</c:v>
                </c:pt>
              </c:strCache>
            </c:strRef>
          </c:tx>
          <c:spPr>
            <a:solidFill>
              <a:schemeClr val="accent1"/>
            </a:solidFill>
            <a:ln>
              <a:noFill/>
            </a:ln>
            <a:effectLst/>
            <a:sp3d/>
          </c:spPr>
          <c:invertIfNegative val="0"/>
          <c:cat>
            <c:numRef>
              <c:f>'Grafy -len,mil. Kč'!$O$6:$O$12</c:f>
              <c:numCache>
                <c:formatCode>General</c:formatCode>
                <c:ptCount val="7"/>
                <c:pt idx="0">
                  <c:v>2014</c:v>
                </c:pt>
                <c:pt idx="1">
                  <c:v>2015</c:v>
                </c:pt>
                <c:pt idx="2">
                  <c:v>2016</c:v>
                </c:pt>
                <c:pt idx="3">
                  <c:v>2017</c:v>
                </c:pt>
                <c:pt idx="4">
                  <c:v>2018</c:v>
                </c:pt>
                <c:pt idx="5">
                  <c:v>2019</c:v>
                </c:pt>
                <c:pt idx="6">
                  <c:v>2020</c:v>
                </c:pt>
              </c:numCache>
            </c:numRef>
          </c:cat>
          <c:val>
            <c:numRef>
              <c:f>'Grafy -len,mil. Kč'!$P$6:$P$12</c:f>
              <c:numCache>
                <c:formatCode>0</c:formatCode>
                <c:ptCount val="7"/>
                <c:pt idx="0">
                  <c:v>1898.8579999999999</c:v>
                </c:pt>
                <c:pt idx="1">
                  <c:v>4069.6320000000001</c:v>
                </c:pt>
                <c:pt idx="2">
                  <c:v>3149.7159999999999</c:v>
                </c:pt>
                <c:pt idx="3">
                  <c:v>8111.1970000000001</c:v>
                </c:pt>
                <c:pt idx="4">
                  <c:v>20728.989000000001</c:v>
                </c:pt>
                <c:pt idx="5">
                  <c:v>27347.645</c:v>
                </c:pt>
                <c:pt idx="6">
                  <c:v>22899.03</c:v>
                </c:pt>
              </c:numCache>
            </c:numRef>
          </c:val>
          <c:extLst>
            <c:ext xmlns:c16="http://schemas.microsoft.com/office/drawing/2014/chart" uri="{C3380CC4-5D6E-409C-BE32-E72D297353CC}">
              <c16:uniqueId val="{00000000-BC71-944F-B16E-30ACCD786DF6}"/>
            </c:ext>
          </c:extLst>
        </c:ser>
        <c:ser>
          <c:idx val="1"/>
          <c:order val="1"/>
          <c:tx>
            <c:strRef>
              <c:f>'Grafy -len,mil. Kč'!$Q$4:$Q$5</c:f>
              <c:strCache>
                <c:ptCount val="2"/>
                <c:pt idx="0">
                  <c:v>Dovoz</c:v>
                </c:pt>
                <c:pt idx="1">
                  <c:v>(mil. Kč)</c:v>
                </c:pt>
              </c:strCache>
            </c:strRef>
          </c:tx>
          <c:spPr>
            <a:solidFill>
              <a:schemeClr val="accent2"/>
            </a:solidFill>
            <a:ln>
              <a:noFill/>
            </a:ln>
            <a:effectLst/>
            <a:sp3d/>
          </c:spPr>
          <c:invertIfNegative val="0"/>
          <c:cat>
            <c:numRef>
              <c:f>'Grafy -len,mil. Kč'!$O$6:$O$12</c:f>
              <c:numCache>
                <c:formatCode>General</c:formatCode>
                <c:ptCount val="7"/>
                <c:pt idx="0">
                  <c:v>2014</c:v>
                </c:pt>
                <c:pt idx="1">
                  <c:v>2015</c:v>
                </c:pt>
                <c:pt idx="2">
                  <c:v>2016</c:v>
                </c:pt>
                <c:pt idx="3">
                  <c:v>2017</c:v>
                </c:pt>
                <c:pt idx="4">
                  <c:v>2018</c:v>
                </c:pt>
                <c:pt idx="5">
                  <c:v>2019</c:v>
                </c:pt>
                <c:pt idx="6">
                  <c:v>2020</c:v>
                </c:pt>
              </c:numCache>
            </c:numRef>
          </c:cat>
          <c:val>
            <c:numRef>
              <c:f>'Grafy -len,mil. Kč'!$Q$6:$Q$12</c:f>
              <c:numCache>
                <c:formatCode>General</c:formatCode>
                <c:ptCount val="7"/>
                <c:pt idx="0">
                  <c:v>1193.8710000000001</c:v>
                </c:pt>
                <c:pt idx="1">
                  <c:v>1964.876</c:v>
                </c:pt>
                <c:pt idx="2">
                  <c:v>1629.2429999999999</c:v>
                </c:pt>
                <c:pt idx="3">
                  <c:v>1612.258</c:v>
                </c:pt>
                <c:pt idx="4">
                  <c:v>5111.7070000000003</c:v>
                </c:pt>
                <c:pt idx="5">
                  <c:v>3540.8629999999998</c:v>
                </c:pt>
                <c:pt idx="6">
                  <c:v>3582.4430000000002</c:v>
                </c:pt>
              </c:numCache>
            </c:numRef>
          </c:val>
          <c:extLst>
            <c:ext xmlns:c16="http://schemas.microsoft.com/office/drawing/2014/chart" uri="{C3380CC4-5D6E-409C-BE32-E72D297353CC}">
              <c16:uniqueId val="{00000001-BC71-944F-B16E-30ACCD786DF6}"/>
            </c:ext>
          </c:extLst>
        </c:ser>
        <c:dLbls>
          <c:showLegendKey val="0"/>
          <c:showVal val="0"/>
          <c:showCatName val="0"/>
          <c:showSerName val="0"/>
          <c:showPercent val="0"/>
          <c:showBubbleSize val="0"/>
        </c:dLbls>
        <c:gapWidth val="150"/>
        <c:shape val="box"/>
        <c:axId val="588907696"/>
        <c:axId val="588903432"/>
        <c:axId val="0"/>
      </c:bar3DChart>
      <c:catAx>
        <c:axId val="58890769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88903432"/>
        <c:crosses val="autoZero"/>
        <c:auto val="1"/>
        <c:lblAlgn val="ctr"/>
        <c:lblOffset val="100"/>
        <c:noMultiLvlLbl val="0"/>
      </c:catAx>
      <c:valAx>
        <c:axId val="5889034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889076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'Grafy-len, t'!$P$15:$P$16</c:f>
              <c:strCache>
                <c:ptCount val="2"/>
                <c:pt idx="0">
                  <c:v>Vývoz</c:v>
                </c:pt>
                <c:pt idx="1">
                  <c:v>(t)</c:v>
                </c:pt>
              </c:strCache>
            </c:strRef>
          </c:tx>
          <c:spPr>
            <a:solidFill>
              <a:schemeClr val="accent1"/>
            </a:solidFill>
            <a:ln>
              <a:noFill/>
            </a:ln>
            <a:effectLst/>
            <a:sp3d/>
          </c:spPr>
          <c:invertIfNegative val="0"/>
          <c:cat>
            <c:numRef>
              <c:f>'Grafy-len, t'!$O$17:$O$23</c:f>
              <c:numCache>
                <c:formatCode>General</c:formatCode>
                <c:ptCount val="7"/>
                <c:pt idx="0">
                  <c:v>2014</c:v>
                </c:pt>
                <c:pt idx="1">
                  <c:v>2015</c:v>
                </c:pt>
                <c:pt idx="2">
                  <c:v>2016</c:v>
                </c:pt>
                <c:pt idx="3">
                  <c:v>2017</c:v>
                </c:pt>
                <c:pt idx="4">
                  <c:v>2018</c:v>
                </c:pt>
                <c:pt idx="5">
                  <c:v>2019</c:v>
                </c:pt>
                <c:pt idx="6">
                  <c:v>2020</c:v>
                </c:pt>
              </c:numCache>
            </c:numRef>
          </c:cat>
          <c:val>
            <c:numRef>
              <c:f>'Grafy-len, t'!$P$17:$P$23</c:f>
              <c:numCache>
                <c:formatCode>General</c:formatCode>
                <c:ptCount val="7"/>
                <c:pt idx="0">
                  <c:v>3868.7051000000001</c:v>
                </c:pt>
                <c:pt idx="1">
                  <c:v>3570.2534100000003</c:v>
                </c:pt>
                <c:pt idx="2">
                  <c:v>7529.3039400000007</c:v>
                </c:pt>
                <c:pt idx="3">
                  <c:v>11075.590119999999</c:v>
                </c:pt>
                <c:pt idx="4">
                  <c:v>6677.1145800000004</c:v>
                </c:pt>
                <c:pt idx="5">
                  <c:v>6916.6221699999996</c:v>
                </c:pt>
                <c:pt idx="6">
                  <c:v>6048.4205599999996</c:v>
                </c:pt>
              </c:numCache>
            </c:numRef>
          </c:val>
          <c:extLst>
            <c:ext xmlns:c16="http://schemas.microsoft.com/office/drawing/2014/chart" uri="{C3380CC4-5D6E-409C-BE32-E72D297353CC}">
              <c16:uniqueId val="{00000000-695A-0548-B977-C17D1D89B164}"/>
            </c:ext>
          </c:extLst>
        </c:ser>
        <c:ser>
          <c:idx val="1"/>
          <c:order val="1"/>
          <c:tx>
            <c:strRef>
              <c:f>'Grafy-len, t'!$Q$15:$Q$16</c:f>
              <c:strCache>
                <c:ptCount val="2"/>
                <c:pt idx="0">
                  <c:v>Dovoz</c:v>
                </c:pt>
                <c:pt idx="1">
                  <c:v>(t)</c:v>
                </c:pt>
              </c:strCache>
            </c:strRef>
          </c:tx>
          <c:spPr>
            <a:solidFill>
              <a:schemeClr val="accent2"/>
            </a:solidFill>
            <a:ln>
              <a:noFill/>
            </a:ln>
            <a:effectLst/>
            <a:sp3d/>
          </c:spPr>
          <c:invertIfNegative val="0"/>
          <c:cat>
            <c:numRef>
              <c:f>'Grafy-len, t'!$O$17:$O$23</c:f>
              <c:numCache>
                <c:formatCode>General</c:formatCode>
                <c:ptCount val="7"/>
                <c:pt idx="0">
                  <c:v>2014</c:v>
                </c:pt>
                <c:pt idx="1">
                  <c:v>2015</c:v>
                </c:pt>
                <c:pt idx="2">
                  <c:v>2016</c:v>
                </c:pt>
                <c:pt idx="3">
                  <c:v>2017</c:v>
                </c:pt>
                <c:pt idx="4">
                  <c:v>2018</c:v>
                </c:pt>
                <c:pt idx="5">
                  <c:v>2019</c:v>
                </c:pt>
                <c:pt idx="6">
                  <c:v>2020</c:v>
                </c:pt>
              </c:numCache>
            </c:numRef>
          </c:cat>
          <c:val>
            <c:numRef>
              <c:f>'Grafy-len, t'!$Q$17:$Q$23</c:f>
              <c:numCache>
                <c:formatCode>General</c:formatCode>
                <c:ptCount val="7"/>
                <c:pt idx="0">
                  <c:v>3903.4151499999998</c:v>
                </c:pt>
                <c:pt idx="1">
                  <c:v>4239.4490099999994</c:v>
                </c:pt>
                <c:pt idx="2">
                  <c:v>6755.1030199999996</c:v>
                </c:pt>
                <c:pt idx="3">
                  <c:v>8881.2710700000007</c:v>
                </c:pt>
                <c:pt idx="4">
                  <c:v>10222.099560000001</c:v>
                </c:pt>
                <c:pt idx="5">
                  <c:v>10636.94377</c:v>
                </c:pt>
                <c:pt idx="6">
                  <c:v>10734.769900000001</c:v>
                </c:pt>
              </c:numCache>
            </c:numRef>
          </c:val>
          <c:extLst>
            <c:ext xmlns:c16="http://schemas.microsoft.com/office/drawing/2014/chart" uri="{C3380CC4-5D6E-409C-BE32-E72D297353CC}">
              <c16:uniqueId val="{00000001-695A-0548-B977-C17D1D89B164}"/>
            </c:ext>
          </c:extLst>
        </c:ser>
        <c:dLbls>
          <c:showLegendKey val="0"/>
          <c:showVal val="0"/>
          <c:showCatName val="0"/>
          <c:showSerName val="0"/>
          <c:showPercent val="0"/>
          <c:showBubbleSize val="0"/>
        </c:dLbls>
        <c:gapWidth val="150"/>
        <c:shape val="box"/>
        <c:axId val="592306768"/>
        <c:axId val="592307424"/>
        <c:axId val="0"/>
      </c:bar3DChart>
      <c:catAx>
        <c:axId val="59230676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92307424"/>
        <c:crosses val="autoZero"/>
        <c:auto val="1"/>
        <c:lblAlgn val="ctr"/>
        <c:lblOffset val="100"/>
        <c:noMultiLvlLbl val="0"/>
      </c:catAx>
      <c:valAx>
        <c:axId val="5923074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923067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0.19656</cdr:x>
      <cdr:y>0.45316</cdr:y>
    </cdr:from>
    <cdr:to>
      <cdr:x>0.2932</cdr:x>
      <cdr:y>0.55949</cdr:y>
    </cdr:to>
    <cdr:grpSp>
      <cdr:nvGrpSpPr>
        <cdr:cNvPr id="4" name="Skupina 3">
          <a:extLst xmlns:a="http://schemas.openxmlformats.org/drawingml/2006/main">
            <a:ext uri="{FF2B5EF4-FFF2-40B4-BE49-F238E27FC236}">
              <a16:creationId xmlns:a16="http://schemas.microsoft.com/office/drawing/2014/main" id="{D2C9F036-C46A-4F6D-B076-F7232CECB001}"/>
            </a:ext>
          </a:extLst>
        </cdr:cNvPr>
        <cdr:cNvGrpSpPr/>
      </cdr:nvGrpSpPr>
      <cdr:grpSpPr>
        <a:xfrm xmlns:a="http://schemas.openxmlformats.org/drawingml/2006/main">
          <a:off x="1461680" y="2176673"/>
          <a:ext cx="718644" cy="510737"/>
          <a:chOff x="1821180" y="2727960"/>
          <a:chExt cx="899160" cy="640080"/>
        </a:xfrm>
      </cdr:grpSpPr>
      <cdr:sp macro="" textlink="">
        <cdr:nvSpPr>
          <cdr:cNvPr id="2" name="Oválný bublinový popisek 1"/>
          <cdr:cNvSpPr/>
        </cdr:nvSpPr>
        <cdr:spPr>
          <a:xfrm xmlns:a="http://schemas.openxmlformats.org/drawingml/2006/main">
            <a:off x="1821180" y="2727960"/>
            <a:ext cx="899160" cy="640080"/>
          </a:xfrm>
          <a:prstGeom xmlns:a="http://schemas.openxmlformats.org/drawingml/2006/main" prst="wedgeEllipseCallout">
            <a:avLst>
              <a:gd name="adj1" fmla="val 100353"/>
              <a:gd name="adj2" fmla="val 213691"/>
            </a:avLst>
          </a:prstGeom>
          <a:noFill xmlns:a="http://schemas.openxmlformats.org/drawingml/2006/main"/>
          <a:ln xmlns:a="http://schemas.openxmlformats.org/drawingml/2006/main" w="6350">
            <a:solidFill>
              <a:sysClr val="windowText" lastClr="00000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cs-CZ"/>
          </a:p>
        </cdr:txBody>
      </cdr:sp>
      <cdr:sp macro="" textlink="">
        <cdr:nvSpPr>
          <cdr:cNvPr id="3" name="TextovéPole 2"/>
          <cdr:cNvSpPr txBox="1"/>
        </cdr:nvSpPr>
        <cdr:spPr>
          <a:xfrm xmlns:a="http://schemas.openxmlformats.org/drawingml/2006/main">
            <a:off x="1958340" y="2865120"/>
            <a:ext cx="647700" cy="304800"/>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pPr algn="ctr"/>
            <a:r>
              <a:rPr lang="cs-CZ" sz="900"/>
              <a:t>Tržby za krycí plodinu</a:t>
            </a:r>
          </a:p>
        </cdr:txBody>
      </cdr:sp>
    </cdr:grpSp>
  </cdr:relSizeAnchor>
  <cdr:relSizeAnchor xmlns:cdr="http://schemas.openxmlformats.org/drawingml/2006/chartDrawing">
    <cdr:from>
      <cdr:x>0.44035</cdr:x>
      <cdr:y>0.26287</cdr:y>
    </cdr:from>
    <cdr:to>
      <cdr:x>0.53699</cdr:x>
      <cdr:y>0.3692</cdr:y>
    </cdr:to>
    <cdr:grpSp>
      <cdr:nvGrpSpPr>
        <cdr:cNvPr id="5" name="Skupina 4">
          <a:extLst xmlns:a="http://schemas.openxmlformats.org/drawingml/2006/main">
            <a:ext uri="{FF2B5EF4-FFF2-40B4-BE49-F238E27FC236}">
              <a16:creationId xmlns:a16="http://schemas.microsoft.com/office/drawing/2014/main" id="{FEBC0615-A741-4F21-A72B-E13702CEB366}"/>
            </a:ext>
          </a:extLst>
        </cdr:cNvPr>
        <cdr:cNvGrpSpPr/>
      </cdr:nvGrpSpPr>
      <cdr:grpSpPr>
        <a:xfrm xmlns:a="http://schemas.openxmlformats.org/drawingml/2006/main">
          <a:off x="3274576" y="1262649"/>
          <a:ext cx="718645" cy="510737"/>
          <a:chOff x="-7620" y="-129540"/>
          <a:chExt cx="899160" cy="640080"/>
        </a:xfrm>
      </cdr:grpSpPr>
      <cdr:sp macro="" textlink="">
        <cdr:nvSpPr>
          <cdr:cNvPr id="6" name="Oválný bublinový popisek 5"/>
          <cdr:cNvSpPr/>
        </cdr:nvSpPr>
        <cdr:spPr>
          <a:xfrm xmlns:a="http://schemas.openxmlformats.org/drawingml/2006/main">
            <a:off x="-7620" y="-129540"/>
            <a:ext cx="899160" cy="640080"/>
          </a:xfrm>
          <a:prstGeom xmlns:a="http://schemas.openxmlformats.org/drawingml/2006/main" prst="wedgeEllipseCallout">
            <a:avLst>
              <a:gd name="adj1" fmla="val 100353"/>
              <a:gd name="adj2" fmla="val 213691"/>
            </a:avLst>
          </a:prstGeom>
          <a:noFill xmlns:a="http://schemas.openxmlformats.org/drawingml/2006/main"/>
          <a:ln xmlns:a="http://schemas.openxmlformats.org/drawingml/2006/main" w="6350">
            <a:solidFill>
              <a:sysClr val="windowText" lastClr="00000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cs-CZ"/>
          </a:p>
        </cdr:txBody>
      </cdr:sp>
      <cdr:sp macro="" textlink="">
        <cdr:nvSpPr>
          <cdr:cNvPr id="7" name="TextovéPole 3"/>
          <cdr:cNvSpPr txBox="1"/>
        </cdr:nvSpPr>
        <cdr:spPr>
          <a:xfrm xmlns:a="http://schemas.openxmlformats.org/drawingml/2006/main">
            <a:off x="137160" y="38100"/>
            <a:ext cx="647700" cy="30480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cs-CZ" sz="900"/>
              <a:t>Tržby za osivo 1. skl. rok</a:t>
            </a:r>
          </a:p>
        </cdr:txBody>
      </cdr:sp>
    </cdr:grpSp>
  </cdr:relSizeAnchor>
  <cdr:relSizeAnchor xmlns:cdr="http://schemas.openxmlformats.org/drawingml/2006/chartDrawing">
    <cdr:from>
      <cdr:x>0.67704</cdr:x>
      <cdr:y>0.09958</cdr:y>
    </cdr:from>
    <cdr:to>
      <cdr:x>0.77368</cdr:x>
      <cdr:y>0.20591</cdr:y>
    </cdr:to>
    <cdr:grpSp>
      <cdr:nvGrpSpPr>
        <cdr:cNvPr id="8" name="Skupina 7">
          <a:extLst xmlns:a="http://schemas.openxmlformats.org/drawingml/2006/main">
            <a:ext uri="{FF2B5EF4-FFF2-40B4-BE49-F238E27FC236}">
              <a16:creationId xmlns:a16="http://schemas.microsoft.com/office/drawing/2014/main" id="{2428B6A1-E96B-43E1-9BF8-5B5496D2C6A3}"/>
            </a:ext>
          </a:extLst>
        </cdr:cNvPr>
        <cdr:cNvGrpSpPr/>
      </cdr:nvGrpSpPr>
      <cdr:grpSpPr>
        <a:xfrm xmlns:a="http://schemas.openxmlformats.org/drawingml/2006/main">
          <a:off x="5034675" y="478315"/>
          <a:ext cx="718645" cy="510737"/>
          <a:chOff x="388620" y="281940"/>
          <a:chExt cx="899160" cy="640080"/>
        </a:xfrm>
      </cdr:grpSpPr>
      <cdr:sp macro="" textlink="">
        <cdr:nvSpPr>
          <cdr:cNvPr id="9" name="Oválný bublinový popisek 8"/>
          <cdr:cNvSpPr/>
        </cdr:nvSpPr>
        <cdr:spPr>
          <a:xfrm xmlns:a="http://schemas.openxmlformats.org/drawingml/2006/main">
            <a:off x="388620" y="281940"/>
            <a:ext cx="899160" cy="640080"/>
          </a:xfrm>
          <a:prstGeom xmlns:a="http://schemas.openxmlformats.org/drawingml/2006/main" prst="wedgeEllipseCallout">
            <a:avLst>
              <a:gd name="adj1" fmla="val 57132"/>
              <a:gd name="adj2" fmla="val 208929"/>
            </a:avLst>
          </a:prstGeom>
          <a:noFill xmlns:a="http://schemas.openxmlformats.org/drawingml/2006/main"/>
          <a:ln xmlns:a="http://schemas.openxmlformats.org/drawingml/2006/main" w="6350">
            <a:solidFill>
              <a:sysClr val="windowText" lastClr="00000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cs-CZ"/>
          </a:p>
        </cdr:txBody>
      </cdr:sp>
      <cdr:sp macro="" textlink="">
        <cdr:nvSpPr>
          <cdr:cNvPr id="10" name="TextovéPole 3"/>
          <cdr:cNvSpPr txBox="1"/>
        </cdr:nvSpPr>
        <cdr:spPr>
          <a:xfrm xmlns:a="http://schemas.openxmlformats.org/drawingml/2006/main">
            <a:off x="518160" y="449580"/>
            <a:ext cx="647700" cy="30480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cs-CZ" sz="900"/>
              <a:t>Tržby za osivo 2. skl. rok</a:t>
            </a:r>
          </a:p>
        </cdr:txBody>
      </cdr:sp>
    </cdr:grpSp>
  </cdr:relSizeAnchor>
  <cdr:relSizeAnchor xmlns:cdr="http://schemas.openxmlformats.org/drawingml/2006/chartDrawing">
    <cdr:from>
      <cdr:x>0.81381</cdr:x>
      <cdr:y>0.09831</cdr:y>
    </cdr:from>
    <cdr:to>
      <cdr:x>0.91046</cdr:x>
      <cdr:y>0.20464</cdr:y>
    </cdr:to>
    <cdr:grpSp>
      <cdr:nvGrpSpPr>
        <cdr:cNvPr id="11" name="Skupina 10">
          <a:extLst xmlns:a="http://schemas.openxmlformats.org/drawingml/2006/main">
            <a:ext uri="{FF2B5EF4-FFF2-40B4-BE49-F238E27FC236}">
              <a16:creationId xmlns:a16="http://schemas.microsoft.com/office/drawing/2014/main" id="{3507A0A9-1EBA-470E-9778-1AFA00AABC7F}"/>
            </a:ext>
          </a:extLst>
        </cdr:cNvPr>
        <cdr:cNvGrpSpPr/>
      </cdr:nvGrpSpPr>
      <cdr:grpSpPr>
        <a:xfrm xmlns:a="http://schemas.openxmlformats.org/drawingml/2006/main">
          <a:off x="6051739" y="472214"/>
          <a:ext cx="718718" cy="510738"/>
          <a:chOff x="0" y="0"/>
          <a:chExt cx="899160" cy="640080"/>
        </a:xfrm>
      </cdr:grpSpPr>
      <cdr:sp macro="" textlink="">
        <cdr:nvSpPr>
          <cdr:cNvPr id="12" name="Oválný bublinový popisek 11"/>
          <cdr:cNvSpPr/>
        </cdr:nvSpPr>
        <cdr:spPr>
          <a:xfrm xmlns:a="http://schemas.openxmlformats.org/drawingml/2006/main">
            <a:off x="0" y="0"/>
            <a:ext cx="899160" cy="640080"/>
          </a:xfrm>
          <a:prstGeom xmlns:a="http://schemas.openxmlformats.org/drawingml/2006/main" prst="wedgeEllipseCallout">
            <a:avLst>
              <a:gd name="adj1" fmla="val 115607"/>
              <a:gd name="adj2" fmla="val 73215"/>
            </a:avLst>
          </a:prstGeom>
          <a:noFill xmlns:a="http://schemas.openxmlformats.org/drawingml/2006/main"/>
          <a:ln xmlns:a="http://schemas.openxmlformats.org/drawingml/2006/main" w="6350">
            <a:solidFill>
              <a:sysClr val="windowText" lastClr="00000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cs-CZ"/>
          </a:p>
        </cdr:txBody>
      </cdr:sp>
      <cdr:sp macro="" textlink="">
        <cdr:nvSpPr>
          <cdr:cNvPr id="13" name="TextovéPole 3"/>
          <cdr:cNvSpPr txBox="1"/>
        </cdr:nvSpPr>
        <cdr:spPr>
          <a:xfrm xmlns:a="http://schemas.openxmlformats.org/drawingml/2006/main">
            <a:off x="121920" y="198120"/>
            <a:ext cx="647700" cy="30480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cs-CZ" sz="900"/>
              <a:t>Tržby za osivo 3. skl. rok</a:t>
            </a:r>
          </a:p>
        </cdr:txBody>
      </cdr:sp>
    </cdr:grpSp>
  </cdr:relSizeAnchor>
  <cdr:relSizeAnchor xmlns:cdr="http://schemas.openxmlformats.org/drawingml/2006/chartDrawing">
    <cdr:from>
      <cdr:x>0.39203</cdr:x>
      <cdr:y>0.40844</cdr:y>
    </cdr:from>
    <cdr:to>
      <cdr:x>0.48867</cdr:x>
      <cdr:y>0.51477</cdr:y>
    </cdr:to>
    <cdr:grpSp>
      <cdr:nvGrpSpPr>
        <cdr:cNvPr id="14" name="Skupina 13">
          <a:extLst xmlns:a="http://schemas.openxmlformats.org/drawingml/2006/main">
            <a:ext uri="{FF2B5EF4-FFF2-40B4-BE49-F238E27FC236}">
              <a16:creationId xmlns:a16="http://schemas.microsoft.com/office/drawing/2014/main" id="{6BFD34B9-E925-4B25-BFF9-680682A81CC9}"/>
            </a:ext>
          </a:extLst>
        </cdr:cNvPr>
        <cdr:cNvGrpSpPr/>
      </cdr:nvGrpSpPr>
      <cdr:grpSpPr>
        <a:xfrm xmlns:a="http://schemas.openxmlformats.org/drawingml/2006/main">
          <a:off x="2915254" y="1961868"/>
          <a:ext cx="718645" cy="510738"/>
          <a:chOff x="7620" y="83820"/>
          <a:chExt cx="899160" cy="640080"/>
        </a:xfrm>
      </cdr:grpSpPr>
      <cdr:sp macro="" textlink="">
        <cdr:nvSpPr>
          <cdr:cNvPr id="15" name="Oválný bublinový popisek 14"/>
          <cdr:cNvSpPr/>
        </cdr:nvSpPr>
        <cdr:spPr>
          <a:xfrm xmlns:a="http://schemas.openxmlformats.org/drawingml/2006/main">
            <a:off x="7620" y="83820"/>
            <a:ext cx="899160" cy="640080"/>
          </a:xfrm>
          <a:prstGeom xmlns:a="http://schemas.openxmlformats.org/drawingml/2006/main" prst="wedgeEllipseCallout">
            <a:avLst>
              <a:gd name="adj1" fmla="val 100353"/>
              <a:gd name="adj2" fmla="val 213691"/>
            </a:avLst>
          </a:prstGeom>
          <a:noFill xmlns:a="http://schemas.openxmlformats.org/drawingml/2006/main"/>
          <a:ln xmlns:a="http://schemas.openxmlformats.org/drawingml/2006/main" w="6350">
            <a:solidFill>
              <a:sysClr val="windowText" lastClr="00000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cs-CZ"/>
          </a:p>
        </cdr:txBody>
      </cdr:sp>
      <cdr:sp macro="" textlink="">
        <cdr:nvSpPr>
          <cdr:cNvPr id="16" name="TextovéPole 3"/>
          <cdr:cNvSpPr txBox="1"/>
        </cdr:nvSpPr>
        <cdr:spPr>
          <a:xfrm xmlns:a="http://schemas.openxmlformats.org/drawingml/2006/main">
            <a:off x="63500" y="289560"/>
            <a:ext cx="822960" cy="30480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cs-CZ" sz="900"/>
              <a:t>Tržby za vedlejší produkci</a:t>
            </a:r>
          </a:p>
        </cdr:txBody>
      </cdr:sp>
    </cdr:grpSp>
  </cdr:relSizeAnchor>
  <cdr:relSizeAnchor xmlns:cdr="http://schemas.openxmlformats.org/drawingml/2006/chartDrawing">
    <cdr:from>
      <cdr:x>0.58449</cdr:x>
      <cdr:y>0.19072</cdr:y>
    </cdr:from>
    <cdr:to>
      <cdr:x>0.68114</cdr:x>
      <cdr:y>0.29705</cdr:y>
    </cdr:to>
    <cdr:grpSp>
      <cdr:nvGrpSpPr>
        <cdr:cNvPr id="17" name="Skupina 16">
          <a:extLst xmlns:a="http://schemas.openxmlformats.org/drawingml/2006/main">
            <a:ext uri="{FF2B5EF4-FFF2-40B4-BE49-F238E27FC236}">
              <a16:creationId xmlns:a16="http://schemas.microsoft.com/office/drawing/2014/main" id="{81B34E29-DB60-4F73-8FED-DEAE0A6B7320}"/>
            </a:ext>
          </a:extLst>
        </cdr:cNvPr>
        <cdr:cNvGrpSpPr/>
      </cdr:nvGrpSpPr>
      <cdr:grpSpPr>
        <a:xfrm xmlns:a="http://schemas.openxmlformats.org/drawingml/2006/main">
          <a:off x="4346445" y="916089"/>
          <a:ext cx="718719" cy="510738"/>
          <a:chOff x="0" y="0"/>
          <a:chExt cx="899160" cy="640080"/>
        </a:xfrm>
      </cdr:grpSpPr>
      <cdr:sp macro="" textlink="">
        <cdr:nvSpPr>
          <cdr:cNvPr id="18" name="Oválný bublinový popisek 17"/>
          <cdr:cNvSpPr/>
        </cdr:nvSpPr>
        <cdr:spPr>
          <a:xfrm xmlns:a="http://schemas.openxmlformats.org/drawingml/2006/main">
            <a:off x="0" y="0"/>
            <a:ext cx="899160" cy="640080"/>
          </a:xfrm>
          <a:prstGeom xmlns:a="http://schemas.openxmlformats.org/drawingml/2006/main" prst="wedgeEllipseCallout">
            <a:avLst>
              <a:gd name="adj1" fmla="val 102048"/>
              <a:gd name="adj2" fmla="val 242262"/>
            </a:avLst>
          </a:prstGeom>
          <a:noFill xmlns:a="http://schemas.openxmlformats.org/drawingml/2006/main"/>
          <a:ln xmlns:a="http://schemas.openxmlformats.org/drawingml/2006/main" w="6350">
            <a:solidFill>
              <a:sysClr val="windowText" lastClr="00000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cs-CZ"/>
          </a:p>
        </cdr:txBody>
      </cdr:sp>
      <cdr:sp macro="" textlink="">
        <cdr:nvSpPr>
          <cdr:cNvPr id="19" name="TextovéPole 3"/>
          <cdr:cNvSpPr txBox="1"/>
        </cdr:nvSpPr>
        <cdr:spPr>
          <a:xfrm xmlns:a="http://schemas.openxmlformats.org/drawingml/2006/main">
            <a:off x="48260" y="198120"/>
            <a:ext cx="822960" cy="30480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cs-CZ" sz="900"/>
              <a:t>Tržby za vedlejší produkci</a:t>
            </a:r>
          </a:p>
        </cdr:txBody>
      </cdr:sp>
    </cdr:grpSp>
  </cdr:relSizeAnchor>
  <cdr:relSizeAnchor xmlns:cdr="http://schemas.openxmlformats.org/drawingml/2006/chartDrawing">
    <cdr:from>
      <cdr:x>0.78597</cdr:x>
      <cdr:y>0.20717</cdr:y>
    </cdr:from>
    <cdr:to>
      <cdr:x>0.88261</cdr:x>
      <cdr:y>0.3135</cdr:y>
    </cdr:to>
    <cdr:grpSp>
      <cdr:nvGrpSpPr>
        <cdr:cNvPr id="20" name="Skupina 19">
          <a:extLst xmlns:a="http://schemas.openxmlformats.org/drawingml/2006/main">
            <a:ext uri="{FF2B5EF4-FFF2-40B4-BE49-F238E27FC236}">
              <a16:creationId xmlns:a16="http://schemas.microsoft.com/office/drawing/2014/main" id="{57C7788F-B5B8-47D1-BC7E-59B8F6280AC1}"/>
            </a:ext>
          </a:extLst>
        </cdr:cNvPr>
        <cdr:cNvGrpSpPr/>
      </cdr:nvGrpSpPr>
      <cdr:grpSpPr>
        <a:xfrm xmlns:a="http://schemas.openxmlformats.org/drawingml/2006/main">
          <a:off x="5844712" y="995104"/>
          <a:ext cx="718644" cy="510737"/>
          <a:chOff x="-91440" y="251460"/>
          <a:chExt cx="899160" cy="640080"/>
        </a:xfrm>
      </cdr:grpSpPr>
      <cdr:sp macro="" textlink="">
        <cdr:nvSpPr>
          <cdr:cNvPr id="21" name="Oválný bublinový popisek 20"/>
          <cdr:cNvSpPr/>
        </cdr:nvSpPr>
        <cdr:spPr>
          <a:xfrm xmlns:a="http://schemas.openxmlformats.org/drawingml/2006/main">
            <a:off x="-91440" y="251460"/>
            <a:ext cx="899160" cy="640080"/>
          </a:xfrm>
          <a:prstGeom xmlns:a="http://schemas.openxmlformats.org/drawingml/2006/main" prst="wedgeEllipseCallout">
            <a:avLst>
              <a:gd name="adj1" fmla="val 96116"/>
              <a:gd name="adj2" fmla="val 74405"/>
            </a:avLst>
          </a:prstGeom>
          <a:noFill xmlns:a="http://schemas.openxmlformats.org/drawingml/2006/main"/>
          <a:ln xmlns:a="http://schemas.openxmlformats.org/drawingml/2006/main" w="6350">
            <a:solidFill>
              <a:sysClr val="windowText" lastClr="00000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cs-CZ"/>
          </a:p>
        </cdr:txBody>
      </cdr:sp>
      <cdr:sp macro="" textlink="">
        <cdr:nvSpPr>
          <cdr:cNvPr id="22" name="TextovéPole 3"/>
          <cdr:cNvSpPr txBox="1"/>
        </cdr:nvSpPr>
        <cdr:spPr>
          <a:xfrm xmlns:a="http://schemas.openxmlformats.org/drawingml/2006/main">
            <a:off x="-66040" y="434340"/>
            <a:ext cx="822960" cy="30480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cs-CZ" sz="900"/>
              <a:t>Tržby za vedlejší produkci</a:t>
            </a:r>
          </a:p>
        </cdr:txBody>
      </cdr:sp>
    </cdr:grpSp>
  </cdr:relSizeAnchor>
</c:userShapes>
</file>

<file path=word/drawings/drawing2.xml><?xml version="1.0" encoding="utf-8"?>
<c:userShapes xmlns:c="http://schemas.openxmlformats.org/drawingml/2006/chart">
  <cdr:relSizeAnchor xmlns:cdr="http://schemas.openxmlformats.org/drawingml/2006/chartDrawing">
    <cdr:from>
      <cdr:x>0.81319</cdr:x>
      <cdr:y>0.24438</cdr:y>
    </cdr:from>
    <cdr:to>
      <cdr:x>0.89423</cdr:x>
      <cdr:y>0.31307</cdr:y>
    </cdr:to>
    <cdr:sp macro="" textlink="">
      <cdr:nvSpPr>
        <cdr:cNvPr id="2" name="Obdélník 1">
          <a:extLst xmlns:a="http://schemas.openxmlformats.org/drawingml/2006/main">
            <a:ext uri="{FF2B5EF4-FFF2-40B4-BE49-F238E27FC236}">
              <a16:creationId xmlns:a16="http://schemas.microsoft.com/office/drawing/2014/main" id="{7F150A72-FA85-454F-B998-E718689A9114}"/>
            </a:ext>
          </a:extLst>
        </cdr:cNvPr>
        <cdr:cNvSpPr/>
      </cdr:nvSpPr>
      <cdr:spPr>
        <a:xfrm xmlns:a="http://schemas.openxmlformats.org/drawingml/2006/main">
          <a:off x="5638798" y="881057"/>
          <a:ext cx="561947" cy="247642"/>
        </a:xfrm>
        <a:prstGeom xmlns:a="http://schemas.openxmlformats.org/drawingml/2006/main" prst="rect">
          <a:avLst/>
        </a:prstGeom>
      </cdr:spPr>
      <cdr:style>
        <a:lnRef xmlns:a="http://schemas.openxmlformats.org/drawingml/2006/main" idx="2">
          <a:schemeClr val="accent4">
            <a:shade val="50000"/>
          </a:schemeClr>
        </a:lnRef>
        <a:fillRef xmlns:a="http://schemas.openxmlformats.org/drawingml/2006/main" idx="1">
          <a:schemeClr val="accent4"/>
        </a:fillRef>
        <a:effectRef xmlns:a="http://schemas.openxmlformats.org/drawingml/2006/main" idx="0">
          <a:schemeClr val="accent4"/>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cs-CZ">
              <a:solidFill>
                <a:sysClr val="windowText" lastClr="000000"/>
              </a:solidFill>
            </a:rPr>
            <a:t>92</a:t>
          </a:r>
          <a:r>
            <a:rPr lang="en-GB">
              <a:solidFill>
                <a:sysClr val="windowText" lastClr="000000"/>
              </a:solidFill>
            </a:rPr>
            <a:t>,</a:t>
          </a:r>
          <a:r>
            <a:rPr lang="cs-CZ">
              <a:solidFill>
                <a:sysClr val="windowText" lastClr="000000"/>
              </a:solidFill>
            </a:rPr>
            <a:t>7</a:t>
          </a:r>
          <a:r>
            <a:rPr lang="en-GB">
              <a:solidFill>
                <a:sysClr val="windowText" lastClr="000000"/>
              </a:solidFill>
            </a:rPr>
            <a:t> %</a:t>
          </a:r>
          <a:endParaRPr lang="cs-CZ">
            <a:solidFill>
              <a:sysClr val="windowText" lastClr="000000"/>
            </a:solidFill>
          </a:endParaRPr>
        </a:p>
      </cdr:txBody>
    </cdr:sp>
  </cdr:relSizeAnchor>
  <cdr:relSizeAnchor xmlns:cdr="http://schemas.openxmlformats.org/drawingml/2006/chartDrawing">
    <cdr:from>
      <cdr:x>0.13462</cdr:x>
      <cdr:y>0.34478</cdr:y>
    </cdr:from>
    <cdr:to>
      <cdr:x>0.21703</cdr:x>
      <cdr:y>0.41612</cdr:y>
    </cdr:to>
    <cdr:sp macro="" textlink="">
      <cdr:nvSpPr>
        <cdr:cNvPr id="3" name="Obdélník 2">
          <a:extLst xmlns:a="http://schemas.openxmlformats.org/drawingml/2006/main">
            <a:ext uri="{FF2B5EF4-FFF2-40B4-BE49-F238E27FC236}">
              <a16:creationId xmlns:a16="http://schemas.microsoft.com/office/drawing/2014/main" id="{71CE41D8-4EC5-4DC5-BC63-B6DE8F10F65C}"/>
            </a:ext>
          </a:extLst>
        </cdr:cNvPr>
        <cdr:cNvSpPr/>
      </cdr:nvSpPr>
      <cdr:spPr>
        <a:xfrm xmlns:a="http://schemas.openxmlformats.org/drawingml/2006/main">
          <a:off x="933450" y="1243014"/>
          <a:ext cx="571500" cy="257175"/>
        </a:xfrm>
        <a:prstGeom xmlns:a="http://schemas.openxmlformats.org/drawingml/2006/main" prst="rect">
          <a:avLst/>
        </a:prstGeom>
      </cdr:spPr>
      <cdr:style>
        <a:lnRef xmlns:a="http://schemas.openxmlformats.org/drawingml/2006/main" idx="2">
          <a:schemeClr val="accent4">
            <a:shade val="50000"/>
          </a:schemeClr>
        </a:lnRef>
        <a:fillRef xmlns:a="http://schemas.openxmlformats.org/drawingml/2006/main" idx="1">
          <a:schemeClr val="accent4"/>
        </a:fillRef>
        <a:effectRef xmlns:a="http://schemas.openxmlformats.org/drawingml/2006/main" idx="0">
          <a:schemeClr val="accent4"/>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en-GB">
              <a:solidFill>
                <a:sysClr val="windowText" lastClr="000000"/>
              </a:solidFill>
            </a:rPr>
            <a:t>8</a:t>
          </a:r>
          <a:r>
            <a:rPr lang="cs-CZ">
              <a:solidFill>
                <a:sysClr val="windowText" lastClr="000000"/>
              </a:solidFill>
            </a:rPr>
            <a:t>7</a:t>
          </a:r>
          <a:r>
            <a:rPr lang="en-GB">
              <a:solidFill>
                <a:sysClr val="windowText" lastClr="000000"/>
              </a:solidFill>
            </a:rPr>
            <a:t>,</a:t>
          </a:r>
          <a:r>
            <a:rPr lang="cs-CZ">
              <a:solidFill>
                <a:sysClr val="windowText" lastClr="000000"/>
              </a:solidFill>
            </a:rPr>
            <a:t>6</a:t>
          </a:r>
          <a:r>
            <a:rPr lang="en-GB">
              <a:solidFill>
                <a:sysClr val="windowText" lastClr="000000"/>
              </a:solidFill>
            </a:rPr>
            <a:t> %</a:t>
          </a:r>
          <a:endParaRPr lang="cs-CZ">
            <a:solidFill>
              <a:sysClr val="windowText" lastClr="000000"/>
            </a:solidFill>
          </a:endParaRPr>
        </a:p>
      </cdr:txBody>
    </cdr:sp>
  </cdr:relSizeAnchor>
</c:userShape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B26B24-39D5-4FC9-82D5-FEDC2A0487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386</TotalTime>
  <Pages>41</Pages>
  <Words>63744</Words>
  <Characters>376092</Characters>
  <Application>Microsoft Office Word</Application>
  <DocSecurity>0</DocSecurity>
  <Lines>3134</Lines>
  <Paragraphs>877</Paragraphs>
  <ScaleCrop>false</ScaleCrop>
  <Company/>
  <LinksUpToDate>false</LinksUpToDate>
  <CharactersWithSpaces>438959</CharactersWithSpaces>
  <SharedDoc>false</SharedDoc>
  <HLinks>
    <vt:vector size="378" baseType="variant">
      <vt:variant>
        <vt:i4>1900595</vt:i4>
      </vt:variant>
      <vt:variant>
        <vt:i4>374</vt:i4>
      </vt:variant>
      <vt:variant>
        <vt:i4>0</vt:i4>
      </vt:variant>
      <vt:variant>
        <vt:i4>5</vt:i4>
      </vt:variant>
      <vt:variant>
        <vt:lpwstr/>
      </vt:variant>
      <vt:variant>
        <vt:lpwstr>_Toc80798340</vt:lpwstr>
      </vt:variant>
      <vt:variant>
        <vt:i4>1310772</vt:i4>
      </vt:variant>
      <vt:variant>
        <vt:i4>368</vt:i4>
      </vt:variant>
      <vt:variant>
        <vt:i4>0</vt:i4>
      </vt:variant>
      <vt:variant>
        <vt:i4>5</vt:i4>
      </vt:variant>
      <vt:variant>
        <vt:lpwstr/>
      </vt:variant>
      <vt:variant>
        <vt:lpwstr>_Toc80798339</vt:lpwstr>
      </vt:variant>
      <vt:variant>
        <vt:i4>1376308</vt:i4>
      </vt:variant>
      <vt:variant>
        <vt:i4>362</vt:i4>
      </vt:variant>
      <vt:variant>
        <vt:i4>0</vt:i4>
      </vt:variant>
      <vt:variant>
        <vt:i4>5</vt:i4>
      </vt:variant>
      <vt:variant>
        <vt:lpwstr/>
      </vt:variant>
      <vt:variant>
        <vt:lpwstr>_Toc80798338</vt:lpwstr>
      </vt:variant>
      <vt:variant>
        <vt:i4>1703988</vt:i4>
      </vt:variant>
      <vt:variant>
        <vt:i4>356</vt:i4>
      </vt:variant>
      <vt:variant>
        <vt:i4>0</vt:i4>
      </vt:variant>
      <vt:variant>
        <vt:i4>5</vt:i4>
      </vt:variant>
      <vt:variant>
        <vt:lpwstr/>
      </vt:variant>
      <vt:variant>
        <vt:lpwstr>_Toc80798337</vt:lpwstr>
      </vt:variant>
      <vt:variant>
        <vt:i4>1769524</vt:i4>
      </vt:variant>
      <vt:variant>
        <vt:i4>350</vt:i4>
      </vt:variant>
      <vt:variant>
        <vt:i4>0</vt:i4>
      </vt:variant>
      <vt:variant>
        <vt:i4>5</vt:i4>
      </vt:variant>
      <vt:variant>
        <vt:lpwstr/>
      </vt:variant>
      <vt:variant>
        <vt:lpwstr>_Toc80798336</vt:lpwstr>
      </vt:variant>
      <vt:variant>
        <vt:i4>1572916</vt:i4>
      </vt:variant>
      <vt:variant>
        <vt:i4>344</vt:i4>
      </vt:variant>
      <vt:variant>
        <vt:i4>0</vt:i4>
      </vt:variant>
      <vt:variant>
        <vt:i4>5</vt:i4>
      </vt:variant>
      <vt:variant>
        <vt:lpwstr/>
      </vt:variant>
      <vt:variant>
        <vt:lpwstr>_Toc80798335</vt:lpwstr>
      </vt:variant>
      <vt:variant>
        <vt:i4>1638452</vt:i4>
      </vt:variant>
      <vt:variant>
        <vt:i4>338</vt:i4>
      </vt:variant>
      <vt:variant>
        <vt:i4>0</vt:i4>
      </vt:variant>
      <vt:variant>
        <vt:i4>5</vt:i4>
      </vt:variant>
      <vt:variant>
        <vt:lpwstr/>
      </vt:variant>
      <vt:variant>
        <vt:lpwstr>_Toc80798334</vt:lpwstr>
      </vt:variant>
      <vt:variant>
        <vt:i4>1966132</vt:i4>
      </vt:variant>
      <vt:variant>
        <vt:i4>332</vt:i4>
      </vt:variant>
      <vt:variant>
        <vt:i4>0</vt:i4>
      </vt:variant>
      <vt:variant>
        <vt:i4>5</vt:i4>
      </vt:variant>
      <vt:variant>
        <vt:lpwstr/>
      </vt:variant>
      <vt:variant>
        <vt:lpwstr>_Toc80798333</vt:lpwstr>
      </vt:variant>
      <vt:variant>
        <vt:i4>2031668</vt:i4>
      </vt:variant>
      <vt:variant>
        <vt:i4>326</vt:i4>
      </vt:variant>
      <vt:variant>
        <vt:i4>0</vt:i4>
      </vt:variant>
      <vt:variant>
        <vt:i4>5</vt:i4>
      </vt:variant>
      <vt:variant>
        <vt:lpwstr/>
      </vt:variant>
      <vt:variant>
        <vt:lpwstr>_Toc80798332</vt:lpwstr>
      </vt:variant>
      <vt:variant>
        <vt:i4>1835060</vt:i4>
      </vt:variant>
      <vt:variant>
        <vt:i4>320</vt:i4>
      </vt:variant>
      <vt:variant>
        <vt:i4>0</vt:i4>
      </vt:variant>
      <vt:variant>
        <vt:i4>5</vt:i4>
      </vt:variant>
      <vt:variant>
        <vt:lpwstr/>
      </vt:variant>
      <vt:variant>
        <vt:lpwstr>_Toc80798331</vt:lpwstr>
      </vt:variant>
      <vt:variant>
        <vt:i4>1900596</vt:i4>
      </vt:variant>
      <vt:variant>
        <vt:i4>314</vt:i4>
      </vt:variant>
      <vt:variant>
        <vt:i4>0</vt:i4>
      </vt:variant>
      <vt:variant>
        <vt:i4>5</vt:i4>
      </vt:variant>
      <vt:variant>
        <vt:lpwstr/>
      </vt:variant>
      <vt:variant>
        <vt:lpwstr>_Toc80798330</vt:lpwstr>
      </vt:variant>
      <vt:variant>
        <vt:i4>1310773</vt:i4>
      </vt:variant>
      <vt:variant>
        <vt:i4>308</vt:i4>
      </vt:variant>
      <vt:variant>
        <vt:i4>0</vt:i4>
      </vt:variant>
      <vt:variant>
        <vt:i4>5</vt:i4>
      </vt:variant>
      <vt:variant>
        <vt:lpwstr/>
      </vt:variant>
      <vt:variant>
        <vt:lpwstr>_Toc80798329</vt:lpwstr>
      </vt:variant>
      <vt:variant>
        <vt:i4>1376309</vt:i4>
      </vt:variant>
      <vt:variant>
        <vt:i4>302</vt:i4>
      </vt:variant>
      <vt:variant>
        <vt:i4>0</vt:i4>
      </vt:variant>
      <vt:variant>
        <vt:i4>5</vt:i4>
      </vt:variant>
      <vt:variant>
        <vt:lpwstr/>
      </vt:variant>
      <vt:variant>
        <vt:lpwstr>_Toc80798328</vt:lpwstr>
      </vt:variant>
      <vt:variant>
        <vt:i4>1703989</vt:i4>
      </vt:variant>
      <vt:variant>
        <vt:i4>296</vt:i4>
      </vt:variant>
      <vt:variant>
        <vt:i4>0</vt:i4>
      </vt:variant>
      <vt:variant>
        <vt:i4>5</vt:i4>
      </vt:variant>
      <vt:variant>
        <vt:lpwstr/>
      </vt:variant>
      <vt:variant>
        <vt:lpwstr>_Toc80798327</vt:lpwstr>
      </vt:variant>
      <vt:variant>
        <vt:i4>1769525</vt:i4>
      </vt:variant>
      <vt:variant>
        <vt:i4>290</vt:i4>
      </vt:variant>
      <vt:variant>
        <vt:i4>0</vt:i4>
      </vt:variant>
      <vt:variant>
        <vt:i4>5</vt:i4>
      </vt:variant>
      <vt:variant>
        <vt:lpwstr/>
      </vt:variant>
      <vt:variant>
        <vt:lpwstr>_Toc80798326</vt:lpwstr>
      </vt:variant>
      <vt:variant>
        <vt:i4>1572917</vt:i4>
      </vt:variant>
      <vt:variant>
        <vt:i4>284</vt:i4>
      </vt:variant>
      <vt:variant>
        <vt:i4>0</vt:i4>
      </vt:variant>
      <vt:variant>
        <vt:i4>5</vt:i4>
      </vt:variant>
      <vt:variant>
        <vt:lpwstr/>
      </vt:variant>
      <vt:variant>
        <vt:lpwstr>_Toc80798325</vt:lpwstr>
      </vt:variant>
      <vt:variant>
        <vt:i4>1638453</vt:i4>
      </vt:variant>
      <vt:variant>
        <vt:i4>278</vt:i4>
      </vt:variant>
      <vt:variant>
        <vt:i4>0</vt:i4>
      </vt:variant>
      <vt:variant>
        <vt:i4>5</vt:i4>
      </vt:variant>
      <vt:variant>
        <vt:lpwstr/>
      </vt:variant>
      <vt:variant>
        <vt:lpwstr>_Toc80798324</vt:lpwstr>
      </vt:variant>
      <vt:variant>
        <vt:i4>1966133</vt:i4>
      </vt:variant>
      <vt:variant>
        <vt:i4>272</vt:i4>
      </vt:variant>
      <vt:variant>
        <vt:i4>0</vt:i4>
      </vt:variant>
      <vt:variant>
        <vt:i4>5</vt:i4>
      </vt:variant>
      <vt:variant>
        <vt:lpwstr/>
      </vt:variant>
      <vt:variant>
        <vt:lpwstr>_Toc80798323</vt:lpwstr>
      </vt:variant>
      <vt:variant>
        <vt:i4>2031669</vt:i4>
      </vt:variant>
      <vt:variant>
        <vt:i4>266</vt:i4>
      </vt:variant>
      <vt:variant>
        <vt:i4>0</vt:i4>
      </vt:variant>
      <vt:variant>
        <vt:i4>5</vt:i4>
      </vt:variant>
      <vt:variant>
        <vt:lpwstr/>
      </vt:variant>
      <vt:variant>
        <vt:lpwstr>_Toc80798322</vt:lpwstr>
      </vt:variant>
      <vt:variant>
        <vt:i4>1835061</vt:i4>
      </vt:variant>
      <vt:variant>
        <vt:i4>260</vt:i4>
      </vt:variant>
      <vt:variant>
        <vt:i4>0</vt:i4>
      </vt:variant>
      <vt:variant>
        <vt:i4>5</vt:i4>
      </vt:variant>
      <vt:variant>
        <vt:lpwstr/>
      </vt:variant>
      <vt:variant>
        <vt:lpwstr>_Toc80798321</vt:lpwstr>
      </vt:variant>
      <vt:variant>
        <vt:i4>1900597</vt:i4>
      </vt:variant>
      <vt:variant>
        <vt:i4>254</vt:i4>
      </vt:variant>
      <vt:variant>
        <vt:i4>0</vt:i4>
      </vt:variant>
      <vt:variant>
        <vt:i4>5</vt:i4>
      </vt:variant>
      <vt:variant>
        <vt:lpwstr/>
      </vt:variant>
      <vt:variant>
        <vt:lpwstr>_Toc80798320</vt:lpwstr>
      </vt:variant>
      <vt:variant>
        <vt:i4>1310774</vt:i4>
      </vt:variant>
      <vt:variant>
        <vt:i4>248</vt:i4>
      </vt:variant>
      <vt:variant>
        <vt:i4>0</vt:i4>
      </vt:variant>
      <vt:variant>
        <vt:i4>5</vt:i4>
      </vt:variant>
      <vt:variant>
        <vt:lpwstr/>
      </vt:variant>
      <vt:variant>
        <vt:lpwstr>_Toc80798319</vt:lpwstr>
      </vt:variant>
      <vt:variant>
        <vt:i4>1376310</vt:i4>
      </vt:variant>
      <vt:variant>
        <vt:i4>242</vt:i4>
      </vt:variant>
      <vt:variant>
        <vt:i4>0</vt:i4>
      </vt:variant>
      <vt:variant>
        <vt:i4>5</vt:i4>
      </vt:variant>
      <vt:variant>
        <vt:lpwstr/>
      </vt:variant>
      <vt:variant>
        <vt:lpwstr>_Toc80798318</vt:lpwstr>
      </vt:variant>
      <vt:variant>
        <vt:i4>1703990</vt:i4>
      </vt:variant>
      <vt:variant>
        <vt:i4>236</vt:i4>
      </vt:variant>
      <vt:variant>
        <vt:i4>0</vt:i4>
      </vt:variant>
      <vt:variant>
        <vt:i4>5</vt:i4>
      </vt:variant>
      <vt:variant>
        <vt:lpwstr/>
      </vt:variant>
      <vt:variant>
        <vt:lpwstr>_Toc80798317</vt:lpwstr>
      </vt:variant>
      <vt:variant>
        <vt:i4>1769526</vt:i4>
      </vt:variant>
      <vt:variant>
        <vt:i4>230</vt:i4>
      </vt:variant>
      <vt:variant>
        <vt:i4>0</vt:i4>
      </vt:variant>
      <vt:variant>
        <vt:i4>5</vt:i4>
      </vt:variant>
      <vt:variant>
        <vt:lpwstr/>
      </vt:variant>
      <vt:variant>
        <vt:lpwstr>_Toc80798316</vt:lpwstr>
      </vt:variant>
      <vt:variant>
        <vt:i4>1572918</vt:i4>
      </vt:variant>
      <vt:variant>
        <vt:i4>224</vt:i4>
      </vt:variant>
      <vt:variant>
        <vt:i4>0</vt:i4>
      </vt:variant>
      <vt:variant>
        <vt:i4>5</vt:i4>
      </vt:variant>
      <vt:variant>
        <vt:lpwstr/>
      </vt:variant>
      <vt:variant>
        <vt:lpwstr>_Toc80798315</vt:lpwstr>
      </vt:variant>
      <vt:variant>
        <vt:i4>1638454</vt:i4>
      </vt:variant>
      <vt:variant>
        <vt:i4>218</vt:i4>
      </vt:variant>
      <vt:variant>
        <vt:i4>0</vt:i4>
      </vt:variant>
      <vt:variant>
        <vt:i4>5</vt:i4>
      </vt:variant>
      <vt:variant>
        <vt:lpwstr/>
      </vt:variant>
      <vt:variant>
        <vt:lpwstr>_Toc80798314</vt:lpwstr>
      </vt:variant>
      <vt:variant>
        <vt:i4>1966134</vt:i4>
      </vt:variant>
      <vt:variant>
        <vt:i4>212</vt:i4>
      </vt:variant>
      <vt:variant>
        <vt:i4>0</vt:i4>
      </vt:variant>
      <vt:variant>
        <vt:i4>5</vt:i4>
      </vt:variant>
      <vt:variant>
        <vt:lpwstr/>
      </vt:variant>
      <vt:variant>
        <vt:lpwstr>_Toc80798313</vt:lpwstr>
      </vt:variant>
      <vt:variant>
        <vt:i4>2031670</vt:i4>
      </vt:variant>
      <vt:variant>
        <vt:i4>206</vt:i4>
      </vt:variant>
      <vt:variant>
        <vt:i4>0</vt:i4>
      </vt:variant>
      <vt:variant>
        <vt:i4>5</vt:i4>
      </vt:variant>
      <vt:variant>
        <vt:lpwstr/>
      </vt:variant>
      <vt:variant>
        <vt:lpwstr>_Toc80798312</vt:lpwstr>
      </vt:variant>
      <vt:variant>
        <vt:i4>1835062</vt:i4>
      </vt:variant>
      <vt:variant>
        <vt:i4>200</vt:i4>
      </vt:variant>
      <vt:variant>
        <vt:i4>0</vt:i4>
      </vt:variant>
      <vt:variant>
        <vt:i4>5</vt:i4>
      </vt:variant>
      <vt:variant>
        <vt:lpwstr/>
      </vt:variant>
      <vt:variant>
        <vt:lpwstr>_Toc80798311</vt:lpwstr>
      </vt:variant>
      <vt:variant>
        <vt:i4>1900598</vt:i4>
      </vt:variant>
      <vt:variant>
        <vt:i4>194</vt:i4>
      </vt:variant>
      <vt:variant>
        <vt:i4>0</vt:i4>
      </vt:variant>
      <vt:variant>
        <vt:i4>5</vt:i4>
      </vt:variant>
      <vt:variant>
        <vt:lpwstr/>
      </vt:variant>
      <vt:variant>
        <vt:lpwstr>_Toc80798310</vt:lpwstr>
      </vt:variant>
      <vt:variant>
        <vt:i4>1310775</vt:i4>
      </vt:variant>
      <vt:variant>
        <vt:i4>188</vt:i4>
      </vt:variant>
      <vt:variant>
        <vt:i4>0</vt:i4>
      </vt:variant>
      <vt:variant>
        <vt:i4>5</vt:i4>
      </vt:variant>
      <vt:variant>
        <vt:lpwstr/>
      </vt:variant>
      <vt:variant>
        <vt:lpwstr>_Toc80798309</vt:lpwstr>
      </vt:variant>
      <vt:variant>
        <vt:i4>1376311</vt:i4>
      </vt:variant>
      <vt:variant>
        <vt:i4>182</vt:i4>
      </vt:variant>
      <vt:variant>
        <vt:i4>0</vt:i4>
      </vt:variant>
      <vt:variant>
        <vt:i4>5</vt:i4>
      </vt:variant>
      <vt:variant>
        <vt:lpwstr/>
      </vt:variant>
      <vt:variant>
        <vt:lpwstr>_Toc80798308</vt:lpwstr>
      </vt:variant>
      <vt:variant>
        <vt:i4>1703991</vt:i4>
      </vt:variant>
      <vt:variant>
        <vt:i4>176</vt:i4>
      </vt:variant>
      <vt:variant>
        <vt:i4>0</vt:i4>
      </vt:variant>
      <vt:variant>
        <vt:i4>5</vt:i4>
      </vt:variant>
      <vt:variant>
        <vt:lpwstr/>
      </vt:variant>
      <vt:variant>
        <vt:lpwstr>_Toc80798307</vt:lpwstr>
      </vt:variant>
      <vt:variant>
        <vt:i4>1769527</vt:i4>
      </vt:variant>
      <vt:variant>
        <vt:i4>170</vt:i4>
      </vt:variant>
      <vt:variant>
        <vt:i4>0</vt:i4>
      </vt:variant>
      <vt:variant>
        <vt:i4>5</vt:i4>
      </vt:variant>
      <vt:variant>
        <vt:lpwstr/>
      </vt:variant>
      <vt:variant>
        <vt:lpwstr>_Toc80798306</vt:lpwstr>
      </vt:variant>
      <vt:variant>
        <vt:i4>1572919</vt:i4>
      </vt:variant>
      <vt:variant>
        <vt:i4>164</vt:i4>
      </vt:variant>
      <vt:variant>
        <vt:i4>0</vt:i4>
      </vt:variant>
      <vt:variant>
        <vt:i4>5</vt:i4>
      </vt:variant>
      <vt:variant>
        <vt:lpwstr/>
      </vt:variant>
      <vt:variant>
        <vt:lpwstr>_Toc80798305</vt:lpwstr>
      </vt:variant>
      <vt:variant>
        <vt:i4>1638455</vt:i4>
      </vt:variant>
      <vt:variant>
        <vt:i4>158</vt:i4>
      </vt:variant>
      <vt:variant>
        <vt:i4>0</vt:i4>
      </vt:variant>
      <vt:variant>
        <vt:i4>5</vt:i4>
      </vt:variant>
      <vt:variant>
        <vt:lpwstr/>
      </vt:variant>
      <vt:variant>
        <vt:lpwstr>_Toc80798304</vt:lpwstr>
      </vt:variant>
      <vt:variant>
        <vt:i4>1966135</vt:i4>
      </vt:variant>
      <vt:variant>
        <vt:i4>152</vt:i4>
      </vt:variant>
      <vt:variant>
        <vt:i4>0</vt:i4>
      </vt:variant>
      <vt:variant>
        <vt:i4>5</vt:i4>
      </vt:variant>
      <vt:variant>
        <vt:lpwstr/>
      </vt:variant>
      <vt:variant>
        <vt:lpwstr>_Toc80798303</vt:lpwstr>
      </vt:variant>
      <vt:variant>
        <vt:i4>2031671</vt:i4>
      </vt:variant>
      <vt:variant>
        <vt:i4>146</vt:i4>
      </vt:variant>
      <vt:variant>
        <vt:i4>0</vt:i4>
      </vt:variant>
      <vt:variant>
        <vt:i4>5</vt:i4>
      </vt:variant>
      <vt:variant>
        <vt:lpwstr/>
      </vt:variant>
      <vt:variant>
        <vt:lpwstr>_Toc80798302</vt:lpwstr>
      </vt:variant>
      <vt:variant>
        <vt:i4>1835063</vt:i4>
      </vt:variant>
      <vt:variant>
        <vt:i4>140</vt:i4>
      </vt:variant>
      <vt:variant>
        <vt:i4>0</vt:i4>
      </vt:variant>
      <vt:variant>
        <vt:i4>5</vt:i4>
      </vt:variant>
      <vt:variant>
        <vt:lpwstr/>
      </vt:variant>
      <vt:variant>
        <vt:lpwstr>_Toc80798301</vt:lpwstr>
      </vt:variant>
      <vt:variant>
        <vt:i4>1900599</vt:i4>
      </vt:variant>
      <vt:variant>
        <vt:i4>134</vt:i4>
      </vt:variant>
      <vt:variant>
        <vt:i4>0</vt:i4>
      </vt:variant>
      <vt:variant>
        <vt:i4>5</vt:i4>
      </vt:variant>
      <vt:variant>
        <vt:lpwstr/>
      </vt:variant>
      <vt:variant>
        <vt:lpwstr>_Toc80798300</vt:lpwstr>
      </vt:variant>
      <vt:variant>
        <vt:i4>1376318</vt:i4>
      </vt:variant>
      <vt:variant>
        <vt:i4>128</vt:i4>
      </vt:variant>
      <vt:variant>
        <vt:i4>0</vt:i4>
      </vt:variant>
      <vt:variant>
        <vt:i4>5</vt:i4>
      </vt:variant>
      <vt:variant>
        <vt:lpwstr/>
      </vt:variant>
      <vt:variant>
        <vt:lpwstr>_Toc80798299</vt:lpwstr>
      </vt:variant>
      <vt:variant>
        <vt:i4>1310782</vt:i4>
      </vt:variant>
      <vt:variant>
        <vt:i4>122</vt:i4>
      </vt:variant>
      <vt:variant>
        <vt:i4>0</vt:i4>
      </vt:variant>
      <vt:variant>
        <vt:i4>5</vt:i4>
      </vt:variant>
      <vt:variant>
        <vt:lpwstr/>
      </vt:variant>
      <vt:variant>
        <vt:lpwstr>_Toc80798298</vt:lpwstr>
      </vt:variant>
      <vt:variant>
        <vt:i4>1769534</vt:i4>
      </vt:variant>
      <vt:variant>
        <vt:i4>116</vt:i4>
      </vt:variant>
      <vt:variant>
        <vt:i4>0</vt:i4>
      </vt:variant>
      <vt:variant>
        <vt:i4>5</vt:i4>
      </vt:variant>
      <vt:variant>
        <vt:lpwstr/>
      </vt:variant>
      <vt:variant>
        <vt:lpwstr>_Toc80798297</vt:lpwstr>
      </vt:variant>
      <vt:variant>
        <vt:i4>1703998</vt:i4>
      </vt:variant>
      <vt:variant>
        <vt:i4>110</vt:i4>
      </vt:variant>
      <vt:variant>
        <vt:i4>0</vt:i4>
      </vt:variant>
      <vt:variant>
        <vt:i4>5</vt:i4>
      </vt:variant>
      <vt:variant>
        <vt:lpwstr/>
      </vt:variant>
      <vt:variant>
        <vt:lpwstr>_Toc80798296</vt:lpwstr>
      </vt:variant>
      <vt:variant>
        <vt:i4>1638462</vt:i4>
      </vt:variant>
      <vt:variant>
        <vt:i4>104</vt:i4>
      </vt:variant>
      <vt:variant>
        <vt:i4>0</vt:i4>
      </vt:variant>
      <vt:variant>
        <vt:i4>5</vt:i4>
      </vt:variant>
      <vt:variant>
        <vt:lpwstr/>
      </vt:variant>
      <vt:variant>
        <vt:lpwstr>_Toc80798295</vt:lpwstr>
      </vt:variant>
      <vt:variant>
        <vt:i4>1572926</vt:i4>
      </vt:variant>
      <vt:variant>
        <vt:i4>98</vt:i4>
      </vt:variant>
      <vt:variant>
        <vt:i4>0</vt:i4>
      </vt:variant>
      <vt:variant>
        <vt:i4>5</vt:i4>
      </vt:variant>
      <vt:variant>
        <vt:lpwstr/>
      </vt:variant>
      <vt:variant>
        <vt:lpwstr>_Toc80798294</vt:lpwstr>
      </vt:variant>
      <vt:variant>
        <vt:i4>2031678</vt:i4>
      </vt:variant>
      <vt:variant>
        <vt:i4>92</vt:i4>
      </vt:variant>
      <vt:variant>
        <vt:i4>0</vt:i4>
      </vt:variant>
      <vt:variant>
        <vt:i4>5</vt:i4>
      </vt:variant>
      <vt:variant>
        <vt:lpwstr/>
      </vt:variant>
      <vt:variant>
        <vt:lpwstr>_Toc80798293</vt:lpwstr>
      </vt:variant>
      <vt:variant>
        <vt:i4>1966142</vt:i4>
      </vt:variant>
      <vt:variant>
        <vt:i4>86</vt:i4>
      </vt:variant>
      <vt:variant>
        <vt:i4>0</vt:i4>
      </vt:variant>
      <vt:variant>
        <vt:i4>5</vt:i4>
      </vt:variant>
      <vt:variant>
        <vt:lpwstr/>
      </vt:variant>
      <vt:variant>
        <vt:lpwstr>_Toc80798292</vt:lpwstr>
      </vt:variant>
      <vt:variant>
        <vt:i4>1900606</vt:i4>
      </vt:variant>
      <vt:variant>
        <vt:i4>80</vt:i4>
      </vt:variant>
      <vt:variant>
        <vt:i4>0</vt:i4>
      </vt:variant>
      <vt:variant>
        <vt:i4>5</vt:i4>
      </vt:variant>
      <vt:variant>
        <vt:lpwstr/>
      </vt:variant>
      <vt:variant>
        <vt:lpwstr>_Toc80798291</vt:lpwstr>
      </vt:variant>
      <vt:variant>
        <vt:i4>1835070</vt:i4>
      </vt:variant>
      <vt:variant>
        <vt:i4>74</vt:i4>
      </vt:variant>
      <vt:variant>
        <vt:i4>0</vt:i4>
      </vt:variant>
      <vt:variant>
        <vt:i4>5</vt:i4>
      </vt:variant>
      <vt:variant>
        <vt:lpwstr/>
      </vt:variant>
      <vt:variant>
        <vt:lpwstr>_Toc80798290</vt:lpwstr>
      </vt:variant>
      <vt:variant>
        <vt:i4>1376319</vt:i4>
      </vt:variant>
      <vt:variant>
        <vt:i4>68</vt:i4>
      </vt:variant>
      <vt:variant>
        <vt:i4>0</vt:i4>
      </vt:variant>
      <vt:variant>
        <vt:i4>5</vt:i4>
      </vt:variant>
      <vt:variant>
        <vt:lpwstr/>
      </vt:variant>
      <vt:variant>
        <vt:lpwstr>_Toc80798289</vt:lpwstr>
      </vt:variant>
      <vt:variant>
        <vt:i4>1507384</vt:i4>
      </vt:variant>
      <vt:variant>
        <vt:i4>59</vt:i4>
      </vt:variant>
      <vt:variant>
        <vt:i4>0</vt:i4>
      </vt:variant>
      <vt:variant>
        <vt:i4>5</vt:i4>
      </vt:variant>
      <vt:variant>
        <vt:lpwstr/>
      </vt:variant>
      <vt:variant>
        <vt:lpwstr>_Toc80797801</vt:lpwstr>
      </vt:variant>
      <vt:variant>
        <vt:i4>1441848</vt:i4>
      </vt:variant>
      <vt:variant>
        <vt:i4>53</vt:i4>
      </vt:variant>
      <vt:variant>
        <vt:i4>0</vt:i4>
      </vt:variant>
      <vt:variant>
        <vt:i4>5</vt:i4>
      </vt:variant>
      <vt:variant>
        <vt:lpwstr/>
      </vt:variant>
      <vt:variant>
        <vt:lpwstr>_Toc80797800</vt:lpwstr>
      </vt:variant>
      <vt:variant>
        <vt:i4>1048625</vt:i4>
      </vt:variant>
      <vt:variant>
        <vt:i4>47</vt:i4>
      </vt:variant>
      <vt:variant>
        <vt:i4>0</vt:i4>
      </vt:variant>
      <vt:variant>
        <vt:i4>5</vt:i4>
      </vt:variant>
      <vt:variant>
        <vt:lpwstr/>
      </vt:variant>
      <vt:variant>
        <vt:lpwstr>_Toc80797799</vt:lpwstr>
      </vt:variant>
      <vt:variant>
        <vt:i4>1114161</vt:i4>
      </vt:variant>
      <vt:variant>
        <vt:i4>41</vt:i4>
      </vt:variant>
      <vt:variant>
        <vt:i4>0</vt:i4>
      </vt:variant>
      <vt:variant>
        <vt:i4>5</vt:i4>
      </vt:variant>
      <vt:variant>
        <vt:lpwstr/>
      </vt:variant>
      <vt:variant>
        <vt:lpwstr>_Toc80797798</vt:lpwstr>
      </vt:variant>
      <vt:variant>
        <vt:i4>1769520</vt:i4>
      </vt:variant>
      <vt:variant>
        <vt:i4>32</vt:i4>
      </vt:variant>
      <vt:variant>
        <vt:i4>0</vt:i4>
      </vt:variant>
      <vt:variant>
        <vt:i4>5</vt:i4>
      </vt:variant>
      <vt:variant>
        <vt:lpwstr/>
      </vt:variant>
      <vt:variant>
        <vt:lpwstr>_Toc80797580</vt:lpwstr>
      </vt:variant>
      <vt:variant>
        <vt:i4>1179711</vt:i4>
      </vt:variant>
      <vt:variant>
        <vt:i4>26</vt:i4>
      </vt:variant>
      <vt:variant>
        <vt:i4>0</vt:i4>
      </vt:variant>
      <vt:variant>
        <vt:i4>5</vt:i4>
      </vt:variant>
      <vt:variant>
        <vt:lpwstr/>
      </vt:variant>
      <vt:variant>
        <vt:lpwstr>_Toc80797579</vt:lpwstr>
      </vt:variant>
      <vt:variant>
        <vt:i4>1245247</vt:i4>
      </vt:variant>
      <vt:variant>
        <vt:i4>20</vt:i4>
      </vt:variant>
      <vt:variant>
        <vt:i4>0</vt:i4>
      </vt:variant>
      <vt:variant>
        <vt:i4>5</vt:i4>
      </vt:variant>
      <vt:variant>
        <vt:lpwstr/>
      </vt:variant>
      <vt:variant>
        <vt:lpwstr>_Toc80797578</vt:lpwstr>
      </vt:variant>
      <vt:variant>
        <vt:i4>1835071</vt:i4>
      </vt:variant>
      <vt:variant>
        <vt:i4>14</vt:i4>
      </vt:variant>
      <vt:variant>
        <vt:i4>0</vt:i4>
      </vt:variant>
      <vt:variant>
        <vt:i4>5</vt:i4>
      </vt:variant>
      <vt:variant>
        <vt:lpwstr/>
      </vt:variant>
      <vt:variant>
        <vt:lpwstr>_Toc80797577</vt:lpwstr>
      </vt:variant>
      <vt:variant>
        <vt:i4>1900607</vt:i4>
      </vt:variant>
      <vt:variant>
        <vt:i4>8</vt:i4>
      </vt:variant>
      <vt:variant>
        <vt:i4>0</vt:i4>
      </vt:variant>
      <vt:variant>
        <vt:i4>5</vt:i4>
      </vt:variant>
      <vt:variant>
        <vt:lpwstr/>
      </vt:variant>
      <vt:variant>
        <vt:lpwstr>_Toc80797576</vt:lpwstr>
      </vt:variant>
      <vt:variant>
        <vt:i4>1966143</vt:i4>
      </vt:variant>
      <vt:variant>
        <vt:i4>2</vt:i4>
      </vt:variant>
      <vt:variant>
        <vt:i4>0</vt:i4>
      </vt:variant>
      <vt:variant>
        <vt:i4>5</vt:i4>
      </vt:variant>
      <vt:variant>
        <vt:lpwstr/>
      </vt:variant>
      <vt:variant>
        <vt:lpwstr>_Toc80797575</vt:lpwstr>
      </vt:variant>
      <vt:variant>
        <vt:i4>458795</vt:i4>
      </vt:variant>
      <vt:variant>
        <vt:i4>0</vt:i4>
      </vt:variant>
      <vt:variant>
        <vt:i4>0</vt:i4>
      </vt:variant>
      <vt:variant>
        <vt:i4>5</vt:i4>
      </vt:variant>
      <vt:variant>
        <vt:lpwstr>https://ec.europa.eu/info/sites/info/files/food-farming-fisheries/events/improving-access-to-funding-young-farmers_en.pdf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Marie Šimpachová Pechrová</dc:creator>
  <cp:keywords/>
  <dc:description/>
  <cp:lastModifiedBy>Kubů Alena</cp:lastModifiedBy>
  <cp:revision>287</cp:revision>
  <dcterms:created xsi:type="dcterms:W3CDTF">2021-08-24T04:31:00Z</dcterms:created>
  <dcterms:modified xsi:type="dcterms:W3CDTF">2022-01-27T06:55:00Z</dcterms:modified>
</cp:coreProperties>
</file>